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A61F5" w14:textId="5C96D555" w:rsidR="009248F7" w:rsidRPr="00B9143B" w:rsidRDefault="003F398B" w:rsidP="004230AD">
      <w:pPr>
        <w:jc w:val="center"/>
        <w:rPr>
          <w:lang w:val="en-GB"/>
        </w:rPr>
      </w:pPr>
      <w:r w:rsidRPr="00B9143B">
        <w:rPr>
          <w:lang w:val="en-GB"/>
        </w:rPr>
        <w:t>SUPPLEMENT</w:t>
      </w:r>
      <w:r w:rsidR="009248F7" w:rsidRPr="00B9143B">
        <w:rPr>
          <w:lang w:val="en-GB"/>
        </w:rPr>
        <w:t xml:space="preserve"> INFORMATION</w:t>
      </w:r>
    </w:p>
    <w:p w14:paraId="68ED9915" w14:textId="7E16A33A" w:rsidR="001A7E2A" w:rsidRDefault="001A7E2A" w:rsidP="001A7E2A">
      <w:pPr>
        <w:jc w:val="center"/>
        <w:rPr>
          <w:lang w:val="en-US"/>
        </w:rPr>
      </w:pPr>
      <w:r w:rsidRPr="001A7E2A">
        <w:rPr>
          <w:lang w:val="en-US"/>
        </w:rPr>
        <w:t>to the manuscript</w:t>
      </w:r>
      <w:bookmarkStart w:id="0" w:name="_Hlk40267568"/>
    </w:p>
    <w:p w14:paraId="6A821B04" w14:textId="1BD50A9E" w:rsidR="001A7E2A" w:rsidRPr="001A7E2A" w:rsidRDefault="001A7E2A" w:rsidP="001A7E2A">
      <w:pPr>
        <w:jc w:val="center"/>
        <w:rPr>
          <w:rFonts w:cs="Times New Roman"/>
          <w:b/>
          <w:bCs/>
          <w:lang w:val="en-US"/>
        </w:rPr>
      </w:pPr>
      <w:r>
        <w:rPr>
          <w:lang w:val="en-US"/>
        </w:rPr>
        <w:t>“</w:t>
      </w:r>
      <w:r w:rsidRPr="001A7E2A">
        <w:rPr>
          <w:b/>
          <w:bCs/>
          <w:lang w:val="en-US"/>
        </w:rPr>
        <w:t xml:space="preserve">Bottom-up and top-down forces in plant-gall relationships: </w:t>
      </w:r>
      <w:r w:rsidR="005D211D">
        <w:rPr>
          <w:b/>
          <w:bCs/>
          <w:lang w:val="en-US"/>
        </w:rPr>
        <w:t>T</w:t>
      </w:r>
      <w:r w:rsidRPr="001A7E2A">
        <w:rPr>
          <w:b/>
          <w:bCs/>
          <w:lang w:val="en-US"/>
        </w:rPr>
        <w:t>esting the hypotheses</w:t>
      </w:r>
      <w:r w:rsidRPr="001A7E2A" w:rsidDel="00F80BCF">
        <w:rPr>
          <w:b/>
          <w:bCs/>
          <w:lang w:val="en-US"/>
        </w:rPr>
        <w:t xml:space="preserve"> </w:t>
      </w:r>
      <w:r w:rsidRPr="001A7E2A">
        <w:rPr>
          <w:b/>
          <w:bCs/>
          <w:lang w:val="en-US"/>
        </w:rPr>
        <w:t>of the resource concentration, associational resistance and host fitness reduction</w:t>
      </w:r>
      <w:r>
        <w:rPr>
          <w:b/>
          <w:bCs/>
          <w:lang w:val="en-US"/>
        </w:rPr>
        <w:t>”</w:t>
      </w:r>
    </w:p>
    <w:bookmarkEnd w:id="0"/>
    <w:p w14:paraId="63F0DBD5" w14:textId="1C5354A7" w:rsidR="001A7E2A" w:rsidRPr="001A7E2A" w:rsidRDefault="001A7E2A" w:rsidP="004230AD">
      <w:pPr>
        <w:jc w:val="center"/>
        <w:rPr>
          <w:lang w:val="en-US"/>
        </w:rPr>
      </w:pPr>
    </w:p>
    <w:p w14:paraId="13E51664" w14:textId="0053D464" w:rsidR="004230AD" w:rsidRPr="001A7E2A" w:rsidRDefault="004230AD" w:rsidP="004230AD">
      <w:pPr>
        <w:jc w:val="center"/>
        <w:rPr>
          <w:lang w:val="en-US"/>
        </w:rPr>
      </w:pPr>
      <w:r w:rsidRPr="001A7E2A">
        <w:rPr>
          <w:lang w:val="en-US"/>
        </w:rPr>
        <w:br w:type="page"/>
      </w:r>
    </w:p>
    <w:p w14:paraId="5698B9A4" w14:textId="5919079E" w:rsidR="004230AD" w:rsidRDefault="004230AD" w:rsidP="004230AD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02824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Supplement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</w:p>
    <w:p w14:paraId="2A836F98" w14:textId="2BFE1B42" w:rsidR="004230AD" w:rsidRPr="004230AD" w:rsidRDefault="004230AD" w:rsidP="004230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230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S1 – </w:t>
      </w:r>
      <w:r w:rsidRPr="004230AD">
        <w:rPr>
          <w:rFonts w:ascii="Times New Roman" w:hAnsi="Times New Roman" w:cs="Times New Roman"/>
          <w:sz w:val="24"/>
          <w:szCs w:val="24"/>
          <w:lang w:val="en-US"/>
        </w:rPr>
        <w:t>All sampled trees in the plots stablishe</w:t>
      </w:r>
      <w:r>
        <w:rPr>
          <w:rFonts w:ascii="Times New Roman" w:hAnsi="Times New Roman" w:cs="Times New Roman"/>
          <w:sz w:val="24"/>
          <w:szCs w:val="24"/>
          <w:lang w:val="en-US"/>
        </w:rPr>
        <w:t>d at the</w:t>
      </w:r>
      <w:r w:rsidRPr="004230AD">
        <w:rPr>
          <w:rFonts w:ascii="Times New Roman" w:hAnsi="Times New Roman" w:cs="Times New Roman"/>
          <w:sz w:val="24"/>
          <w:szCs w:val="24"/>
          <w:lang w:val="en-US"/>
        </w:rPr>
        <w:t xml:space="preserve"> Parque </w:t>
      </w:r>
      <w:proofErr w:type="spellStart"/>
      <w:r w:rsidRPr="004230AD">
        <w:rPr>
          <w:rFonts w:ascii="Times New Roman" w:hAnsi="Times New Roman" w:cs="Times New Roman"/>
          <w:sz w:val="24"/>
          <w:szCs w:val="24"/>
          <w:lang w:val="en-US"/>
        </w:rPr>
        <w:t>Estadual</w:t>
      </w:r>
      <w:proofErr w:type="spellEnd"/>
      <w:r w:rsidRPr="004230AD">
        <w:rPr>
          <w:rFonts w:ascii="Times New Roman" w:hAnsi="Times New Roman" w:cs="Times New Roman"/>
          <w:sz w:val="24"/>
          <w:szCs w:val="24"/>
          <w:lang w:val="en-US"/>
        </w:rPr>
        <w:t xml:space="preserve"> da Serra de Caldas </w:t>
      </w:r>
      <w:proofErr w:type="spellStart"/>
      <w:r w:rsidRPr="004230AD">
        <w:rPr>
          <w:rFonts w:ascii="Times New Roman" w:hAnsi="Times New Roman" w:cs="Times New Roman"/>
          <w:sz w:val="24"/>
          <w:szCs w:val="24"/>
          <w:lang w:val="en-US"/>
        </w:rPr>
        <w:t>Novas</w:t>
      </w:r>
      <w:proofErr w:type="spellEnd"/>
      <w:r w:rsidRPr="004230A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A46">
        <w:rPr>
          <w:rFonts w:ascii="Times New Roman" w:hAnsi="Times New Roman" w:cs="Times New Roman"/>
          <w:sz w:val="24"/>
          <w:szCs w:val="24"/>
          <w:lang w:val="en-US"/>
        </w:rPr>
        <w:t>November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2017. </w:t>
      </w:r>
      <w:r w:rsidR="00797A46">
        <w:rPr>
          <w:rFonts w:ascii="Times New Roman" w:hAnsi="Times New Roman" w:cs="Times New Roman"/>
          <w:sz w:val="24"/>
          <w:szCs w:val="24"/>
          <w:lang w:val="en-US"/>
        </w:rPr>
        <w:t>Reproductive structures (presence of flower or fruit)</w:t>
      </w:r>
      <w:r w:rsidRPr="00423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8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2188"/>
        <w:gridCol w:w="1286"/>
        <w:gridCol w:w="2205"/>
      </w:tblGrid>
      <w:tr w:rsidR="004230AD" w:rsidRPr="001016E2" w14:paraId="6D8F7644" w14:textId="77777777" w:rsidTr="004230AD">
        <w:trPr>
          <w:trHeight w:val="300"/>
          <w:jc w:val="center"/>
        </w:trPr>
        <w:tc>
          <w:tcPr>
            <w:tcW w:w="28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013F1A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Plant species</w:t>
            </w:r>
          </w:p>
        </w:tc>
        <w:tc>
          <w:tcPr>
            <w:tcW w:w="21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DE9339" w14:textId="032D880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Individu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al</w:t>
            </w: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Basal area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(cm²)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D630" w14:textId="4D6029E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of trees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F8B339" w14:textId="5BE5DB03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N</w:t>
            </w:r>
            <w:r w:rsidRPr="00B914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 xml:space="preserve"> of tress </w:t>
            </w: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Reproductive</w:t>
            </w:r>
          </w:p>
          <w:p w14:paraId="3F9FB92B" w14:textId="71BECC23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Structures</w:t>
            </w:r>
          </w:p>
        </w:tc>
      </w:tr>
      <w:tr w:rsidR="004230AD" w:rsidRPr="004230AD" w14:paraId="04059F61" w14:textId="77777777" w:rsidTr="004230AD">
        <w:trPr>
          <w:trHeight w:val="315"/>
          <w:jc w:val="center"/>
        </w:trPr>
        <w:tc>
          <w:tcPr>
            <w:tcW w:w="28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B91221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21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F9468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4121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  <w:t>(with galls)</w:t>
            </w:r>
          </w:p>
        </w:tc>
        <w:tc>
          <w:tcPr>
            <w:tcW w:w="22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0612A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t-BR"/>
              </w:rPr>
            </w:pPr>
          </w:p>
        </w:tc>
      </w:tr>
      <w:tr w:rsidR="004230AD" w:rsidRPr="004230AD" w14:paraId="5E79BE37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0D8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Dalbergia miscolobium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D70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11145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6AD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122(91)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023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19</w:t>
            </w:r>
          </w:p>
        </w:tc>
      </w:tr>
      <w:tr w:rsidR="004230AD" w:rsidRPr="004230AD" w14:paraId="4052FE3E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3EEF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Aspidosperma tomentosum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59C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D46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82(68)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A5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</w:t>
            </w:r>
          </w:p>
        </w:tc>
      </w:tr>
      <w:tr w:rsidR="004230AD" w:rsidRPr="004230AD" w14:paraId="5236D28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5AB4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Kielmeyera grandiflora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E7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5079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45B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97(62)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7D0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31</w:t>
            </w:r>
          </w:p>
        </w:tc>
      </w:tr>
      <w:tr w:rsidR="004230AD" w:rsidRPr="004230AD" w14:paraId="243C803F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9208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Eremanthus glomerulatus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F75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053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46(38)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1BB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29</w:t>
            </w:r>
          </w:p>
        </w:tc>
      </w:tr>
      <w:tr w:rsidR="004230AD" w:rsidRPr="004230AD" w14:paraId="6A66DD68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A3EA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Ouratea spectabilis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163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C78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38(28)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383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</w:t>
            </w:r>
          </w:p>
        </w:tc>
      </w:tr>
      <w:tr w:rsidR="004230AD" w:rsidRPr="004230AD" w14:paraId="0B6E033D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D9A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Qualea parviflora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246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2946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4E8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19(10)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382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</w:t>
            </w:r>
          </w:p>
        </w:tc>
      </w:tr>
      <w:tr w:rsidR="004230AD" w:rsidRPr="004230AD" w14:paraId="7CF71FF7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E5F2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Kielmeyera coriacea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43E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6564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468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105(9)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54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51</w:t>
            </w:r>
          </w:p>
        </w:tc>
      </w:tr>
      <w:tr w:rsidR="004230AD" w:rsidRPr="004230AD" w14:paraId="550A9B86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44C3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Caryocar brasiliense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B46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727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13(5)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142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</w:tr>
      <w:tr w:rsidR="004230AD" w:rsidRPr="004230AD" w14:paraId="5A01812F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3EB8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Andira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vermifuga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E6E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A98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5(3)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5A7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</w:p>
        </w:tc>
      </w:tr>
      <w:tr w:rsidR="004230AD" w:rsidRPr="004230AD" w14:paraId="73801E3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C3A4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Myrtaceae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1CB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131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12(3)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09D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</w:tr>
      <w:tr w:rsidR="004230AD" w:rsidRPr="004230AD" w14:paraId="026AA31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557D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Psidium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myrsinites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BB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B4B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22(3)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37D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</w:t>
            </w:r>
          </w:p>
        </w:tc>
      </w:tr>
      <w:tr w:rsidR="004230AD" w:rsidRPr="004230AD" w14:paraId="25B8096B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C879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Leptolobium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dasycarpum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A91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2475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C89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34(2)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9A9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</w:t>
            </w:r>
          </w:p>
        </w:tc>
      </w:tr>
      <w:tr w:rsidR="004230AD" w:rsidRPr="004230AD" w14:paraId="12A1E2A2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05B2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Aspidosperma macrocarpon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3D8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4E6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13(1)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62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</w:t>
            </w:r>
          </w:p>
        </w:tc>
      </w:tr>
      <w:tr w:rsidR="004230AD" w:rsidRPr="004230AD" w14:paraId="4FB7979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303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Dimorphandra mollis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12D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996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23(1)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A8F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</w:p>
        </w:tc>
      </w:tr>
      <w:tr w:rsidR="004230AD" w:rsidRPr="004230AD" w14:paraId="0A9EAEF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B06F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Eriotheca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pubescens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B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293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5DA0" w14:textId="20B037F5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7ADA3A96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6271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Piptocarpha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rotundifolia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4B7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DEF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46(1)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0E1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28</w:t>
            </w:r>
          </w:p>
        </w:tc>
      </w:tr>
      <w:tr w:rsidR="004230AD" w:rsidRPr="004230AD" w14:paraId="74EFFF7F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7458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Qualea grandiflora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248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BFE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20(1)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0CF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13</w:t>
            </w:r>
          </w:p>
        </w:tc>
      </w:tr>
      <w:tr w:rsidR="004230AD" w:rsidRPr="004230AD" w14:paraId="1301FCA0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ABF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Roupala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montana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F95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7E2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77F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4894701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3AF3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Styrax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ferrugineus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584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EAD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40(1)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F4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</w:tr>
      <w:tr w:rsidR="004230AD" w:rsidRPr="004230AD" w14:paraId="7E6911A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14E5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Curatella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americana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4B1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95A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2219" w14:textId="235F7A03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7D0678B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A476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Stryphnodendron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adstringens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FB4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4108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171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79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3CC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25</w:t>
            </w:r>
          </w:p>
        </w:tc>
      </w:tr>
      <w:tr w:rsidR="004230AD" w:rsidRPr="004230AD" w14:paraId="3A6CEA85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5AE4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Aegiphila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verticillata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E45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00F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695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</w:tr>
      <w:tr w:rsidR="004230AD" w:rsidRPr="004230AD" w14:paraId="2CDA9575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BC97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Agonandra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brasiliensis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E99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F02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998D" w14:textId="20D88DEC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3D21E515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7E2C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Annona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crassiflora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419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6302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1A8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64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EE5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</w:t>
            </w:r>
          </w:p>
        </w:tc>
      </w:tr>
      <w:tr w:rsidR="004230AD" w:rsidRPr="004230AD" w14:paraId="38F899FE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24EE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Arecaceae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912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7FE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AEB8" w14:textId="2EC95F7E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669EC3F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744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Arecaceae sp2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7FF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C97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F1C4" w14:textId="7E61268F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615A79B2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E949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Bowdichia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virgilioides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959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EC3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C37" w14:textId="70112838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1EB8E71A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9B32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Brosimum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gaudichaudii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BED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9E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2E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</w:tr>
      <w:tr w:rsidR="004230AD" w:rsidRPr="004230AD" w14:paraId="30B817C4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94D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Byrsonima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coccolobifolia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692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D87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FD0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</w:tr>
      <w:tr w:rsidR="004230AD" w:rsidRPr="004230AD" w14:paraId="7C4F625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7759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Byrsonima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pachyphylla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4D3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7C6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BA2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711F8C2A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FE06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Byrsonima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verbascifolia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F23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E1A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C4A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05C91B26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25D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Casearia sylvestris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346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65D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4D0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01B93EC4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36F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Connarus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suberosus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FB2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A57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C84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3FCB596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A44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Davilla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elliptica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A8D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178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2EB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16113617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C6E9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Emmotum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 xml:space="preserve">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CF5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BEE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C23" w14:textId="5D40D850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7CB113F0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CF12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Enterolobium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gummiferum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C0A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9BB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752D" w14:textId="1BB76B8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5E793AFD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E12A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Eriotheca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gracilipes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CF3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4B5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B0F" w14:textId="66A4D42F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05348CC0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F31E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Erythroxylum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suberosum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C5B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45E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F7A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23</w:t>
            </w:r>
          </w:p>
        </w:tc>
      </w:tr>
      <w:tr w:rsidR="004230AD" w:rsidRPr="004230AD" w14:paraId="4EF0C7A8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56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lastRenderedPageBreak/>
              <w:t>Erythroxylum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tortuosum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237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1D3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D63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</w:p>
        </w:tc>
      </w:tr>
      <w:tr w:rsidR="004230AD" w:rsidRPr="004230AD" w14:paraId="0294BB1B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6368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Erytroxylum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 xml:space="preserve">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4B6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426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5C6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38999A3E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AC9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Fabaceae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DB2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DCB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EEAA" w14:textId="5C6D0D7A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449A108A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15FC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Guarea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 xml:space="preserve">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601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B38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259" w14:textId="5EAAEB91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1F4EC6A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60A9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Hancornia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speciosa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2E2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FB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30F" w14:textId="5E1C093E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34BA8890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FD9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Handroanthus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ochraceus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51A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6E4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937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</w:p>
        </w:tc>
      </w:tr>
      <w:tr w:rsidR="004230AD" w:rsidRPr="004230AD" w14:paraId="78B95E9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BC99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Himatanthus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obovatus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33F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6FD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ED1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530366D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0C37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Hymenaea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courbaril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84E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738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5B3" w14:textId="749B7B1E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318F225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7B7A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Hymenaea stigonocarpa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D47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5DE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3E4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334A665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9468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 xml:space="preserve">Indetermined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33D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CC0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B56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663514D0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F29D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Kielmeyera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4BE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833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8138" w14:textId="0BCF27CF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5B7A6C78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56BE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Lafoensia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pacari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6F1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DA4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E6B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6D86F8E3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12B6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Lamiaceae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 xml:space="preserve">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7EC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382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B53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7AFFCDAB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0A9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Leptolobium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elegans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D1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5E4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95B9" w14:textId="2536F80F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3300FDB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15E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Licania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humilis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1CD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8EF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2C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</w:p>
        </w:tc>
      </w:tr>
      <w:tr w:rsidR="004230AD" w:rsidRPr="004230AD" w14:paraId="1D5D2222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2C84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Machaerium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opacum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AD2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3013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8BE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1BD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15</w:t>
            </w:r>
          </w:p>
        </w:tc>
      </w:tr>
      <w:tr w:rsidR="004230AD" w:rsidRPr="004230AD" w14:paraId="238D4DB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4513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Miconia ferruginata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B1C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563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40B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3D4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</w:t>
            </w:r>
          </w:p>
        </w:tc>
      </w:tr>
      <w:tr w:rsidR="004230AD" w:rsidRPr="004230AD" w14:paraId="0E1E6C3D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862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Myrsine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coriacea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644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B10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77B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</w:t>
            </w:r>
          </w:p>
        </w:tc>
      </w:tr>
      <w:tr w:rsidR="004230AD" w:rsidRPr="004230AD" w14:paraId="760869E6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6B5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Myrtaceae sp1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009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446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E1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3590C2F6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8E12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Myrtaceae sp2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299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A87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DD8B" w14:textId="48D71258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2D6F6805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2A51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Palicourea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rigida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1BD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428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C6F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9</w:t>
            </w:r>
          </w:p>
        </w:tc>
      </w:tr>
      <w:tr w:rsidR="004230AD" w:rsidRPr="004230AD" w14:paraId="3BBB57D1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63AE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Plathymenia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reticulata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D83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6CD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D95B" w14:textId="7DE78AF6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21CE548C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CC03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Plenckia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populnea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55D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451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2BA0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</w:t>
            </w:r>
          </w:p>
        </w:tc>
      </w:tr>
      <w:tr w:rsidR="004230AD" w:rsidRPr="004230AD" w14:paraId="4E9DB71F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33EA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Pouteria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ramiflora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3C3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2165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401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B8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1EC7BB57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FFE0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Qualea multiflora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DF2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1431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F6DF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8DBA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16</w:t>
            </w:r>
          </w:p>
        </w:tc>
      </w:tr>
      <w:tr w:rsidR="004230AD" w:rsidRPr="004230AD" w14:paraId="1DD017A2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B6DE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Salvertia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222222"/>
                <w:lang w:val="en-US" w:eastAsia="pt-BR"/>
              </w:rPr>
              <w:t>convaleiodora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60A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BAC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DD07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49DEF164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5D45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Schefflera macrocarpa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FB7B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443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683D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BBBC" w14:textId="399CDEB8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59A148D4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57D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Strychnos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pseudoquina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2DD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662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B326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4F9" w14:textId="5218FE2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0</w:t>
            </w:r>
          </w:p>
        </w:tc>
      </w:tr>
      <w:tr w:rsidR="004230AD" w:rsidRPr="004230AD" w14:paraId="1E92737B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CBBA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Stryphnodendron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polyphyllum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68D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329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40B8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930E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425927B0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F5AB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Tabebuia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aurea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A5F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3744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F6E2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46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0323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</w:t>
            </w:r>
          </w:p>
        </w:tc>
      </w:tr>
      <w:tr w:rsidR="004230AD" w:rsidRPr="004230AD" w14:paraId="776BD249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59D6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Tocoyena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formosa</w:t>
            </w:r>
            <w:proofErr w:type="spellEnd"/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4AD9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349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415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EDE1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10</w:t>
            </w:r>
          </w:p>
        </w:tc>
      </w:tr>
      <w:tr w:rsidR="004230AD" w:rsidRPr="004230AD" w14:paraId="5DCFA5E5" w14:textId="77777777" w:rsidTr="004230AD">
        <w:trPr>
          <w:trHeight w:val="300"/>
          <w:jc w:val="center"/>
        </w:trPr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3CF7" w14:textId="77777777" w:rsidR="004230AD" w:rsidRPr="004230AD" w:rsidRDefault="004230AD" w:rsidP="0042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</w:pPr>
            <w:proofErr w:type="spellStart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>Vochysia</w:t>
            </w:r>
            <w:proofErr w:type="spellEnd"/>
            <w:r w:rsidRPr="004230AD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pt-BR"/>
              </w:rPr>
              <w:t xml:space="preserve"> sp1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D914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222222"/>
                <w:lang w:val="en-US" w:eastAsia="pt-BR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85CC" w14:textId="77777777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F990F" w14:textId="23DAF8AF" w:rsidR="004230AD" w:rsidRPr="004230AD" w:rsidRDefault="004230AD" w:rsidP="00423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230AD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0</w:t>
            </w:r>
          </w:p>
        </w:tc>
      </w:tr>
    </w:tbl>
    <w:p w14:paraId="06E02CB7" w14:textId="4E6880C0" w:rsidR="004230AD" w:rsidRPr="00797A46" w:rsidRDefault="004230AD" w:rsidP="00E25FE2">
      <w:pPr>
        <w:sectPr w:rsidR="004230AD" w:rsidRPr="00797A46" w:rsidSect="004230AD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br w:type="page"/>
      </w:r>
    </w:p>
    <w:p w14:paraId="0583AED8" w14:textId="68AC1885" w:rsidR="004C12FA" w:rsidRPr="00B02824" w:rsidRDefault="004C12FA" w:rsidP="004C12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Model testing the </w:t>
      </w:r>
      <w:r w:rsidR="001016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relations between </w:t>
      </w:r>
      <w:r w:rsidR="00A33C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plant community </w:t>
      </w:r>
      <w:r w:rsidR="001016E2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A33C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galling insect abundance per individual</w:t>
      </w:r>
    </w:p>
    <w:p w14:paraId="2A5A7296" w14:textId="7FF7878B" w:rsidR="00B02824" w:rsidRPr="00B02824" w:rsidRDefault="00B545A2" w:rsidP="00B545A2">
      <w:pPr>
        <w:spacing w:line="240" w:lineRule="auto"/>
        <w:rPr>
          <w:rFonts w:ascii="Times New Roman" w:hAnsi="Times New Roman" w:cs="Times New Roman"/>
          <w:lang w:val="en-US"/>
        </w:rPr>
      </w:pPr>
      <w:r w:rsidRPr="00F11960">
        <w:rPr>
          <w:rFonts w:ascii="Times New Roman" w:hAnsi="Times New Roman" w:cs="Times New Roman"/>
          <w:b/>
          <w:bCs/>
          <w:lang w:val="en-US"/>
        </w:rPr>
        <w:t>Table</w:t>
      </w:r>
      <w:r w:rsidR="00F11960" w:rsidRPr="00F1196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248F7">
        <w:rPr>
          <w:rFonts w:ascii="Times New Roman" w:hAnsi="Times New Roman" w:cs="Times New Roman"/>
          <w:b/>
          <w:bCs/>
          <w:lang w:val="en-US"/>
        </w:rPr>
        <w:t>S2</w:t>
      </w:r>
      <w:r>
        <w:rPr>
          <w:rFonts w:ascii="Times New Roman" w:hAnsi="Times New Roman" w:cs="Times New Roman"/>
          <w:lang w:val="en-US"/>
        </w:rPr>
        <w:t xml:space="preserve"> </w:t>
      </w:r>
      <w:r w:rsidR="00F11960">
        <w:rPr>
          <w:rFonts w:ascii="Times New Roman" w:hAnsi="Times New Roman" w:cs="Times New Roman"/>
          <w:lang w:val="en-US"/>
        </w:rPr>
        <w:t xml:space="preserve">- </w:t>
      </w:r>
      <w:r>
        <w:rPr>
          <w:rFonts w:ascii="Times New Roman" w:hAnsi="Times New Roman" w:cs="Times New Roman"/>
          <w:lang w:val="en-US"/>
        </w:rPr>
        <w:t>model</w:t>
      </w:r>
      <w:r w:rsidR="00806AC2">
        <w:rPr>
          <w:rFonts w:ascii="Times New Roman" w:hAnsi="Times New Roman" w:cs="Times New Roman"/>
          <w:lang w:val="en-US"/>
        </w:rPr>
        <w:t xml:space="preserve"> selection with </w:t>
      </w:r>
      <w:r w:rsidR="00F11960">
        <w:rPr>
          <w:rFonts w:ascii="Times New Roman" w:hAnsi="Times New Roman" w:cs="Times New Roman"/>
          <w:lang w:val="en-US"/>
        </w:rPr>
        <w:t>d</w:t>
      </w:r>
      <w:r w:rsidR="00B02824" w:rsidRPr="00B02824">
        <w:rPr>
          <w:rFonts w:ascii="Times New Roman" w:hAnsi="Times New Roman" w:cs="Times New Roman"/>
          <w:lang w:val="en-US"/>
        </w:rPr>
        <w:t>redge</w:t>
      </w:r>
      <w:r w:rsidR="00B02824">
        <w:rPr>
          <w:rFonts w:ascii="Times New Roman" w:hAnsi="Times New Roman" w:cs="Times New Roman"/>
          <w:lang w:val="en-US"/>
        </w:rPr>
        <w:t xml:space="preserve"> </w:t>
      </w:r>
      <w:r w:rsidR="00806AC2">
        <w:rPr>
          <w:rFonts w:ascii="Times New Roman" w:hAnsi="Times New Roman" w:cs="Times New Roman"/>
          <w:lang w:val="en-US"/>
        </w:rPr>
        <w:t xml:space="preserve">function </w:t>
      </w:r>
      <w:r>
        <w:rPr>
          <w:rFonts w:ascii="Times New Roman" w:hAnsi="Times New Roman" w:cs="Times New Roman"/>
          <w:lang w:val="en-US"/>
        </w:rPr>
        <w:t xml:space="preserve">with only significant variables/interactions in all </w:t>
      </w:r>
      <w:r w:rsidR="00806AC2">
        <w:rPr>
          <w:rFonts w:ascii="Times New Roman" w:hAnsi="Times New Roman" w:cs="Times New Roman"/>
          <w:lang w:val="en-US"/>
        </w:rPr>
        <w:t>models with delta &lt; 2 + null model</w:t>
      </w:r>
      <w:r w:rsidR="00A33C8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A33C84" w:rsidRPr="00B02824">
        <w:rPr>
          <w:rFonts w:ascii="Times New Roman" w:hAnsi="Times New Roman" w:cs="Times New Roman"/>
          <w:lang w:val="en-US"/>
        </w:rPr>
        <w:t>Gall abundance as response variable and</w:t>
      </w:r>
      <w:r w:rsidR="00A33C84">
        <w:rPr>
          <w:rFonts w:ascii="Times New Roman" w:hAnsi="Times New Roman" w:cs="Times New Roman"/>
          <w:lang w:val="en-US"/>
        </w:rPr>
        <w:t xml:space="preserve"> </w:t>
      </w:r>
      <w:r w:rsidR="00A33C84" w:rsidRPr="00B02824">
        <w:rPr>
          <w:rFonts w:ascii="Times New Roman" w:hAnsi="Times New Roman" w:cs="Times New Roman"/>
          <w:lang w:val="en-US"/>
        </w:rPr>
        <w:t>host basal area per individual (</w:t>
      </w:r>
      <w:proofErr w:type="spellStart"/>
      <w:r w:rsidR="00A33C84">
        <w:rPr>
          <w:rFonts w:ascii="Times New Roman" w:hAnsi="Times New Roman" w:cs="Times New Roman"/>
          <w:lang w:val="en-US"/>
        </w:rPr>
        <w:t>ind</w:t>
      </w:r>
      <w:r w:rsidR="00A33C84" w:rsidRPr="00B02824">
        <w:rPr>
          <w:rFonts w:ascii="Times New Roman" w:hAnsi="Times New Roman" w:cs="Times New Roman"/>
          <w:lang w:val="en-US"/>
        </w:rPr>
        <w:t>BA</w:t>
      </w:r>
      <w:proofErr w:type="spellEnd"/>
      <w:r w:rsidR="00A33C84" w:rsidRPr="00B02824">
        <w:rPr>
          <w:rFonts w:ascii="Times New Roman" w:hAnsi="Times New Roman" w:cs="Times New Roman"/>
          <w:lang w:val="en-US"/>
        </w:rPr>
        <w:t>) and</w:t>
      </w:r>
      <w:r w:rsidR="00A33C84">
        <w:rPr>
          <w:rFonts w:ascii="Times New Roman" w:hAnsi="Times New Roman" w:cs="Times New Roman"/>
          <w:lang w:val="en-US"/>
        </w:rPr>
        <w:t xml:space="preserve"> per</w:t>
      </w:r>
      <w:r w:rsidR="00A33C84" w:rsidRPr="00B02824">
        <w:rPr>
          <w:rFonts w:ascii="Times New Roman" w:hAnsi="Times New Roman" w:cs="Times New Roman"/>
          <w:lang w:val="en-US"/>
        </w:rPr>
        <w:t xml:space="preserve"> plot (</w:t>
      </w:r>
      <w:proofErr w:type="spellStart"/>
      <w:r w:rsidR="00A33C84" w:rsidRPr="00B02824">
        <w:rPr>
          <w:rFonts w:ascii="Times New Roman" w:hAnsi="Times New Roman" w:cs="Times New Roman"/>
          <w:lang w:val="en-US"/>
        </w:rPr>
        <w:t>spBA</w:t>
      </w:r>
      <w:proofErr w:type="spellEnd"/>
      <w:r w:rsidR="00A33C84" w:rsidRPr="00B02824">
        <w:rPr>
          <w:rFonts w:ascii="Times New Roman" w:hAnsi="Times New Roman" w:cs="Times New Roman"/>
          <w:lang w:val="en-US"/>
        </w:rPr>
        <w:t>), Non-host basal area per plot (</w:t>
      </w:r>
      <w:proofErr w:type="spellStart"/>
      <w:r w:rsidR="00A33C84">
        <w:rPr>
          <w:rFonts w:ascii="Times New Roman" w:hAnsi="Times New Roman" w:cs="Times New Roman"/>
          <w:lang w:val="en-US"/>
        </w:rPr>
        <w:t>nhBA</w:t>
      </w:r>
      <w:proofErr w:type="spellEnd"/>
      <w:r w:rsidR="00A33C84" w:rsidRPr="00B02824">
        <w:rPr>
          <w:rFonts w:ascii="Times New Roman" w:hAnsi="Times New Roman" w:cs="Times New Roman"/>
          <w:lang w:val="en-US"/>
        </w:rPr>
        <w:t>) and</w:t>
      </w:r>
      <w:r w:rsidR="00A33C84" w:rsidRPr="00B02824">
        <w:rPr>
          <w:lang w:val="en-US"/>
        </w:rPr>
        <w:t xml:space="preserve"> </w:t>
      </w:r>
      <w:r w:rsidR="00A33C84" w:rsidRPr="00B02824">
        <w:rPr>
          <w:rFonts w:ascii="Times New Roman" w:hAnsi="Times New Roman" w:cs="Times New Roman"/>
          <w:lang w:val="en-US"/>
        </w:rPr>
        <w:t>Rarefied species richness (Srar)</w:t>
      </w:r>
      <w:r w:rsidR="00A33C84">
        <w:rPr>
          <w:rFonts w:ascii="Times New Roman" w:hAnsi="Times New Roman" w:cs="Times New Roman"/>
          <w:lang w:val="en-US"/>
        </w:rPr>
        <w:t xml:space="preserve"> and their interaction</w:t>
      </w:r>
      <w:r w:rsidR="00A33C84" w:rsidRPr="00B02824">
        <w:rPr>
          <w:rFonts w:ascii="Times New Roman" w:hAnsi="Times New Roman" w:cs="Times New Roman"/>
          <w:lang w:val="en-US"/>
        </w:rPr>
        <w:t xml:space="preserve"> as fixed variables, and species as random effect.</w:t>
      </w:r>
      <w:r w:rsidR="00A33C84">
        <w:rPr>
          <w:rFonts w:ascii="Times New Roman" w:hAnsi="Times New Roman" w:cs="Times New Roman"/>
          <w:lang w:val="en-US"/>
        </w:rPr>
        <w:t xml:space="preserve"> Model adjustment using Poisson distribution</w:t>
      </w:r>
      <w:r w:rsidR="00B9143B">
        <w:rPr>
          <w:rFonts w:ascii="Times New Roman" w:hAnsi="Times New Roman" w:cs="Times New Roman"/>
          <w:lang w:val="en-US"/>
        </w:rPr>
        <w:t xml:space="preserve">. Model </w:t>
      </w:r>
      <w:r w:rsidR="00F614B8">
        <w:rPr>
          <w:rFonts w:ascii="Times New Roman" w:hAnsi="Times New Roman" w:cs="Times New Roman"/>
          <w:lang w:val="en-US"/>
        </w:rPr>
        <w:t>11, 12</w:t>
      </w:r>
      <w:r w:rsidR="00B9143B">
        <w:rPr>
          <w:rFonts w:ascii="Times New Roman" w:hAnsi="Times New Roman" w:cs="Times New Roman"/>
          <w:lang w:val="en-US"/>
        </w:rPr>
        <w:t xml:space="preserve"> and </w:t>
      </w:r>
      <w:r w:rsidR="00F614B8">
        <w:rPr>
          <w:rFonts w:ascii="Times New Roman" w:hAnsi="Times New Roman" w:cs="Times New Roman"/>
          <w:lang w:val="en-US"/>
        </w:rPr>
        <w:t>20</w:t>
      </w:r>
      <w:r w:rsidR="00B9143B">
        <w:rPr>
          <w:rFonts w:ascii="Times New Roman" w:hAnsi="Times New Roman" w:cs="Times New Roman"/>
          <w:lang w:val="en-US"/>
        </w:rPr>
        <w:t xml:space="preserve"> were selected as the best model and included in the results</w:t>
      </w:r>
      <w:r w:rsidR="00F614B8">
        <w:rPr>
          <w:rFonts w:ascii="Times New Roman" w:hAnsi="Times New Roman" w:cs="Times New Roman"/>
          <w:lang w:val="en-US"/>
        </w:rPr>
        <w:t xml:space="preserve"> by parsimonious</w:t>
      </w:r>
      <w:r w:rsidR="00B9143B">
        <w:rPr>
          <w:rFonts w:ascii="Times New Roman" w:hAnsi="Times New Roman" w:cs="Times New Roman"/>
          <w:lang w:val="en-US"/>
        </w:rPr>
        <w:t xml:space="preserve">. </w:t>
      </w:r>
    </w:p>
    <w:tbl>
      <w:tblPr>
        <w:tblW w:w="14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046"/>
        <w:gridCol w:w="747"/>
        <w:gridCol w:w="686"/>
        <w:gridCol w:w="747"/>
        <w:gridCol w:w="747"/>
        <w:gridCol w:w="1280"/>
        <w:gridCol w:w="1164"/>
        <w:gridCol w:w="1315"/>
        <w:gridCol w:w="1103"/>
        <w:gridCol w:w="1193"/>
        <w:gridCol w:w="389"/>
        <w:gridCol w:w="808"/>
        <w:gridCol w:w="808"/>
        <w:gridCol w:w="820"/>
      </w:tblGrid>
      <w:tr w:rsidR="00F614B8" w:rsidRPr="00F614B8" w14:paraId="2C58AE60" w14:textId="77777777" w:rsidTr="00F614B8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8D81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Model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66E4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Intercept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A0782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NhBA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F118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spBA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0C80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indBA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5A54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Srar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2899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NhBA:SpBA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5E00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NhBA:Srar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0CC9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SpBA:IndBA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527A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spBA:Srar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EFBF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indBA:Srar</w:t>
            </w:r>
            <w:proofErr w:type="spell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646A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df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1F09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AICc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472B5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delta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59C4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weight</w:t>
            </w:r>
            <w:proofErr w:type="spellEnd"/>
          </w:p>
        </w:tc>
      </w:tr>
      <w:tr w:rsidR="00F614B8" w:rsidRPr="00F614B8" w14:paraId="6432A50D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724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68E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83E3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8FF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A8AE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FAF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6B30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01E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EEE0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CF4E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CCAC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C850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8D2C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B300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440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0.027</w:t>
            </w:r>
          </w:p>
        </w:tc>
      </w:tr>
      <w:tr w:rsidR="00F614B8" w:rsidRPr="00F614B8" w14:paraId="09084248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2C70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93EB0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6D12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2E8F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0.594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001C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218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31EC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0468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968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07E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889A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6F2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820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517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1.198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EC9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0.028</w:t>
            </w:r>
          </w:p>
        </w:tc>
      </w:tr>
      <w:tr w:rsidR="00F614B8" w:rsidRPr="00F614B8" w14:paraId="633F8ABE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3823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A14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67A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-0.249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4E5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0.688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1C6F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87C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52CD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3A0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028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A619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C88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0BC3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430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5FB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1.714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2F0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0.021</w:t>
            </w:r>
          </w:p>
        </w:tc>
      </w:tr>
      <w:tr w:rsidR="00F614B8" w:rsidRPr="00F614B8" w14:paraId="1FC0A3C6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A7B6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C28B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273E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46D8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0.733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D33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32E7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4F4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FBAD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D3D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19F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400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B0E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1A0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756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0D6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0.051</w:t>
            </w:r>
          </w:p>
        </w:tc>
      </w:tr>
      <w:tr w:rsidR="00F614B8" w:rsidRPr="00F614B8" w14:paraId="06CA7982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B2B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0749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4C73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-0.161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D84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0.568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F33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1DA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C69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7914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0.143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1A2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0F6F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A020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B42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235C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5E5A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1.042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8FF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0.03</w:t>
            </w:r>
          </w:p>
        </w:tc>
      </w:tr>
      <w:tr w:rsidR="00F614B8" w:rsidRPr="00F614B8" w14:paraId="4E779C5D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18F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748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52D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-0.202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1C11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0.751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A92E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1D30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6EB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0F2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BB9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E4B8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45D8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5A61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19F4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B90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1.178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FA8B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0.028</w:t>
            </w:r>
          </w:p>
        </w:tc>
      </w:tr>
      <w:tr w:rsidR="00F614B8" w:rsidRPr="00F614B8" w14:paraId="37434A56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849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32E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C1A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-0.201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304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F81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C9F6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CA3C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34C2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D459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482F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D28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A4D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E33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636B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1.836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780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0.02</w:t>
            </w:r>
          </w:p>
        </w:tc>
      </w:tr>
      <w:tr w:rsidR="00F614B8" w:rsidRPr="00F614B8" w14:paraId="717825B1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A75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AEC1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F755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-0.157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5355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2C6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672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324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402A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466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0.249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564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97F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EB2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F98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1006.1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DA1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0.145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E43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0.047</w:t>
            </w:r>
          </w:p>
        </w:tc>
      </w:tr>
      <w:tr w:rsidR="00F614B8" w:rsidRPr="00F614B8" w14:paraId="7779CE5E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AEB3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E76D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127F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-0.236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E1C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0.768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9DB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-0.133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1CE2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2D6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42C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BAB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8E5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7731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7B8C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D90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1006.9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AB7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0.911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22B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0.032</w:t>
            </w:r>
          </w:p>
        </w:tc>
      </w:tr>
      <w:tr w:rsidR="00F614B8" w:rsidRPr="00F614B8" w14:paraId="0C16F794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EE5D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F59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950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E7B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0.738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491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-0.153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1F7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5EF9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592A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005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5830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0A9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0.0338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567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00CC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7AC9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562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0.019</w:t>
            </w:r>
          </w:p>
        </w:tc>
      </w:tr>
      <w:tr w:rsidR="00F614B8" w:rsidRPr="00F614B8" w14:paraId="40B1EEC8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4A15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208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3F6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201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-0.155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4069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046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BE80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-0.216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B4C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0F4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0.137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061A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BF4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DEA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BBF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7A4C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1006.2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736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C519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0.045</w:t>
            </w:r>
          </w:p>
        </w:tc>
      </w:tr>
      <w:tr w:rsidR="00F614B8" w:rsidRPr="00F614B8" w14:paraId="74ABD70F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256F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C8D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107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553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0.707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F59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0C78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-0.166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32A7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AEF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5C34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14A7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1AE1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58F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D730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52AC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1.179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BBB5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0.028</w:t>
            </w:r>
          </w:p>
        </w:tc>
      </w:tr>
      <w:tr w:rsidR="00F614B8" w:rsidRPr="00F614B8" w14:paraId="0C712915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63F2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464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99C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373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05E5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2B8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-0.132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4EB2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F13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C823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0.156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FFC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4AA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0.0746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34AE0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5B8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0FF3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0C92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1.926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8C6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0.019</w:t>
            </w:r>
          </w:p>
        </w:tc>
      </w:tr>
      <w:tr w:rsidR="00F614B8" w:rsidRPr="00F614B8" w14:paraId="3103F7E7" w14:textId="77777777" w:rsidTr="00F614B8">
        <w:trPr>
          <w:trHeight w:val="30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1C00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224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A01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803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-0.175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C2F6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0.674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3F7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534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-0.191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E0D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-0.08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0AC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0.116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AF4A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0.242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1A7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81E1E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84029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247DF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1007.9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344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1.988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F10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color w:val="000000"/>
                <w:lang w:eastAsia="pt-BR"/>
              </w:rPr>
              <w:t>0.019</w:t>
            </w:r>
          </w:p>
        </w:tc>
      </w:tr>
      <w:tr w:rsidR="00F614B8" w:rsidRPr="00F614B8" w14:paraId="7087AC7B" w14:textId="77777777" w:rsidTr="00F614B8">
        <w:trPr>
          <w:trHeight w:val="300"/>
        </w:trPr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A1D68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Null</w:t>
            </w:r>
            <w:proofErr w:type="spellEnd"/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model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6D302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9BE5B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88DFD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BF01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6594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BD81A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E391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0BA1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FC791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7DCE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20126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30557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1041.7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0C214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35.763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2738C" w14:textId="77777777" w:rsidR="00F614B8" w:rsidRPr="00F614B8" w:rsidRDefault="00F614B8" w:rsidP="00F61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614B8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</w:tbl>
    <w:p w14:paraId="7EB1835C" w14:textId="1746EB88" w:rsidR="00F11960" w:rsidRDefault="00F11960">
      <w:pPr>
        <w:rPr>
          <w:rFonts w:ascii="Times New Roman" w:hAnsi="Times New Roman" w:cs="Times New Roman"/>
          <w:lang w:val="en-US"/>
        </w:rPr>
      </w:pPr>
    </w:p>
    <w:p w14:paraId="16C67635" w14:textId="56B192C3" w:rsidR="00977EF7" w:rsidRDefault="00977EF7">
      <w:pPr>
        <w:rPr>
          <w:rFonts w:ascii="Times New Roman" w:hAnsi="Times New Roman" w:cs="Times New Roman"/>
          <w:lang w:val="en-US"/>
        </w:rPr>
      </w:pPr>
    </w:p>
    <w:p w14:paraId="755835ED" w14:textId="5419C54D" w:rsidR="00977EF7" w:rsidRDefault="00977EF7">
      <w:pPr>
        <w:rPr>
          <w:rFonts w:ascii="Times New Roman" w:hAnsi="Times New Roman" w:cs="Times New Roman"/>
          <w:lang w:val="en-US"/>
        </w:rPr>
      </w:pPr>
    </w:p>
    <w:p w14:paraId="7BB2ECB7" w14:textId="1A302F34" w:rsidR="00977EF7" w:rsidRDefault="00977EF7">
      <w:pPr>
        <w:rPr>
          <w:rFonts w:ascii="Times New Roman" w:hAnsi="Times New Roman" w:cs="Times New Roman"/>
          <w:lang w:val="en-US"/>
        </w:rPr>
      </w:pPr>
    </w:p>
    <w:p w14:paraId="458FA825" w14:textId="77777777" w:rsidR="00977EF7" w:rsidRDefault="00977EF7">
      <w:pPr>
        <w:rPr>
          <w:rFonts w:ascii="Times New Roman" w:hAnsi="Times New Roman" w:cs="Times New Roman"/>
          <w:lang w:val="en-US"/>
        </w:rPr>
      </w:pPr>
    </w:p>
    <w:p w14:paraId="6AA2A48A" w14:textId="071DE642" w:rsidR="00A33C84" w:rsidRDefault="00A33C84" w:rsidP="00A33C8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 xml:space="preserve">Table S3 </w:t>
      </w:r>
      <w:r>
        <w:rPr>
          <w:rFonts w:ascii="Times New Roman" w:hAnsi="Times New Roman" w:cs="Times New Roman"/>
          <w:lang w:val="en-US"/>
        </w:rPr>
        <w:t>–</w:t>
      </w:r>
      <w:r w:rsidRPr="00B0282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Best model</w:t>
      </w:r>
      <w:r w:rsidR="00977EF7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by </w:t>
      </w:r>
      <w:proofErr w:type="spellStart"/>
      <w:r w:rsidRPr="00B02824">
        <w:rPr>
          <w:rFonts w:ascii="Times New Roman" w:hAnsi="Times New Roman" w:cs="Times New Roman"/>
          <w:lang w:val="en-US"/>
        </w:rPr>
        <w:t>AICc</w:t>
      </w:r>
      <w:proofErr w:type="spellEnd"/>
      <w:r w:rsidRPr="00B02824">
        <w:rPr>
          <w:rFonts w:ascii="Times New Roman" w:hAnsi="Times New Roman" w:cs="Times New Roman"/>
          <w:lang w:val="en-US"/>
        </w:rPr>
        <w:t xml:space="preserve"> and parsimony using Gall infestation as response variable</w:t>
      </w:r>
      <w:r>
        <w:rPr>
          <w:rFonts w:ascii="Times New Roman" w:hAnsi="Times New Roman" w:cs="Times New Roman"/>
          <w:lang w:val="en-US"/>
        </w:rPr>
        <w:t xml:space="preserve"> and </w:t>
      </w:r>
      <w:r w:rsidRPr="00B02824">
        <w:rPr>
          <w:rFonts w:ascii="Times New Roman" w:hAnsi="Times New Roman" w:cs="Times New Roman"/>
          <w:lang w:val="en-US"/>
        </w:rPr>
        <w:t xml:space="preserve">host basal area </w:t>
      </w:r>
      <w:r>
        <w:rPr>
          <w:rFonts w:ascii="Times New Roman" w:hAnsi="Times New Roman" w:cs="Times New Roman"/>
          <w:lang w:val="en-US"/>
        </w:rPr>
        <w:t>per</w:t>
      </w:r>
      <w:r w:rsidRPr="00B02824">
        <w:rPr>
          <w:rFonts w:ascii="Times New Roman" w:hAnsi="Times New Roman" w:cs="Times New Roman"/>
          <w:lang w:val="en-US"/>
        </w:rPr>
        <w:t xml:space="preserve"> plot (</w:t>
      </w:r>
      <w:proofErr w:type="spellStart"/>
      <w:r w:rsidRPr="00B02824">
        <w:rPr>
          <w:rFonts w:ascii="Times New Roman" w:hAnsi="Times New Roman" w:cs="Times New Roman"/>
          <w:lang w:val="en-US"/>
        </w:rPr>
        <w:t>spBA</w:t>
      </w:r>
      <w:proofErr w:type="spellEnd"/>
      <w:r w:rsidRPr="00B02824">
        <w:rPr>
          <w:rFonts w:ascii="Times New Roman" w:hAnsi="Times New Roman" w:cs="Times New Roman"/>
          <w:lang w:val="en-US"/>
        </w:rPr>
        <w:t>), Non-host basal area per plot (</w:t>
      </w:r>
      <w:proofErr w:type="spellStart"/>
      <w:r>
        <w:rPr>
          <w:rFonts w:ascii="Times New Roman" w:hAnsi="Times New Roman" w:cs="Times New Roman"/>
          <w:lang w:val="en-US"/>
        </w:rPr>
        <w:t>nhBA</w:t>
      </w:r>
      <w:proofErr w:type="spellEnd"/>
      <w:r w:rsidRPr="00B02824">
        <w:rPr>
          <w:rFonts w:ascii="Times New Roman" w:hAnsi="Times New Roman" w:cs="Times New Roman"/>
          <w:lang w:val="en-US"/>
        </w:rPr>
        <w:t>)</w:t>
      </w:r>
      <w:r w:rsidR="0074306D">
        <w:rPr>
          <w:rFonts w:ascii="Times New Roman" w:hAnsi="Times New Roman" w:cs="Times New Roman"/>
          <w:lang w:val="en-US"/>
        </w:rPr>
        <w:t>, rarefied species richness (Srar)</w:t>
      </w:r>
      <w:r w:rsidRPr="00B02824">
        <w:rPr>
          <w:rFonts w:ascii="Times New Roman" w:hAnsi="Times New Roman" w:cs="Times New Roman"/>
          <w:lang w:val="en-US"/>
        </w:rPr>
        <w:t xml:space="preserve"> </w:t>
      </w:r>
      <w:r w:rsidR="0074306D">
        <w:rPr>
          <w:rFonts w:ascii="Times New Roman" w:hAnsi="Times New Roman" w:cs="Times New Roman"/>
          <w:lang w:val="en-US"/>
        </w:rPr>
        <w:t xml:space="preserve">and </w:t>
      </w:r>
      <w:r w:rsidR="00977EF7">
        <w:rPr>
          <w:rFonts w:ascii="Times New Roman" w:hAnsi="Times New Roman" w:cs="Times New Roman"/>
          <w:lang w:val="en-US"/>
        </w:rPr>
        <w:t xml:space="preserve">non-host basal area and host basal area </w:t>
      </w:r>
      <w:r w:rsidR="0074306D">
        <w:rPr>
          <w:rFonts w:ascii="Times New Roman" w:hAnsi="Times New Roman" w:cs="Times New Roman"/>
          <w:lang w:val="en-US"/>
        </w:rPr>
        <w:t xml:space="preserve">interaction </w:t>
      </w:r>
      <w:r w:rsidR="00977EF7">
        <w:rPr>
          <w:rFonts w:ascii="Times New Roman" w:hAnsi="Times New Roman" w:cs="Times New Roman"/>
          <w:lang w:val="en-US"/>
        </w:rPr>
        <w:t>(</w:t>
      </w:r>
      <w:proofErr w:type="spellStart"/>
      <w:r w:rsidR="00977EF7">
        <w:rPr>
          <w:rFonts w:ascii="Times New Roman" w:hAnsi="Times New Roman" w:cs="Times New Roman"/>
          <w:lang w:val="en-US"/>
        </w:rPr>
        <w:t>NhBA:spBA</w:t>
      </w:r>
      <w:proofErr w:type="spellEnd"/>
      <w:r w:rsidR="00977EF7">
        <w:rPr>
          <w:rFonts w:ascii="Times New Roman" w:hAnsi="Times New Roman" w:cs="Times New Roman"/>
          <w:lang w:val="en-US"/>
        </w:rPr>
        <w:t xml:space="preserve"> ) </w:t>
      </w:r>
      <w:r w:rsidRPr="00B02824">
        <w:rPr>
          <w:rFonts w:ascii="Times New Roman" w:hAnsi="Times New Roman" w:cs="Times New Roman"/>
          <w:lang w:val="en-US"/>
        </w:rPr>
        <w:t>as fixed variables, and species as random effect.</w:t>
      </w:r>
    </w:p>
    <w:tbl>
      <w:tblPr>
        <w:tblStyle w:val="Tabelacomgrade"/>
        <w:tblW w:w="13041" w:type="dxa"/>
        <w:jc w:val="center"/>
        <w:tblLook w:val="04A0" w:firstRow="1" w:lastRow="0" w:firstColumn="1" w:lastColumn="0" w:noHBand="0" w:noVBand="1"/>
      </w:tblPr>
      <w:tblGrid>
        <w:gridCol w:w="1554"/>
        <w:gridCol w:w="1371"/>
        <w:gridCol w:w="1371"/>
        <w:gridCol w:w="1371"/>
        <w:gridCol w:w="1258"/>
        <w:gridCol w:w="1258"/>
        <w:gridCol w:w="1258"/>
        <w:gridCol w:w="1200"/>
        <w:gridCol w:w="1200"/>
        <w:gridCol w:w="1200"/>
      </w:tblGrid>
      <w:tr w:rsidR="00977EF7" w:rsidRPr="00B02824" w14:paraId="7928BB51" w14:textId="552A008A" w:rsidTr="00977EF7">
        <w:trPr>
          <w:jc w:val="center"/>
        </w:trPr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F343F" w14:textId="5AB530DC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Fixed Effects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4473B" w14:textId="3E77A1FB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β Model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91B90" w14:textId="4D924D54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β Model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5E7FE" w14:textId="6912C418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β Model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F02AC" w14:textId="233C0985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Std.Error</w:t>
            </w:r>
            <w:proofErr w:type="spellEnd"/>
          </w:p>
          <w:p w14:paraId="16BD5D1B" w14:textId="6DB5418D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B2DF1" w14:textId="77777777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Std.Error</w:t>
            </w:r>
            <w:proofErr w:type="spellEnd"/>
          </w:p>
          <w:p w14:paraId="3B4AFDB9" w14:textId="7A06D54E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Model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8A530" w14:textId="77777777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Std.Error</w:t>
            </w:r>
            <w:proofErr w:type="spellEnd"/>
          </w:p>
          <w:p w14:paraId="72647A07" w14:textId="7D78F57B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B2819" w14:textId="6798F7BA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  <w:p w14:paraId="79A990E6" w14:textId="52DA6DA1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B3EB7" w14:textId="77777777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  <w:p w14:paraId="07F3A3D8" w14:textId="1B3785AD" w:rsidR="00977EF7" w:rsidRPr="006F0887" w:rsidRDefault="00977EF7" w:rsidP="006F088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Model 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B1637" w14:textId="77777777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>p-value</w:t>
            </w:r>
          </w:p>
          <w:p w14:paraId="476380EE" w14:textId="0B3CCDC1" w:rsidR="00977EF7" w:rsidRPr="006F0887" w:rsidRDefault="00977EF7" w:rsidP="00977E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88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Model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</w:tr>
      <w:tr w:rsidR="00977EF7" w:rsidRPr="00B02824" w14:paraId="29C46575" w14:textId="4F55F949" w:rsidTr="00977EF7">
        <w:trPr>
          <w:jc w:val="center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F71BF81" w14:textId="78FF4305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NhBA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9CCC3C1" w14:textId="563AE718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96DDD64" w14:textId="1AAE5DED" w:rsidR="00977EF7" w:rsidRDefault="00977EF7" w:rsidP="00977EF7">
            <w:pPr>
              <w:tabs>
                <w:tab w:val="left" w:pos="525"/>
                <w:tab w:val="center" w:pos="577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-0.16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DF63F83" w14:textId="6B7087D8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-0.24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F7EA1BF" w14:textId="6EF998C5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C7B67B4" w14:textId="05B034F5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069D7E32" w14:textId="129B9EBF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8100609" w14:textId="5B77A021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5CF3C8D" w14:textId="71755F77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04942A8" w14:textId="0C89862E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0.025</w:t>
            </w:r>
          </w:p>
        </w:tc>
      </w:tr>
      <w:tr w:rsidR="00977EF7" w:rsidRPr="00B02824" w14:paraId="31F3FE64" w14:textId="058EF868" w:rsidTr="00977EF7">
        <w:trPr>
          <w:jc w:val="center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E74F957" w14:textId="67C5D6B9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SpBA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188E7585" w14:textId="37C224FC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0.64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EBE0B01" w14:textId="02B2192B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0.59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B2EF456" w14:textId="2C8942E5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0.68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C3F2CFC" w14:textId="233D8577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31EAB7C" w14:textId="2BD932DD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83319FC" w14:textId="6B02C1C1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EAD85D5" w14:textId="145C91DE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6939F3" w14:textId="45B58E36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8DC6B4C" w14:textId="1B3A0780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0.000</w:t>
            </w:r>
          </w:p>
        </w:tc>
      </w:tr>
      <w:tr w:rsidR="00977EF7" w:rsidRPr="00B02824" w14:paraId="6EEB17B2" w14:textId="77777777" w:rsidTr="00977EF7">
        <w:trPr>
          <w:jc w:val="center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686061E" w14:textId="7C755A80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7EF7">
              <w:rPr>
                <w:rFonts w:ascii="Times New Roman" w:hAnsi="Times New Roman" w:cs="Times New Roman"/>
                <w:lang w:val="en-US"/>
              </w:rPr>
              <w:t>NhBA:SpBA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A59C3D" w14:textId="511583D0" w:rsidR="00977EF7" w:rsidRP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267CD37" w14:textId="416EB461" w:rsidR="00977EF7" w:rsidRP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33896F7" w14:textId="64C55366" w:rsidR="00977EF7" w:rsidRP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-0.21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6D044F5B" w14:textId="011D63E6" w:rsidR="00977EF7" w:rsidRP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596536CA" w14:textId="5F8E1AFC" w:rsidR="00977EF7" w:rsidRP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AF3D068" w14:textId="31E5675D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8EE446" w14:textId="69AE2ABC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2D817A4" w14:textId="59AA56E5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0FA99F" w14:textId="439ED539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0.07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977EF7" w:rsidRPr="00B02824" w14:paraId="503B618B" w14:textId="1B0D2152" w:rsidTr="00977EF7">
        <w:trPr>
          <w:jc w:val="center"/>
        </w:trPr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F277" w14:textId="2891E4B5" w:rsidR="00977EF7" w:rsidRPr="00B02824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Srar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87D33" w14:textId="03455449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-0.25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7C952" w14:textId="460F7AAA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-0.21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540B8" w14:textId="76D47EE8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326AE" w14:textId="0202BB28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FBD86" w14:textId="6388517A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EF7">
              <w:rPr>
                <w:rFonts w:ascii="Times New Roman" w:hAnsi="Times New Roman" w:cs="Times New Roman"/>
                <w:lang w:val="en-US"/>
              </w:rPr>
              <w:t>0.1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9D974" w14:textId="48BB18D3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68F20" w14:textId="6EAD95E6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DA97A" w14:textId="4E25FF59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4110B" w14:textId="4914F243" w:rsidR="00977EF7" w:rsidRDefault="00977EF7" w:rsidP="00977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41D28AD4" w14:textId="77777777" w:rsidR="00F11960" w:rsidRDefault="00F11960" w:rsidP="00E25FE2">
      <w:pPr>
        <w:rPr>
          <w:rFonts w:ascii="Times New Roman" w:hAnsi="Times New Roman" w:cs="Times New Roman"/>
          <w:lang w:val="en-US"/>
        </w:rPr>
        <w:sectPr w:rsidR="00F11960" w:rsidSect="004230AD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96A9576" w14:textId="18D9E2DB" w:rsidR="00B02824" w:rsidRDefault="00B02824" w:rsidP="00E25FE2">
      <w:pPr>
        <w:rPr>
          <w:rFonts w:ascii="Times New Roman" w:hAnsi="Times New Roman" w:cs="Times New Roman"/>
          <w:lang w:val="en-US"/>
        </w:rPr>
      </w:pPr>
    </w:p>
    <w:p w14:paraId="79E09C7C" w14:textId="77777777" w:rsidR="004C12FA" w:rsidRDefault="004C12FA" w:rsidP="00E25FE2">
      <w:pPr>
        <w:rPr>
          <w:rFonts w:ascii="Times New Roman" w:hAnsi="Times New Roman" w:cs="Times New Roman"/>
          <w:lang w:val="en-US"/>
        </w:rPr>
      </w:pPr>
    </w:p>
    <w:p w14:paraId="57927EE7" w14:textId="32057EBE" w:rsidR="00B02824" w:rsidRPr="00B02824" w:rsidRDefault="004C12FA" w:rsidP="00B0282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Model testing the top-down force of galling insect in the host fitness</w:t>
      </w:r>
    </w:p>
    <w:p w14:paraId="0453D045" w14:textId="24569613" w:rsidR="004C12FA" w:rsidRDefault="004C12FA" w:rsidP="004C12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S4 -</w:t>
      </w:r>
      <w:r w:rsidRPr="004C12FA">
        <w:rPr>
          <w:rFonts w:ascii="Times New Roman" w:hAnsi="Times New Roman" w:cs="Times New Roman"/>
          <w:lang w:val="en-US"/>
        </w:rPr>
        <w:t xml:space="preserve"> </w:t>
      </w:r>
      <w:r w:rsidRPr="00B02824">
        <w:rPr>
          <w:rFonts w:ascii="Times New Roman" w:hAnsi="Times New Roman" w:cs="Times New Roman"/>
          <w:lang w:val="en-US"/>
        </w:rPr>
        <w:t>Logistic model using reproductive activity as response variable, and Gall abundance as fixed variable</w:t>
      </w:r>
      <w:r>
        <w:rPr>
          <w:rFonts w:ascii="Times New Roman" w:hAnsi="Times New Roman" w:cs="Times New Roman"/>
          <w:lang w:val="en-US"/>
        </w:rPr>
        <w:t>,</w:t>
      </w:r>
      <w:r w:rsidRPr="00B02824">
        <w:rPr>
          <w:rFonts w:ascii="Times New Roman" w:hAnsi="Times New Roman" w:cs="Times New Roman"/>
          <w:lang w:val="en-US"/>
        </w:rPr>
        <w:t xml:space="preserve"> and species</w:t>
      </w:r>
      <w:r>
        <w:rPr>
          <w:rFonts w:ascii="Times New Roman" w:hAnsi="Times New Roman" w:cs="Times New Roman"/>
          <w:lang w:val="en-US"/>
        </w:rPr>
        <w:t xml:space="preserve"> and plot</w:t>
      </w:r>
      <w:r w:rsidRPr="00B02824">
        <w:rPr>
          <w:rFonts w:ascii="Times New Roman" w:hAnsi="Times New Roman" w:cs="Times New Roman"/>
          <w:lang w:val="en-US"/>
        </w:rPr>
        <w:t xml:space="preserve"> as random effect.</w:t>
      </w:r>
      <w:r w:rsidRPr="004C12FA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elacomgrade"/>
        <w:tblW w:w="601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1108"/>
        <w:gridCol w:w="1157"/>
        <w:gridCol w:w="1445"/>
      </w:tblGrid>
      <w:tr w:rsidR="00B9143B" w:rsidRPr="00B02824" w14:paraId="5658BD60" w14:textId="77777777" w:rsidTr="004C12FA">
        <w:trPr>
          <w:jc w:val="center"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207E55AC" w14:textId="36D30E12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 w:rsidRPr="00B02824">
              <w:rPr>
                <w:rFonts w:ascii="Times New Roman" w:hAnsi="Times New Roman" w:cs="Times New Roman"/>
                <w:lang w:val="en-US"/>
              </w:rPr>
              <w:t>Fixed Effects: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14:paraId="29A96FA4" w14:textId="6D8BE483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Intercept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42CBD58" w14:textId="442B1FCC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02824">
              <w:rPr>
                <w:rFonts w:ascii="Times New Roman" w:hAnsi="Times New Roman" w:cs="Times New Roman"/>
                <w:lang w:val="en-US"/>
              </w:rPr>
              <w:t>Std.Error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494AA5F" w14:textId="3C452120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p-value</w:t>
            </w:r>
          </w:p>
        </w:tc>
      </w:tr>
      <w:tr w:rsidR="00B9143B" w:rsidRPr="00B02824" w14:paraId="7032A8B1" w14:textId="77777777" w:rsidTr="00B9143B">
        <w:trPr>
          <w:jc w:val="center"/>
        </w:trPr>
        <w:tc>
          <w:tcPr>
            <w:tcW w:w="2305" w:type="dxa"/>
          </w:tcPr>
          <w:p w14:paraId="5518222B" w14:textId="61413F67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 w:rsidRPr="00B02824">
              <w:rPr>
                <w:rFonts w:ascii="Times New Roman" w:hAnsi="Times New Roman" w:cs="Times New Roman"/>
                <w:lang w:val="en-US"/>
              </w:rPr>
              <w:t>Scale(Gall abundance)</w:t>
            </w:r>
          </w:p>
        </w:tc>
        <w:tc>
          <w:tcPr>
            <w:tcW w:w="1108" w:type="dxa"/>
          </w:tcPr>
          <w:p w14:paraId="19E39BA6" w14:textId="682E6832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 w:rsidRPr="00B02824">
              <w:rPr>
                <w:rFonts w:ascii="Times New Roman" w:hAnsi="Times New Roman" w:cs="Times New Roman"/>
                <w:lang w:val="en-US"/>
              </w:rPr>
              <w:t>-0.2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1157" w:type="dxa"/>
          </w:tcPr>
          <w:p w14:paraId="4BD6E27B" w14:textId="212B1056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 w:rsidRPr="00B02824">
              <w:rPr>
                <w:rFonts w:ascii="Times New Roman" w:hAnsi="Times New Roman" w:cs="Times New Roman"/>
                <w:lang w:val="en-US"/>
              </w:rPr>
              <w:t>0.11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45" w:type="dxa"/>
          </w:tcPr>
          <w:p w14:paraId="69189C57" w14:textId="2E311CCC" w:rsidR="00B9143B" w:rsidRPr="00B02824" w:rsidRDefault="00B9143B" w:rsidP="00B9143B">
            <w:pPr>
              <w:rPr>
                <w:rFonts w:ascii="Times New Roman" w:hAnsi="Times New Roman" w:cs="Times New Roman"/>
                <w:lang w:val="en-US"/>
              </w:rPr>
            </w:pPr>
            <w:r w:rsidRPr="00B02824">
              <w:rPr>
                <w:rFonts w:ascii="Times New Roman" w:hAnsi="Times New Roman" w:cs="Times New Roman"/>
                <w:lang w:val="en-US"/>
              </w:rPr>
              <w:t>0.01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</w:tbl>
    <w:p w14:paraId="506853FA" w14:textId="4FD12D1E" w:rsidR="00357A7D" w:rsidRPr="00B02824" w:rsidRDefault="00357A7D" w:rsidP="00E25FE2">
      <w:pPr>
        <w:rPr>
          <w:rFonts w:ascii="Times New Roman" w:hAnsi="Times New Roman" w:cs="Times New Roman"/>
        </w:rPr>
      </w:pPr>
    </w:p>
    <w:sectPr w:rsidR="00357A7D" w:rsidRPr="00B02824" w:rsidSect="004230A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EAB0" w14:textId="77777777" w:rsidR="00190FFA" w:rsidRDefault="00190FFA" w:rsidP="003F398B">
      <w:pPr>
        <w:spacing w:after="0" w:line="240" w:lineRule="auto"/>
      </w:pPr>
      <w:r>
        <w:separator/>
      </w:r>
    </w:p>
  </w:endnote>
  <w:endnote w:type="continuationSeparator" w:id="0">
    <w:p w14:paraId="2E5A6E20" w14:textId="77777777" w:rsidR="00190FFA" w:rsidRDefault="00190FFA" w:rsidP="003F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ABD4E" w14:textId="77777777" w:rsidR="00190FFA" w:rsidRDefault="00190FFA" w:rsidP="003F398B">
      <w:pPr>
        <w:spacing w:after="0" w:line="240" w:lineRule="auto"/>
      </w:pPr>
      <w:r>
        <w:separator/>
      </w:r>
    </w:p>
  </w:footnote>
  <w:footnote w:type="continuationSeparator" w:id="0">
    <w:p w14:paraId="66692572" w14:textId="77777777" w:rsidR="00190FFA" w:rsidRDefault="00190FFA" w:rsidP="003F3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2"/>
    <w:rsid w:val="000E70A4"/>
    <w:rsid w:val="001016E2"/>
    <w:rsid w:val="00127D5A"/>
    <w:rsid w:val="00190FFA"/>
    <w:rsid w:val="001A7E2A"/>
    <w:rsid w:val="00260D01"/>
    <w:rsid w:val="002B4D6E"/>
    <w:rsid w:val="00312FB2"/>
    <w:rsid w:val="00321958"/>
    <w:rsid w:val="00322209"/>
    <w:rsid w:val="00357A7D"/>
    <w:rsid w:val="003F398B"/>
    <w:rsid w:val="00407186"/>
    <w:rsid w:val="004230AD"/>
    <w:rsid w:val="00450743"/>
    <w:rsid w:val="00463569"/>
    <w:rsid w:val="004C12FA"/>
    <w:rsid w:val="004F6FE1"/>
    <w:rsid w:val="00514D91"/>
    <w:rsid w:val="0054212A"/>
    <w:rsid w:val="005D211D"/>
    <w:rsid w:val="006F0887"/>
    <w:rsid w:val="00706DF5"/>
    <w:rsid w:val="0074306D"/>
    <w:rsid w:val="00753297"/>
    <w:rsid w:val="00797A46"/>
    <w:rsid w:val="007A416A"/>
    <w:rsid w:val="00806AC2"/>
    <w:rsid w:val="0090019F"/>
    <w:rsid w:val="00920D8C"/>
    <w:rsid w:val="009248F7"/>
    <w:rsid w:val="00977EF7"/>
    <w:rsid w:val="009C6CFE"/>
    <w:rsid w:val="00A33C84"/>
    <w:rsid w:val="00AB2756"/>
    <w:rsid w:val="00B02824"/>
    <w:rsid w:val="00B545A2"/>
    <w:rsid w:val="00B9143B"/>
    <w:rsid w:val="00D50417"/>
    <w:rsid w:val="00E25FE2"/>
    <w:rsid w:val="00EC2E1B"/>
    <w:rsid w:val="00F11960"/>
    <w:rsid w:val="00F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5E4"/>
  <w15:chartTrackingRefBased/>
  <w15:docId w15:val="{09BAA273-5D27-41D4-B3E4-11D348D6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0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F6F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6F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6F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6F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6F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F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98B"/>
  </w:style>
  <w:style w:type="paragraph" w:styleId="Rodap">
    <w:name w:val="footer"/>
    <w:basedOn w:val="Normal"/>
    <w:link w:val="RodapChar"/>
    <w:uiPriority w:val="99"/>
    <w:unhideWhenUsed/>
    <w:rsid w:val="003F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vitorcampanamartini@outlook.com</dc:creator>
  <cp:keywords/>
  <dc:description/>
  <cp:lastModifiedBy>vitorcampanamartini@outlook.com</cp:lastModifiedBy>
  <cp:revision>3</cp:revision>
  <dcterms:created xsi:type="dcterms:W3CDTF">2021-04-01T14:49:00Z</dcterms:created>
  <dcterms:modified xsi:type="dcterms:W3CDTF">2021-04-01T15:40:00Z</dcterms:modified>
</cp:coreProperties>
</file>