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83A0B" w14:textId="77777777" w:rsidR="00225216" w:rsidRPr="00BD0223" w:rsidRDefault="00225216" w:rsidP="000F0A4F">
      <w:pPr>
        <w:pStyle w:val="TNORMAL"/>
        <w:ind w:firstLine="0"/>
        <w:jc w:val="center"/>
        <w:rPr>
          <w:rFonts w:eastAsia="Calibri"/>
          <w:b/>
          <w:szCs w:val="24"/>
        </w:rPr>
      </w:pPr>
      <w:r w:rsidRPr="00BD0223">
        <w:rPr>
          <w:rFonts w:eastAsia="Calibri"/>
          <w:b/>
          <w:szCs w:val="24"/>
        </w:rPr>
        <w:t>UNIVERSIDADE FEDERAL DE UBERLÂNDIA</w:t>
      </w:r>
    </w:p>
    <w:p w14:paraId="00A78D92" w14:textId="1372A89D" w:rsidR="00225216" w:rsidRPr="00BD0223" w:rsidRDefault="00225216" w:rsidP="000F0A4F">
      <w:pPr>
        <w:pStyle w:val="TNORMAL"/>
        <w:ind w:firstLine="0"/>
        <w:jc w:val="center"/>
        <w:rPr>
          <w:rFonts w:eastAsia="Calibri"/>
          <w:b/>
          <w:szCs w:val="24"/>
        </w:rPr>
      </w:pPr>
      <w:r w:rsidRPr="00BD0223">
        <w:rPr>
          <w:rFonts w:eastAsia="Calibri"/>
          <w:b/>
          <w:szCs w:val="24"/>
        </w:rPr>
        <w:t>INSTITUTO DE ECONOMIA E RELAÇ</w:t>
      </w:r>
      <w:r w:rsidR="002345BD">
        <w:rPr>
          <w:rFonts w:eastAsia="Calibri"/>
          <w:b/>
          <w:szCs w:val="24"/>
        </w:rPr>
        <w:t>ÕES</w:t>
      </w:r>
      <w:r w:rsidRPr="00BD0223">
        <w:rPr>
          <w:rFonts w:eastAsia="Calibri"/>
          <w:b/>
          <w:szCs w:val="24"/>
        </w:rPr>
        <w:t xml:space="preserve"> INTERNACIONAIS</w:t>
      </w:r>
    </w:p>
    <w:p w14:paraId="36EEB7C9" w14:textId="67B87B53" w:rsidR="00225216" w:rsidRPr="00BD0223" w:rsidRDefault="002345BD" w:rsidP="000F0A4F">
      <w:pPr>
        <w:pStyle w:val="TNORMAL"/>
        <w:ind w:firstLine="0"/>
        <w:jc w:val="center"/>
        <w:rPr>
          <w:rFonts w:eastAsia="Calibri"/>
          <w:b/>
          <w:szCs w:val="24"/>
        </w:rPr>
      </w:pPr>
      <w:r>
        <w:rPr>
          <w:rFonts w:eastAsia="Calibri"/>
          <w:b/>
          <w:szCs w:val="24"/>
        </w:rPr>
        <w:t xml:space="preserve">GRADUAÇÃO EM </w:t>
      </w:r>
      <w:r w:rsidR="00225216" w:rsidRPr="00BD0223">
        <w:rPr>
          <w:rFonts w:eastAsia="Calibri"/>
          <w:b/>
          <w:szCs w:val="24"/>
        </w:rPr>
        <w:t>CIÊNCIAS ECONÔMICAS</w:t>
      </w:r>
    </w:p>
    <w:p w14:paraId="7F0D7821" w14:textId="550B63CE" w:rsidR="00225216" w:rsidRDefault="00225216" w:rsidP="000F0A4F">
      <w:pPr>
        <w:pStyle w:val="TNORMAL"/>
        <w:ind w:firstLine="0"/>
        <w:jc w:val="center"/>
        <w:rPr>
          <w:rFonts w:eastAsia="Calibri"/>
          <w:szCs w:val="24"/>
        </w:rPr>
      </w:pPr>
    </w:p>
    <w:p w14:paraId="3100CB1A" w14:textId="067C6231" w:rsidR="002345BD" w:rsidRDefault="002345BD" w:rsidP="000F0A4F">
      <w:pPr>
        <w:pStyle w:val="TNORMAL"/>
        <w:ind w:firstLine="0"/>
        <w:jc w:val="center"/>
        <w:rPr>
          <w:rFonts w:eastAsia="Calibri"/>
          <w:szCs w:val="24"/>
        </w:rPr>
      </w:pPr>
    </w:p>
    <w:p w14:paraId="6CCF98B0" w14:textId="77777777" w:rsidR="002345BD" w:rsidRPr="00BD0223" w:rsidRDefault="002345BD" w:rsidP="000F0A4F">
      <w:pPr>
        <w:pStyle w:val="TNORMAL"/>
        <w:ind w:firstLine="0"/>
        <w:jc w:val="center"/>
        <w:rPr>
          <w:rFonts w:eastAsia="Calibri"/>
          <w:szCs w:val="24"/>
        </w:rPr>
      </w:pPr>
    </w:p>
    <w:p w14:paraId="42C674B0" w14:textId="3366B574" w:rsidR="00225216" w:rsidRPr="00BD0223" w:rsidRDefault="00225216" w:rsidP="000F0A4F">
      <w:pPr>
        <w:pStyle w:val="TNORMAL"/>
        <w:ind w:firstLine="0"/>
        <w:jc w:val="center"/>
        <w:rPr>
          <w:rFonts w:eastAsia="Calibri"/>
          <w:szCs w:val="24"/>
        </w:rPr>
      </w:pPr>
    </w:p>
    <w:p w14:paraId="52775097" w14:textId="77777777" w:rsidR="00225216" w:rsidRPr="00BD0223" w:rsidRDefault="00225216" w:rsidP="000F0A4F">
      <w:pPr>
        <w:pStyle w:val="TNORMAL"/>
        <w:ind w:firstLine="0"/>
        <w:jc w:val="center"/>
        <w:rPr>
          <w:rFonts w:eastAsia="Calibri"/>
          <w:szCs w:val="24"/>
        </w:rPr>
      </w:pPr>
    </w:p>
    <w:p w14:paraId="3928B06C" w14:textId="539D4FCE" w:rsidR="002345BD" w:rsidRPr="00BD0223" w:rsidRDefault="002345BD" w:rsidP="002345BD">
      <w:pPr>
        <w:pStyle w:val="TNORMAL"/>
        <w:ind w:firstLine="0"/>
        <w:jc w:val="center"/>
        <w:rPr>
          <w:rFonts w:eastAsia="Calibri"/>
          <w:b/>
          <w:szCs w:val="24"/>
        </w:rPr>
      </w:pPr>
      <w:r>
        <w:rPr>
          <w:rFonts w:eastAsia="Calibri"/>
          <w:b/>
          <w:szCs w:val="24"/>
        </w:rPr>
        <w:t>JOSÉ RO</w:t>
      </w:r>
      <w:r w:rsidRPr="00BD0223">
        <w:rPr>
          <w:rFonts w:eastAsia="Calibri"/>
          <w:b/>
          <w:szCs w:val="24"/>
        </w:rPr>
        <w:t>NALDO NAVES BOTELHO</w:t>
      </w:r>
    </w:p>
    <w:p w14:paraId="064C0021" w14:textId="77777777" w:rsidR="000F0A4F" w:rsidRPr="00BD0223" w:rsidRDefault="000F0A4F" w:rsidP="000F0A4F">
      <w:pPr>
        <w:pStyle w:val="TNORMAL"/>
        <w:ind w:firstLine="0"/>
        <w:jc w:val="center"/>
        <w:rPr>
          <w:rFonts w:eastAsia="Calibri"/>
          <w:szCs w:val="24"/>
        </w:rPr>
      </w:pPr>
    </w:p>
    <w:p w14:paraId="2CADB56D" w14:textId="77777777" w:rsidR="000F0A4F" w:rsidRPr="00BD0223" w:rsidRDefault="000F0A4F" w:rsidP="000F0A4F">
      <w:pPr>
        <w:pStyle w:val="TNORMAL"/>
        <w:ind w:firstLine="0"/>
        <w:jc w:val="center"/>
        <w:rPr>
          <w:rFonts w:eastAsia="Calibri"/>
          <w:szCs w:val="24"/>
        </w:rPr>
      </w:pPr>
    </w:p>
    <w:p w14:paraId="0C7CB46E" w14:textId="77777777" w:rsidR="000F0A4F" w:rsidRPr="00BD0223" w:rsidRDefault="000F0A4F" w:rsidP="000F0A4F">
      <w:pPr>
        <w:pStyle w:val="TNORMAL"/>
        <w:ind w:firstLine="0"/>
        <w:jc w:val="center"/>
        <w:rPr>
          <w:rFonts w:eastAsia="Calibri"/>
          <w:szCs w:val="24"/>
        </w:rPr>
      </w:pPr>
    </w:p>
    <w:p w14:paraId="27229D41" w14:textId="77777777" w:rsidR="000F0A4F" w:rsidRPr="00BD0223" w:rsidRDefault="000F0A4F" w:rsidP="000F0A4F">
      <w:pPr>
        <w:pStyle w:val="TNORMAL"/>
        <w:ind w:firstLine="0"/>
        <w:jc w:val="center"/>
        <w:rPr>
          <w:rFonts w:eastAsia="Calibri"/>
          <w:szCs w:val="24"/>
        </w:rPr>
      </w:pPr>
    </w:p>
    <w:p w14:paraId="75F7906A" w14:textId="77777777" w:rsidR="000F0A4F" w:rsidRPr="00BD0223" w:rsidRDefault="000F0A4F" w:rsidP="000F0A4F">
      <w:pPr>
        <w:pStyle w:val="TNORMAL"/>
        <w:ind w:firstLine="0"/>
        <w:jc w:val="center"/>
        <w:rPr>
          <w:rFonts w:eastAsia="Calibri"/>
          <w:szCs w:val="24"/>
        </w:rPr>
      </w:pPr>
    </w:p>
    <w:p w14:paraId="36201574" w14:textId="77777777" w:rsidR="000F0A4F" w:rsidRPr="00BD0223" w:rsidRDefault="000F0A4F" w:rsidP="000F0A4F">
      <w:pPr>
        <w:pStyle w:val="TNORMAL"/>
        <w:ind w:firstLine="0"/>
        <w:jc w:val="center"/>
        <w:rPr>
          <w:rFonts w:eastAsia="Calibri"/>
          <w:szCs w:val="24"/>
        </w:rPr>
      </w:pPr>
    </w:p>
    <w:p w14:paraId="3FD94C5D" w14:textId="1B9E6C61" w:rsidR="00225216" w:rsidRPr="00EA54A8" w:rsidRDefault="00BD4862" w:rsidP="000F0A4F">
      <w:pPr>
        <w:pStyle w:val="TNORMAL"/>
        <w:ind w:firstLine="0"/>
        <w:jc w:val="center"/>
        <w:rPr>
          <w:rFonts w:eastAsia="Calibri" w:cs="Times New Roman"/>
          <w:b/>
          <w:bCs/>
          <w:szCs w:val="24"/>
        </w:rPr>
      </w:pPr>
      <w:r w:rsidRPr="00EA54A8">
        <w:rPr>
          <w:rFonts w:cs="Times New Roman"/>
          <w:b/>
          <w:bCs/>
          <w:szCs w:val="24"/>
        </w:rPr>
        <w:t>IMPACTOS DO ICMS DE MINAS GERAIS INCIDENTE SOBRE COMBUSTÍVEIS AUTOMOTIVOS SELECIONADOS NO SETOR DE VAREJO NO TRIÂNGULO MINEIRO (2010-2018)</w:t>
      </w:r>
    </w:p>
    <w:p w14:paraId="0E5364CE" w14:textId="77777777" w:rsidR="00225216" w:rsidRPr="00BD0223" w:rsidRDefault="00225216" w:rsidP="000F0A4F">
      <w:pPr>
        <w:pStyle w:val="TNORMAL"/>
        <w:ind w:firstLine="0"/>
        <w:jc w:val="center"/>
        <w:rPr>
          <w:rFonts w:eastAsia="Calibri"/>
          <w:szCs w:val="24"/>
        </w:rPr>
      </w:pPr>
    </w:p>
    <w:p w14:paraId="377B7297" w14:textId="77777777" w:rsidR="00225216" w:rsidRPr="00BD0223" w:rsidRDefault="00225216" w:rsidP="000F0A4F">
      <w:pPr>
        <w:pStyle w:val="TNORMAL"/>
        <w:ind w:firstLine="0"/>
        <w:jc w:val="center"/>
        <w:rPr>
          <w:rFonts w:eastAsia="Calibri"/>
          <w:szCs w:val="24"/>
        </w:rPr>
      </w:pPr>
    </w:p>
    <w:p w14:paraId="7CD88B59" w14:textId="77777777" w:rsidR="00225216" w:rsidRPr="00BD0223" w:rsidRDefault="00225216" w:rsidP="000F0A4F">
      <w:pPr>
        <w:pStyle w:val="TNORMAL"/>
        <w:ind w:firstLine="0"/>
        <w:jc w:val="center"/>
        <w:rPr>
          <w:rFonts w:eastAsia="Calibri"/>
          <w:szCs w:val="24"/>
        </w:rPr>
      </w:pPr>
    </w:p>
    <w:p w14:paraId="772EAE19" w14:textId="77777777" w:rsidR="00225216" w:rsidRPr="00BD0223" w:rsidRDefault="00225216" w:rsidP="000F0A4F">
      <w:pPr>
        <w:pStyle w:val="TNORMAL"/>
        <w:ind w:firstLine="0"/>
        <w:jc w:val="center"/>
        <w:rPr>
          <w:rFonts w:eastAsia="Calibri"/>
          <w:szCs w:val="24"/>
        </w:rPr>
      </w:pPr>
    </w:p>
    <w:p w14:paraId="5A1E5CDB" w14:textId="5E385851" w:rsidR="000F0A4F" w:rsidRDefault="000F0A4F" w:rsidP="000F0A4F">
      <w:pPr>
        <w:pStyle w:val="TNORMAL"/>
        <w:ind w:firstLine="0"/>
        <w:jc w:val="center"/>
        <w:rPr>
          <w:rFonts w:eastAsia="Calibri"/>
          <w:szCs w:val="24"/>
        </w:rPr>
      </w:pPr>
    </w:p>
    <w:p w14:paraId="32A10A05" w14:textId="77777777" w:rsidR="00EA54A8" w:rsidRPr="00BD0223" w:rsidRDefault="00EA54A8" w:rsidP="000F0A4F">
      <w:pPr>
        <w:pStyle w:val="TNORMAL"/>
        <w:ind w:firstLine="0"/>
        <w:jc w:val="center"/>
        <w:rPr>
          <w:rFonts w:eastAsia="Calibri"/>
          <w:szCs w:val="24"/>
        </w:rPr>
      </w:pPr>
    </w:p>
    <w:p w14:paraId="59DD1CF1" w14:textId="77777777" w:rsidR="000F0A4F" w:rsidRPr="00BD0223" w:rsidRDefault="000F0A4F" w:rsidP="000F0A4F">
      <w:pPr>
        <w:pStyle w:val="TNORMAL"/>
        <w:ind w:firstLine="0"/>
        <w:jc w:val="center"/>
        <w:rPr>
          <w:rFonts w:eastAsia="Calibri"/>
          <w:szCs w:val="24"/>
        </w:rPr>
      </w:pPr>
    </w:p>
    <w:p w14:paraId="12AC2C29" w14:textId="77777777" w:rsidR="000F0A4F" w:rsidRPr="00BD0223" w:rsidRDefault="000F0A4F" w:rsidP="000F0A4F">
      <w:pPr>
        <w:pStyle w:val="TNORMAL"/>
        <w:ind w:firstLine="0"/>
        <w:jc w:val="center"/>
        <w:rPr>
          <w:rFonts w:eastAsia="Calibri"/>
          <w:szCs w:val="24"/>
        </w:rPr>
      </w:pPr>
    </w:p>
    <w:p w14:paraId="356C2F7D" w14:textId="254A7877" w:rsidR="000F0A4F" w:rsidRPr="00BD0223" w:rsidRDefault="00DC02F1" w:rsidP="00DC02F1">
      <w:pPr>
        <w:pStyle w:val="TNORMAL"/>
        <w:tabs>
          <w:tab w:val="left" w:pos="3299"/>
        </w:tabs>
        <w:ind w:firstLine="0"/>
        <w:rPr>
          <w:rFonts w:eastAsia="Calibri"/>
          <w:szCs w:val="24"/>
        </w:rPr>
      </w:pPr>
      <w:r>
        <w:rPr>
          <w:rFonts w:eastAsia="Calibri"/>
          <w:szCs w:val="24"/>
        </w:rPr>
        <w:tab/>
      </w:r>
    </w:p>
    <w:p w14:paraId="1266A75A" w14:textId="77777777" w:rsidR="000F0A4F" w:rsidRPr="00BD0223" w:rsidRDefault="000F0A4F" w:rsidP="000F0A4F">
      <w:pPr>
        <w:pStyle w:val="TNORMAL"/>
        <w:ind w:firstLine="0"/>
        <w:jc w:val="center"/>
        <w:rPr>
          <w:rFonts w:eastAsia="Calibri"/>
          <w:szCs w:val="24"/>
        </w:rPr>
      </w:pPr>
    </w:p>
    <w:p w14:paraId="7226D5DE" w14:textId="77777777" w:rsidR="000F0A4F" w:rsidRPr="00BD0223" w:rsidRDefault="000F0A4F" w:rsidP="000F0A4F">
      <w:pPr>
        <w:pStyle w:val="TNORMAL"/>
        <w:ind w:firstLine="0"/>
        <w:jc w:val="center"/>
        <w:rPr>
          <w:rFonts w:eastAsia="Calibri"/>
          <w:szCs w:val="24"/>
        </w:rPr>
      </w:pPr>
    </w:p>
    <w:p w14:paraId="56E78F99" w14:textId="77777777" w:rsidR="000F0A4F" w:rsidRPr="00BD0223" w:rsidRDefault="000F0A4F" w:rsidP="000F0A4F">
      <w:pPr>
        <w:pStyle w:val="TNORMAL"/>
        <w:ind w:firstLine="0"/>
        <w:jc w:val="center"/>
        <w:rPr>
          <w:rFonts w:eastAsia="Calibri"/>
          <w:szCs w:val="24"/>
        </w:rPr>
      </w:pPr>
    </w:p>
    <w:p w14:paraId="47D1ECC8" w14:textId="77777777" w:rsidR="00225216" w:rsidRPr="00BD0223" w:rsidRDefault="00225216" w:rsidP="000F0A4F">
      <w:pPr>
        <w:pStyle w:val="TNORMAL"/>
        <w:ind w:firstLine="0"/>
        <w:jc w:val="center"/>
        <w:rPr>
          <w:rFonts w:eastAsia="Calibri"/>
          <w:szCs w:val="24"/>
        </w:rPr>
      </w:pPr>
    </w:p>
    <w:p w14:paraId="3928FE81" w14:textId="3F5B5A0B" w:rsidR="00225216" w:rsidRPr="00EA54A8" w:rsidRDefault="000F0A4F" w:rsidP="000F0A4F">
      <w:pPr>
        <w:pStyle w:val="TNORMAL"/>
        <w:ind w:firstLine="0"/>
        <w:jc w:val="center"/>
        <w:rPr>
          <w:rFonts w:eastAsia="Calibri"/>
          <w:bCs/>
          <w:szCs w:val="24"/>
        </w:rPr>
      </w:pPr>
      <w:r w:rsidRPr="00EA54A8">
        <w:rPr>
          <w:rFonts w:eastAsia="Calibri"/>
          <w:bCs/>
          <w:szCs w:val="24"/>
        </w:rPr>
        <w:t>UBERLÂNDIA</w:t>
      </w:r>
      <w:r w:rsidR="00EA54A8">
        <w:rPr>
          <w:rFonts w:eastAsia="Calibri"/>
          <w:bCs/>
          <w:szCs w:val="24"/>
        </w:rPr>
        <w:t xml:space="preserve"> - MG</w:t>
      </w:r>
    </w:p>
    <w:p w14:paraId="1699DE3F" w14:textId="27B07605" w:rsidR="00225216" w:rsidRPr="00EA54A8" w:rsidRDefault="000F0A4F" w:rsidP="000F0A4F">
      <w:pPr>
        <w:pStyle w:val="TNORMAL"/>
        <w:ind w:firstLine="0"/>
        <w:jc w:val="center"/>
        <w:rPr>
          <w:rFonts w:eastAsia="Calibri"/>
          <w:bCs/>
          <w:szCs w:val="24"/>
        </w:rPr>
      </w:pPr>
      <w:r w:rsidRPr="00EA54A8">
        <w:rPr>
          <w:rFonts w:eastAsia="Calibri"/>
          <w:bCs/>
          <w:szCs w:val="24"/>
        </w:rPr>
        <w:t>2020</w:t>
      </w:r>
    </w:p>
    <w:p w14:paraId="37AC5ACF" w14:textId="77777777" w:rsidR="001F6BC5" w:rsidRPr="00BD0223" w:rsidRDefault="001F6BC5" w:rsidP="000F0A4F">
      <w:pPr>
        <w:pStyle w:val="TNORMAL"/>
        <w:ind w:firstLine="0"/>
        <w:jc w:val="center"/>
        <w:rPr>
          <w:rFonts w:eastAsia="Calibri"/>
          <w:b/>
          <w:szCs w:val="24"/>
        </w:rPr>
      </w:pPr>
    </w:p>
    <w:p w14:paraId="6A7D4BA5" w14:textId="0848F3E3" w:rsidR="00384DD6" w:rsidRPr="00AA39C9" w:rsidRDefault="00384DD6" w:rsidP="000F0A4F">
      <w:pPr>
        <w:pStyle w:val="TNORMAL"/>
        <w:ind w:firstLine="0"/>
        <w:jc w:val="center"/>
        <w:rPr>
          <w:rFonts w:eastAsia="Calibri"/>
          <w:bCs/>
        </w:rPr>
      </w:pPr>
      <w:r w:rsidRPr="00AA39C9">
        <w:rPr>
          <w:rFonts w:eastAsia="Calibri"/>
          <w:bCs/>
        </w:rPr>
        <w:lastRenderedPageBreak/>
        <w:t>JOSÉ RONALDO NAVES BOTELHO</w:t>
      </w:r>
    </w:p>
    <w:p w14:paraId="321D8C3E" w14:textId="119CF0C6" w:rsidR="00384DD6" w:rsidRPr="00BD0223" w:rsidRDefault="00384DD6" w:rsidP="000F0A4F">
      <w:pPr>
        <w:pStyle w:val="TNORMAL"/>
        <w:ind w:firstLine="0"/>
        <w:jc w:val="center"/>
        <w:rPr>
          <w:rFonts w:eastAsia="Calibri"/>
        </w:rPr>
      </w:pPr>
    </w:p>
    <w:p w14:paraId="4CCD8A76" w14:textId="77777777" w:rsidR="00384DD6" w:rsidRPr="00BD0223" w:rsidRDefault="00384DD6" w:rsidP="000F0A4F">
      <w:pPr>
        <w:pStyle w:val="TNORMAL"/>
        <w:ind w:firstLine="0"/>
        <w:jc w:val="center"/>
        <w:rPr>
          <w:rFonts w:eastAsia="Calibri"/>
        </w:rPr>
      </w:pPr>
    </w:p>
    <w:p w14:paraId="561023DB" w14:textId="77777777" w:rsidR="00384DD6" w:rsidRPr="00BD0223" w:rsidRDefault="00384DD6" w:rsidP="000F0A4F">
      <w:pPr>
        <w:pStyle w:val="TNORMAL"/>
        <w:ind w:firstLine="0"/>
        <w:jc w:val="center"/>
        <w:rPr>
          <w:rFonts w:eastAsia="Calibri"/>
        </w:rPr>
      </w:pPr>
    </w:p>
    <w:p w14:paraId="70B42A0B" w14:textId="77777777" w:rsidR="000F0A4F" w:rsidRPr="00BD0223" w:rsidRDefault="000F0A4F" w:rsidP="000F0A4F">
      <w:pPr>
        <w:pStyle w:val="TNORMAL"/>
        <w:ind w:firstLine="0"/>
        <w:jc w:val="center"/>
        <w:rPr>
          <w:rFonts w:eastAsia="Calibri"/>
        </w:rPr>
      </w:pPr>
    </w:p>
    <w:p w14:paraId="4ABDEC18" w14:textId="77777777" w:rsidR="000F0A4F" w:rsidRPr="00BD0223" w:rsidRDefault="000F0A4F" w:rsidP="000F0A4F">
      <w:pPr>
        <w:pStyle w:val="TNORMAL"/>
        <w:ind w:firstLine="0"/>
        <w:jc w:val="center"/>
        <w:rPr>
          <w:rFonts w:eastAsia="Calibri"/>
        </w:rPr>
      </w:pPr>
    </w:p>
    <w:p w14:paraId="5CBAE61A" w14:textId="77777777" w:rsidR="000F0A4F" w:rsidRPr="00BD0223" w:rsidRDefault="000F0A4F" w:rsidP="000F0A4F">
      <w:pPr>
        <w:pStyle w:val="TNORMAL"/>
        <w:ind w:firstLine="0"/>
        <w:jc w:val="center"/>
        <w:rPr>
          <w:rFonts w:eastAsia="Calibri"/>
        </w:rPr>
      </w:pPr>
    </w:p>
    <w:p w14:paraId="7FB5AC00" w14:textId="77777777" w:rsidR="000F0A4F" w:rsidRPr="00BD0223" w:rsidRDefault="000F0A4F" w:rsidP="000F0A4F">
      <w:pPr>
        <w:pStyle w:val="TNORMAL"/>
        <w:ind w:firstLine="0"/>
        <w:jc w:val="center"/>
        <w:rPr>
          <w:rFonts w:eastAsia="Calibri"/>
        </w:rPr>
      </w:pPr>
    </w:p>
    <w:p w14:paraId="779472C2" w14:textId="77777777" w:rsidR="000F0A4F" w:rsidRPr="00BD0223" w:rsidRDefault="000F0A4F" w:rsidP="000F0A4F">
      <w:pPr>
        <w:pStyle w:val="TNORMAL"/>
        <w:ind w:firstLine="0"/>
        <w:jc w:val="center"/>
        <w:rPr>
          <w:rFonts w:eastAsia="Calibri"/>
        </w:rPr>
      </w:pPr>
    </w:p>
    <w:p w14:paraId="091A512F" w14:textId="77777777" w:rsidR="000F0A4F" w:rsidRPr="00BD0223" w:rsidRDefault="000F0A4F" w:rsidP="000F0A4F">
      <w:pPr>
        <w:pStyle w:val="TNORMAL"/>
        <w:ind w:firstLine="0"/>
        <w:jc w:val="center"/>
        <w:rPr>
          <w:rFonts w:eastAsia="Calibri"/>
        </w:rPr>
      </w:pPr>
    </w:p>
    <w:p w14:paraId="51A93477" w14:textId="77777777" w:rsidR="000F0A4F" w:rsidRPr="00BD0223" w:rsidRDefault="000F0A4F" w:rsidP="000F0A4F">
      <w:pPr>
        <w:pStyle w:val="TNORMAL"/>
        <w:ind w:firstLine="0"/>
        <w:jc w:val="center"/>
        <w:rPr>
          <w:rFonts w:eastAsia="Calibri"/>
        </w:rPr>
      </w:pPr>
    </w:p>
    <w:p w14:paraId="606870E8" w14:textId="77777777" w:rsidR="007B7E33" w:rsidRDefault="007B7E33" w:rsidP="000F0A4F">
      <w:pPr>
        <w:pStyle w:val="TNORMAL"/>
        <w:ind w:firstLine="0"/>
        <w:jc w:val="center"/>
        <w:rPr>
          <w:rFonts w:cs="Times New Roman"/>
          <w:szCs w:val="24"/>
        </w:rPr>
      </w:pPr>
    </w:p>
    <w:p w14:paraId="11FDD24D" w14:textId="4FCC01A8" w:rsidR="00384DD6" w:rsidRPr="00EA54A8" w:rsidRDefault="001F6BC5" w:rsidP="000F0A4F">
      <w:pPr>
        <w:pStyle w:val="TNORMAL"/>
        <w:ind w:firstLine="0"/>
        <w:jc w:val="center"/>
        <w:rPr>
          <w:rFonts w:eastAsia="Calibri" w:cs="Times New Roman"/>
        </w:rPr>
      </w:pPr>
      <w:r w:rsidRPr="00EA54A8">
        <w:rPr>
          <w:rFonts w:cs="Times New Roman"/>
          <w:szCs w:val="24"/>
        </w:rPr>
        <w:t>IMPACTOS DO ICMS DE MINAS GERAIS INCIDENTE SOBRE COMBUSTÍVEIS AUTOMOTIVOS SELECIONADOS NO SETOR DE VAREJO NO TRIÂNGULO MINEIRO (2010-2018)</w:t>
      </w:r>
    </w:p>
    <w:p w14:paraId="3833926F" w14:textId="77777777" w:rsidR="00A96972" w:rsidRPr="00BD0223" w:rsidRDefault="00A96972" w:rsidP="000F0A4F">
      <w:pPr>
        <w:pStyle w:val="TNORMAL"/>
        <w:ind w:firstLine="0"/>
        <w:jc w:val="center"/>
        <w:rPr>
          <w:rFonts w:eastAsia="Calibri"/>
        </w:rPr>
      </w:pPr>
    </w:p>
    <w:p w14:paraId="63C94242" w14:textId="3AFFD3D7" w:rsidR="00384DD6" w:rsidRPr="00BD0223" w:rsidRDefault="00384DD6" w:rsidP="000F0A4F">
      <w:pPr>
        <w:pStyle w:val="TNORMAL"/>
        <w:ind w:firstLine="0"/>
        <w:jc w:val="center"/>
        <w:rPr>
          <w:rFonts w:eastAsia="Calibri"/>
        </w:rPr>
      </w:pPr>
    </w:p>
    <w:p w14:paraId="6BC392F0" w14:textId="77777777" w:rsidR="007B7E33" w:rsidRDefault="007B7E33" w:rsidP="000F0A4F">
      <w:pPr>
        <w:pStyle w:val="TNORMAL"/>
        <w:spacing w:line="240" w:lineRule="auto"/>
        <w:ind w:left="3969" w:firstLine="0"/>
        <w:rPr>
          <w:szCs w:val="24"/>
        </w:rPr>
      </w:pPr>
    </w:p>
    <w:p w14:paraId="2A6EF31D" w14:textId="77777777" w:rsidR="007B7E33" w:rsidRDefault="007B7E33" w:rsidP="000F0A4F">
      <w:pPr>
        <w:pStyle w:val="TNORMAL"/>
        <w:spacing w:line="240" w:lineRule="auto"/>
        <w:ind w:left="3969" w:firstLine="0"/>
        <w:rPr>
          <w:szCs w:val="24"/>
        </w:rPr>
      </w:pPr>
    </w:p>
    <w:p w14:paraId="02AC67AF" w14:textId="77777777" w:rsidR="007B7E33" w:rsidRDefault="007B7E33" w:rsidP="000F0A4F">
      <w:pPr>
        <w:pStyle w:val="TNORMAL"/>
        <w:spacing w:line="240" w:lineRule="auto"/>
        <w:ind w:left="3969" w:firstLine="0"/>
        <w:rPr>
          <w:szCs w:val="24"/>
        </w:rPr>
      </w:pPr>
    </w:p>
    <w:p w14:paraId="79E57B1A" w14:textId="77777777" w:rsidR="007B7E33" w:rsidRDefault="007B7E33" w:rsidP="000F0A4F">
      <w:pPr>
        <w:pStyle w:val="TNORMAL"/>
        <w:spacing w:line="240" w:lineRule="auto"/>
        <w:ind w:left="3969" w:firstLine="0"/>
        <w:rPr>
          <w:szCs w:val="24"/>
        </w:rPr>
      </w:pPr>
    </w:p>
    <w:p w14:paraId="5577B654" w14:textId="77777777" w:rsidR="007B7E33" w:rsidRDefault="007B7E33" w:rsidP="000F0A4F">
      <w:pPr>
        <w:pStyle w:val="TNORMAL"/>
        <w:spacing w:line="240" w:lineRule="auto"/>
        <w:ind w:left="3969" w:firstLine="0"/>
        <w:rPr>
          <w:szCs w:val="24"/>
        </w:rPr>
      </w:pPr>
    </w:p>
    <w:p w14:paraId="036EAE3C" w14:textId="73B081FD" w:rsidR="00384DD6" w:rsidRPr="00AA39C9" w:rsidRDefault="00384DD6" w:rsidP="000F0A4F">
      <w:pPr>
        <w:pStyle w:val="TNORMAL"/>
        <w:spacing w:line="240" w:lineRule="auto"/>
        <w:ind w:left="3969" w:firstLine="0"/>
        <w:rPr>
          <w:szCs w:val="24"/>
        </w:rPr>
      </w:pPr>
      <w:r w:rsidRPr="00AA39C9">
        <w:rPr>
          <w:szCs w:val="24"/>
        </w:rPr>
        <w:t xml:space="preserve">Monografia apresentada à Universidade Federal de Uberlândia, como parte das exigências para a obtenção do título de </w:t>
      </w:r>
      <w:r w:rsidR="008C006A" w:rsidRPr="00AA39C9">
        <w:rPr>
          <w:szCs w:val="24"/>
        </w:rPr>
        <w:t>B</w:t>
      </w:r>
      <w:r w:rsidRPr="00AA39C9">
        <w:rPr>
          <w:szCs w:val="24"/>
        </w:rPr>
        <w:t>acharel em Ciências Econômicas.</w:t>
      </w:r>
    </w:p>
    <w:p w14:paraId="74091DFE" w14:textId="1CD09BE0" w:rsidR="00A96972" w:rsidRPr="00AA39C9" w:rsidRDefault="00A96972" w:rsidP="000F0A4F">
      <w:pPr>
        <w:pStyle w:val="TNORMAL"/>
        <w:spacing w:line="240" w:lineRule="auto"/>
        <w:ind w:left="3969" w:firstLine="0"/>
        <w:rPr>
          <w:szCs w:val="24"/>
        </w:rPr>
      </w:pPr>
    </w:p>
    <w:p w14:paraId="56AC6B7F" w14:textId="2CA9A17D" w:rsidR="00A96972" w:rsidRPr="00AA39C9" w:rsidRDefault="00341195" w:rsidP="008C006A">
      <w:pPr>
        <w:pStyle w:val="TNORMAL"/>
        <w:spacing w:line="240" w:lineRule="auto"/>
        <w:ind w:left="3969" w:firstLine="0"/>
        <w:rPr>
          <w:szCs w:val="24"/>
        </w:rPr>
      </w:pPr>
      <w:r w:rsidRPr="00AA39C9">
        <w:rPr>
          <w:szCs w:val="24"/>
        </w:rPr>
        <w:t xml:space="preserve">Orientador: </w:t>
      </w:r>
      <w:r w:rsidR="008C006A" w:rsidRPr="00AA39C9">
        <w:rPr>
          <w:szCs w:val="24"/>
        </w:rPr>
        <w:t>Professor Me. Vitorino Alves da Silva</w:t>
      </w:r>
    </w:p>
    <w:p w14:paraId="02A4F961" w14:textId="77777777" w:rsidR="003C6867" w:rsidRPr="00BD0223" w:rsidRDefault="003C6867" w:rsidP="008C006A">
      <w:pPr>
        <w:pStyle w:val="TNORMAL"/>
        <w:spacing w:line="240" w:lineRule="auto"/>
        <w:ind w:left="3969" w:firstLine="0"/>
        <w:rPr>
          <w:rFonts w:cs="Times New Roman"/>
          <w:szCs w:val="24"/>
        </w:rPr>
      </w:pPr>
    </w:p>
    <w:p w14:paraId="634EA281" w14:textId="77777777" w:rsidR="000F0A4F" w:rsidRPr="00BD0223" w:rsidRDefault="000F0A4F" w:rsidP="00A96972">
      <w:pPr>
        <w:ind w:firstLine="0"/>
        <w:jc w:val="center"/>
        <w:rPr>
          <w:rFonts w:ascii="Times New Roman" w:hAnsi="Times New Roman" w:cs="Times New Roman"/>
          <w:sz w:val="24"/>
          <w:szCs w:val="24"/>
        </w:rPr>
      </w:pPr>
    </w:p>
    <w:p w14:paraId="5ABD1092" w14:textId="77777777" w:rsidR="000F0A4F" w:rsidRPr="00BD0223" w:rsidRDefault="000F0A4F" w:rsidP="00A96972">
      <w:pPr>
        <w:ind w:firstLine="0"/>
        <w:jc w:val="center"/>
        <w:rPr>
          <w:rFonts w:ascii="Times New Roman" w:hAnsi="Times New Roman" w:cs="Times New Roman"/>
          <w:sz w:val="24"/>
          <w:szCs w:val="24"/>
        </w:rPr>
      </w:pPr>
    </w:p>
    <w:p w14:paraId="4DFA021D" w14:textId="77777777" w:rsidR="000F0A4F" w:rsidRPr="00BD0223" w:rsidRDefault="000F0A4F" w:rsidP="00A96972">
      <w:pPr>
        <w:ind w:firstLine="0"/>
        <w:jc w:val="center"/>
        <w:rPr>
          <w:rFonts w:ascii="Times New Roman" w:hAnsi="Times New Roman" w:cs="Times New Roman"/>
          <w:sz w:val="24"/>
          <w:szCs w:val="24"/>
        </w:rPr>
      </w:pPr>
    </w:p>
    <w:p w14:paraId="0B2FEA21" w14:textId="77777777" w:rsidR="000F0A4F" w:rsidRPr="00BD0223" w:rsidRDefault="000F0A4F" w:rsidP="00A96972">
      <w:pPr>
        <w:ind w:firstLine="0"/>
        <w:jc w:val="center"/>
        <w:rPr>
          <w:rFonts w:ascii="Times New Roman" w:hAnsi="Times New Roman" w:cs="Times New Roman"/>
          <w:sz w:val="24"/>
          <w:szCs w:val="24"/>
        </w:rPr>
      </w:pPr>
    </w:p>
    <w:p w14:paraId="5CC27FB1" w14:textId="0836999B" w:rsidR="003C6867" w:rsidRDefault="003C6867" w:rsidP="00FF2257">
      <w:pPr>
        <w:ind w:firstLine="0"/>
        <w:rPr>
          <w:rFonts w:ascii="Times New Roman" w:hAnsi="Times New Roman" w:cs="Times New Roman"/>
          <w:sz w:val="24"/>
          <w:szCs w:val="24"/>
        </w:rPr>
      </w:pPr>
    </w:p>
    <w:p w14:paraId="31AF8389" w14:textId="77777777" w:rsidR="00C97A1D" w:rsidRPr="00BD0223" w:rsidRDefault="00C97A1D" w:rsidP="00FF2257">
      <w:pPr>
        <w:ind w:firstLine="0"/>
        <w:rPr>
          <w:rFonts w:ascii="Times New Roman" w:hAnsi="Times New Roman" w:cs="Times New Roman"/>
          <w:sz w:val="24"/>
          <w:szCs w:val="24"/>
        </w:rPr>
      </w:pPr>
    </w:p>
    <w:p w14:paraId="188F5D1A" w14:textId="56EFE7B9" w:rsidR="000F0A4F" w:rsidRPr="00AA39C9" w:rsidRDefault="000F0A4F" w:rsidP="000F0A4F">
      <w:pPr>
        <w:pStyle w:val="TNORMAL"/>
        <w:ind w:firstLine="0"/>
        <w:jc w:val="center"/>
        <w:rPr>
          <w:rFonts w:eastAsia="Calibri"/>
          <w:bCs/>
          <w:szCs w:val="24"/>
        </w:rPr>
      </w:pPr>
      <w:r w:rsidRPr="00AA39C9">
        <w:rPr>
          <w:rFonts w:eastAsia="Calibri"/>
          <w:bCs/>
          <w:szCs w:val="24"/>
        </w:rPr>
        <w:t>UBERLÂNDIA</w:t>
      </w:r>
      <w:r w:rsidR="00AA39C9">
        <w:rPr>
          <w:rFonts w:eastAsia="Calibri"/>
          <w:bCs/>
          <w:szCs w:val="24"/>
        </w:rPr>
        <w:t xml:space="preserve"> - MG</w:t>
      </w:r>
    </w:p>
    <w:p w14:paraId="4EF369E6" w14:textId="08BC1013" w:rsidR="00C97A1D" w:rsidRDefault="000F0A4F" w:rsidP="000F0A4F">
      <w:pPr>
        <w:pStyle w:val="TNORMAL"/>
        <w:ind w:firstLine="0"/>
        <w:jc w:val="center"/>
        <w:rPr>
          <w:rFonts w:eastAsia="Calibri"/>
          <w:bCs/>
          <w:szCs w:val="24"/>
        </w:rPr>
      </w:pPr>
      <w:r w:rsidRPr="00AA39C9">
        <w:rPr>
          <w:rFonts w:eastAsia="Calibri"/>
          <w:bCs/>
          <w:szCs w:val="24"/>
        </w:rPr>
        <w:t>2020</w:t>
      </w:r>
    </w:p>
    <w:p w14:paraId="31C14B25" w14:textId="77777777" w:rsidR="00C97A1D" w:rsidRDefault="00C97A1D">
      <w:pPr>
        <w:rPr>
          <w:rFonts w:ascii="Times New Roman" w:eastAsia="Calibri" w:hAnsi="Times New Roman" w:cs="Calibri"/>
          <w:bCs/>
          <w:sz w:val="24"/>
          <w:szCs w:val="24"/>
          <w:lang w:val="pt" w:eastAsia="pt-BR"/>
        </w:rPr>
      </w:pPr>
      <w:r>
        <w:rPr>
          <w:rFonts w:eastAsia="Calibri"/>
          <w:bCs/>
          <w:szCs w:val="24"/>
        </w:rPr>
        <w:br w:type="page"/>
      </w:r>
    </w:p>
    <w:p w14:paraId="308D462A" w14:textId="238000C1" w:rsidR="00FF2257" w:rsidRDefault="00FF2257" w:rsidP="00FF2257">
      <w:pPr>
        <w:jc w:val="center"/>
        <w:rPr>
          <w:rFonts w:ascii="Times New Roman" w:hAnsi="Times New Roman" w:cs="Times New Roman"/>
          <w:sz w:val="24"/>
          <w:szCs w:val="24"/>
        </w:rPr>
      </w:pPr>
      <w:r>
        <w:rPr>
          <w:rFonts w:ascii="Times New Roman" w:hAnsi="Times New Roman" w:cs="Times New Roman"/>
          <w:sz w:val="24"/>
          <w:szCs w:val="24"/>
        </w:rPr>
        <w:lastRenderedPageBreak/>
        <w:t>JOSÉ RONALDO NAVES BOTELHO</w:t>
      </w:r>
    </w:p>
    <w:p w14:paraId="36C97E1E" w14:textId="77777777" w:rsidR="00FF2257" w:rsidRDefault="00FF2257" w:rsidP="00FF2257">
      <w:pPr>
        <w:jc w:val="center"/>
        <w:rPr>
          <w:rFonts w:ascii="Times New Roman" w:hAnsi="Times New Roman" w:cs="Times New Roman"/>
          <w:sz w:val="24"/>
          <w:szCs w:val="24"/>
        </w:rPr>
      </w:pPr>
    </w:p>
    <w:p w14:paraId="6AF81BF6" w14:textId="77777777" w:rsidR="00FF2257" w:rsidRDefault="00FF2257" w:rsidP="00FF2257">
      <w:pPr>
        <w:jc w:val="center"/>
        <w:rPr>
          <w:rFonts w:ascii="Times New Roman" w:hAnsi="Times New Roman" w:cs="Times New Roman"/>
          <w:sz w:val="24"/>
          <w:szCs w:val="24"/>
        </w:rPr>
      </w:pPr>
    </w:p>
    <w:p w14:paraId="4B55AF1E" w14:textId="77777777" w:rsidR="00FF2257" w:rsidRDefault="00FF2257" w:rsidP="00FF2257">
      <w:pPr>
        <w:jc w:val="center"/>
        <w:rPr>
          <w:rFonts w:ascii="Times New Roman" w:hAnsi="Times New Roman" w:cs="Times New Roman"/>
          <w:sz w:val="24"/>
          <w:szCs w:val="24"/>
        </w:rPr>
      </w:pPr>
    </w:p>
    <w:p w14:paraId="312BEA64" w14:textId="77777777" w:rsidR="00FF2257" w:rsidRDefault="00FF2257" w:rsidP="00FF2257">
      <w:pPr>
        <w:jc w:val="center"/>
        <w:rPr>
          <w:rFonts w:ascii="Times New Roman" w:hAnsi="Times New Roman" w:cs="Times New Roman"/>
          <w:sz w:val="24"/>
          <w:szCs w:val="24"/>
        </w:rPr>
      </w:pPr>
    </w:p>
    <w:p w14:paraId="7CCBC5A8" w14:textId="77777777" w:rsidR="00FF2257" w:rsidRDefault="00FF2257" w:rsidP="00FF2257">
      <w:pPr>
        <w:jc w:val="center"/>
        <w:rPr>
          <w:rFonts w:ascii="Times New Roman" w:hAnsi="Times New Roman" w:cs="Times New Roman"/>
          <w:sz w:val="24"/>
          <w:szCs w:val="24"/>
        </w:rPr>
      </w:pPr>
    </w:p>
    <w:p w14:paraId="06BDF122" w14:textId="02804228" w:rsidR="00FF2257" w:rsidRDefault="00FF2257" w:rsidP="00FF2257">
      <w:pPr>
        <w:pStyle w:val="TNORMAL"/>
        <w:ind w:firstLine="0"/>
        <w:jc w:val="center"/>
        <w:rPr>
          <w:rFonts w:cs="Times New Roman"/>
          <w:szCs w:val="24"/>
        </w:rPr>
      </w:pPr>
      <w:r w:rsidRPr="00AA39C9">
        <w:rPr>
          <w:rFonts w:cs="Times New Roman"/>
          <w:szCs w:val="24"/>
        </w:rPr>
        <w:t>IMPACTOS DO ICMS DE MINAS GERAIS INCIDENTE SOBRE COMBUSTÍVEIS AUTOMOTIVOS SELECIONADOS NO SETOR DE VAREJO NO TRIÂNGULO MINEIRO (2010-2018)</w:t>
      </w:r>
    </w:p>
    <w:p w14:paraId="0D769F6C" w14:textId="1ACEB021" w:rsidR="00C97A1D" w:rsidRDefault="00C97A1D" w:rsidP="00FF2257">
      <w:pPr>
        <w:pStyle w:val="TNORMAL"/>
        <w:ind w:firstLine="0"/>
        <w:jc w:val="center"/>
        <w:rPr>
          <w:rFonts w:cs="Times New Roman"/>
          <w:szCs w:val="24"/>
        </w:rPr>
      </w:pPr>
    </w:p>
    <w:p w14:paraId="0647ADD2" w14:textId="77777777" w:rsidR="00C97A1D" w:rsidRPr="00AA39C9" w:rsidRDefault="00C97A1D" w:rsidP="00FF2257">
      <w:pPr>
        <w:pStyle w:val="TNORMAL"/>
        <w:ind w:firstLine="0"/>
        <w:jc w:val="center"/>
        <w:rPr>
          <w:rFonts w:eastAsia="Calibri" w:cs="Times New Roman"/>
          <w:szCs w:val="24"/>
        </w:rPr>
      </w:pPr>
    </w:p>
    <w:p w14:paraId="32AFB48E" w14:textId="77777777" w:rsidR="00FF2257" w:rsidRDefault="00FF2257" w:rsidP="00FF2257">
      <w:pPr>
        <w:jc w:val="center"/>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4C50C069" wp14:editId="50F256E2">
                <wp:simplePos x="0" y="0"/>
                <wp:positionH relativeFrom="column">
                  <wp:posOffset>2634615</wp:posOffset>
                </wp:positionH>
                <wp:positionV relativeFrom="paragraph">
                  <wp:posOffset>120015</wp:posOffset>
                </wp:positionV>
                <wp:extent cx="3295650" cy="142430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42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08206" w14:textId="77777777" w:rsidR="004F409C" w:rsidRDefault="004F409C" w:rsidP="00FF2257">
                            <w:pPr>
                              <w:rPr>
                                <w:rFonts w:ascii="Times New Roman" w:hAnsi="Times New Roman" w:cs="Times New Roman"/>
                              </w:rPr>
                            </w:pPr>
                          </w:p>
                          <w:p w14:paraId="1B07B93F" w14:textId="1AAD5B34" w:rsidR="004F409C" w:rsidRDefault="004F409C" w:rsidP="00AA39C9">
                            <w:pPr>
                              <w:ind w:firstLine="0"/>
                              <w:rPr>
                                <w:rFonts w:ascii="Times New Roman" w:hAnsi="Times New Roman" w:cs="Times New Roman"/>
                                <w:sz w:val="24"/>
                                <w:szCs w:val="24"/>
                              </w:rPr>
                            </w:pPr>
                            <w:r w:rsidRPr="00AA39C9">
                              <w:rPr>
                                <w:rFonts w:ascii="Times New Roman" w:hAnsi="Times New Roman" w:cs="Times New Roman"/>
                                <w:sz w:val="24"/>
                                <w:szCs w:val="24"/>
                              </w:rPr>
                              <w:t>Monografia apresentada ao Instituto de Economia e Relações Internacionais da Universidade Federal de Uberlândia, como requisito parcial à obtenção do título de Bacharel em Ciências Econômicas</w:t>
                            </w:r>
                          </w:p>
                          <w:p w14:paraId="0790A7D2" w14:textId="5382D32B" w:rsidR="004F409C" w:rsidRDefault="004F409C" w:rsidP="00AA39C9">
                            <w:pPr>
                              <w:ind w:firstLine="0"/>
                              <w:rPr>
                                <w:rFonts w:ascii="Times New Roman" w:hAnsi="Times New Roman" w:cs="Times New Roman"/>
                                <w:sz w:val="24"/>
                                <w:szCs w:val="24"/>
                              </w:rPr>
                            </w:pPr>
                          </w:p>
                          <w:p w14:paraId="5CEBF515" w14:textId="4625C24C" w:rsidR="004F409C" w:rsidRPr="00AA39C9" w:rsidRDefault="004F409C" w:rsidP="00AA39C9">
                            <w:pPr>
                              <w:ind w:firstLine="0"/>
                              <w:rPr>
                                <w:sz w:val="24"/>
                                <w:szCs w:val="24"/>
                              </w:rPr>
                            </w:pPr>
                            <w:r>
                              <w:rPr>
                                <w:rFonts w:ascii="Times New Roman" w:hAnsi="Times New Roman" w:cs="Times New Roman"/>
                                <w:sz w:val="24"/>
                                <w:szCs w:val="24"/>
                              </w:rPr>
                              <w:t>Orientador: Professor Me. Vitorino Alves da Silva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C50C069" id="_x0000_t202" coordsize="21600,21600" o:spt="202" path="m,l,21600r21600,l21600,xe">
                <v:stroke joinstyle="miter"/>
                <v:path gradientshapeok="t" o:connecttype="rect"/>
              </v:shapetype>
              <v:shape id="Text Box 3" o:spid="_x0000_s1026" type="#_x0000_t202" style="position:absolute;left:0;text-align:left;margin-left:207.45pt;margin-top:9.45pt;width:259.5pt;height:112.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" filled="f" stroked="f">
                <v:textbox style="mso-fit-shape-to-text:t">
                  <w:txbxContent>
                    <w:p w14:paraId="37E08206" w14:textId="77777777" w:rsidR="004F409C" w:rsidRDefault="004F409C" w:rsidP="00FF2257">
                      <w:pPr>
                        <w:rPr>
                          <w:rFonts w:ascii="Times New Roman" w:hAnsi="Times New Roman" w:cs="Times New Roman"/>
                        </w:rPr>
                      </w:pPr>
                    </w:p>
                    <w:p w14:paraId="1B07B93F" w14:textId="1AAD5B34" w:rsidR="004F409C" w:rsidRDefault="004F409C" w:rsidP="00AA39C9">
                      <w:pPr>
                        <w:ind w:firstLine="0"/>
                        <w:rPr>
                          <w:rFonts w:ascii="Times New Roman" w:hAnsi="Times New Roman" w:cs="Times New Roman"/>
                          <w:sz w:val="24"/>
                          <w:szCs w:val="24"/>
                        </w:rPr>
                      </w:pPr>
                      <w:r w:rsidRPr="00AA39C9">
                        <w:rPr>
                          <w:rFonts w:ascii="Times New Roman" w:hAnsi="Times New Roman" w:cs="Times New Roman"/>
                          <w:sz w:val="24"/>
                          <w:szCs w:val="24"/>
                        </w:rPr>
                        <w:t>Monografia apresentada ao Instituto de Economia e Relações Internacionais da Universidade Federal de Uberlândia, como requisito parcial à obtenção do título de Bacharel em Ciências Econômicas</w:t>
                      </w:r>
                    </w:p>
                    <w:p w14:paraId="0790A7D2" w14:textId="5382D32B" w:rsidR="004F409C" w:rsidRDefault="004F409C" w:rsidP="00AA39C9">
                      <w:pPr>
                        <w:ind w:firstLine="0"/>
                        <w:rPr>
                          <w:rFonts w:ascii="Times New Roman" w:hAnsi="Times New Roman" w:cs="Times New Roman"/>
                          <w:sz w:val="24"/>
                          <w:szCs w:val="24"/>
                        </w:rPr>
                      </w:pPr>
                    </w:p>
                    <w:p w14:paraId="5CEBF515" w14:textId="4625C24C" w:rsidR="004F409C" w:rsidRPr="00AA39C9" w:rsidRDefault="004F409C" w:rsidP="00AA39C9">
                      <w:pPr>
                        <w:ind w:firstLine="0"/>
                        <w:rPr>
                          <w:sz w:val="24"/>
                          <w:szCs w:val="24"/>
                        </w:rPr>
                      </w:pPr>
                      <w:r>
                        <w:rPr>
                          <w:rFonts w:ascii="Times New Roman" w:hAnsi="Times New Roman" w:cs="Times New Roman"/>
                          <w:sz w:val="24"/>
                          <w:szCs w:val="24"/>
                        </w:rPr>
                        <w:t>Orientador: Professor Me. Vitorino Alves da Silva</w:t>
                      </w:r>
                    </w:p>
                  </w:txbxContent>
                </v:textbox>
              </v:shape>
            </w:pict>
          </mc:Fallback>
        </mc:AlternateContent>
      </w:r>
    </w:p>
    <w:p w14:paraId="19AE6B21" w14:textId="77777777" w:rsidR="00FF2257" w:rsidRDefault="00FF2257" w:rsidP="00FF2257">
      <w:pPr>
        <w:jc w:val="center"/>
        <w:rPr>
          <w:rFonts w:ascii="Times New Roman" w:hAnsi="Times New Roman" w:cs="Times New Roman"/>
          <w:sz w:val="24"/>
          <w:szCs w:val="24"/>
        </w:rPr>
      </w:pPr>
    </w:p>
    <w:p w14:paraId="535085A9" w14:textId="77777777" w:rsidR="00FF2257" w:rsidRDefault="00FF2257" w:rsidP="00FF2257">
      <w:pPr>
        <w:jc w:val="center"/>
        <w:rPr>
          <w:rFonts w:ascii="Times New Roman" w:hAnsi="Times New Roman" w:cs="Times New Roman"/>
          <w:sz w:val="24"/>
          <w:szCs w:val="24"/>
        </w:rPr>
      </w:pPr>
    </w:p>
    <w:p w14:paraId="532498D5" w14:textId="77777777" w:rsidR="00FF2257" w:rsidRDefault="00FF2257" w:rsidP="00FF2257">
      <w:pPr>
        <w:jc w:val="center"/>
        <w:rPr>
          <w:rFonts w:ascii="Times New Roman" w:hAnsi="Times New Roman" w:cs="Times New Roman"/>
          <w:sz w:val="24"/>
          <w:szCs w:val="24"/>
        </w:rPr>
      </w:pPr>
    </w:p>
    <w:p w14:paraId="3E08078F" w14:textId="77777777" w:rsidR="00FF2257" w:rsidRDefault="00FF2257" w:rsidP="00FF2257">
      <w:pPr>
        <w:jc w:val="center"/>
        <w:rPr>
          <w:rFonts w:ascii="Times New Roman" w:hAnsi="Times New Roman" w:cs="Times New Roman"/>
          <w:sz w:val="24"/>
          <w:szCs w:val="24"/>
        </w:rPr>
      </w:pPr>
    </w:p>
    <w:p w14:paraId="5516CD2B" w14:textId="77777777" w:rsidR="00FF2257" w:rsidRDefault="00FF2257" w:rsidP="00FF2257">
      <w:pPr>
        <w:jc w:val="center"/>
        <w:rPr>
          <w:rFonts w:ascii="Times New Roman" w:hAnsi="Times New Roman" w:cs="Times New Roman"/>
          <w:sz w:val="24"/>
          <w:szCs w:val="24"/>
        </w:rPr>
      </w:pPr>
    </w:p>
    <w:p w14:paraId="66C9CAC1" w14:textId="77777777" w:rsidR="00FF2257" w:rsidRDefault="00FF2257" w:rsidP="00FF2257">
      <w:pPr>
        <w:jc w:val="center"/>
        <w:rPr>
          <w:rFonts w:ascii="Times New Roman" w:hAnsi="Times New Roman" w:cs="Times New Roman"/>
          <w:sz w:val="24"/>
          <w:szCs w:val="24"/>
        </w:rPr>
      </w:pPr>
    </w:p>
    <w:p w14:paraId="667429AC" w14:textId="06E3FDE0" w:rsidR="00FF2257" w:rsidRDefault="00FF2257" w:rsidP="00FF2257">
      <w:pPr>
        <w:rPr>
          <w:rFonts w:ascii="Times New Roman" w:hAnsi="Times New Roman" w:cs="Times New Roman"/>
          <w:sz w:val="24"/>
          <w:szCs w:val="24"/>
        </w:rPr>
      </w:pPr>
    </w:p>
    <w:p w14:paraId="738F30C5" w14:textId="77777777" w:rsidR="00C97A1D" w:rsidRDefault="00C97A1D" w:rsidP="00FF2257">
      <w:pPr>
        <w:rPr>
          <w:rFonts w:ascii="Times New Roman" w:hAnsi="Times New Roman" w:cs="Times New Roman"/>
          <w:sz w:val="24"/>
          <w:szCs w:val="24"/>
        </w:rPr>
      </w:pPr>
    </w:p>
    <w:p w14:paraId="116FAA57" w14:textId="77777777" w:rsidR="00FF2257" w:rsidRDefault="00FF2257" w:rsidP="00FF2257">
      <w:pPr>
        <w:rPr>
          <w:rFonts w:ascii="Times New Roman" w:hAnsi="Times New Roman" w:cs="Times New Roman"/>
          <w:sz w:val="24"/>
          <w:szCs w:val="24"/>
        </w:rPr>
      </w:pPr>
      <w:r>
        <w:rPr>
          <w:rFonts w:ascii="Times New Roman" w:hAnsi="Times New Roman" w:cs="Times New Roman"/>
          <w:sz w:val="24"/>
          <w:szCs w:val="24"/>
        </w:rPr>
        <w:t>BANCA EXAMINADORA:</w:t>
      </w:r>
    </w:p>
    <w:p w14:paraId="03E692F1" w14:textId="5D814DE4" w:rsidR="00FF2257" w:rsidRDefault="00FF2257" w:rsidP="00FF2257">
      <w:pPr>
        <w:rPr>
          <w:rFonts w:ascii="Times New Roman" w:hAnsi="Times New Roman" w:cs="Times New Roman"/>
          <w:sz w:val="24"/>
          <w:szCs w:val="24"/>
        </w:rPr>
      </w:pPr>
      <w:r>
        <w:rPr>
          <w:rFonts w:ascii="Times New Roman" w:hAnsi="Times New Roman" w:cs="Times New Roman"/>
          <w:sz w:val="24"/>
          <w:szCs w:val="24"/>
        </w:rPr>
        <w:t>Uberlândia</w:t>
      </w:r>
      <w:r w:rsidR="00AA39C9">
        <w:rPr>
          <w:rFonts w:ascii="Times New Roman" w:hAnsi="Times New Roman" w:cs="Times New Roman"/>
          <w:sz w:val="24"/>
          <w:szCs w:val="24"/>
        </w:rPr>
        <w:t xml:space="preserve"> (</w:t>
      </w:r>
      <w:r>
        <w:rPr>
          <w:rFonts w:ascii="Times New Roman" w:hAnsi="Times New Roman" w:cs="Times New Roman"/>
          <w:sz w:val="24"/>
          <w:szCs w:val="24"/>
        </w:rPr>
        <w:t>MG</w:t>
      </w:r>
      <w:r w:rsidR="00AA39C9">
        <w:rPr>
          <w:rFonts w:ascii="Times New Roman" w:hAnsi="Times New Roman" w:cs="Times New Roman"/>
          <w:sz w:val="24"/>
          <w:szCs w:val="24"/>
        </w:rPr>
        <w:t>)</w:t>
      </w:r>
      <w:r>
        <w:rPr>
          <w:rFonts w:ascii="Times New Roman" w:hAnsi="Times New Roman" w:cs="Times New Roman"/>
          <w:sz w:val="24"/>
          <w:szCs w:val="24"/>
        </w:rPr>
        <w:t>, 09 de dezembro de 2020.</w:t>
      </w:r>
    </w:p>
    <w:p w14:paraId="3F9FD808" w14:textId="77777777" w:rsidR="00FF2257" w:rsidRDefault="00FF2257" w:rsidP="00FF2257">
      <w:pPr>
        <w:rPr>
          <w:rFonts w:ascii="Times New Roman" w:hAnsi="Times New Roman" w:cs="Times New Roman"/>
          <w:sz w:val="24"/>
          <w:szCs w:val="24"/>
        </w:rPr>
      </w:pPr>
    </w:p>
    <w:p w14:paraId="722F7263" w14:textId="77777777" w:rsidR="00FF2257" w:rsidRDefault="00FF2257" w:rsidP="00FF2257">
      <w:pPr>
        <w:rPr>
          <w:rFonts w:ascii="Times New Roman" w:hAnsi="Times New Roman" w:cs="Times New Roman"/>
          <w:sz w:val="24"/>
          <w:szCs w:val="24"/>
        </w:rPr>
      </w:pPr>
    </w:p>
    <w:p w14:paraId="214424BF" w14:textId="77777777" w:rsidR="00FF2257" w:rsidRDefault="00FF2257" w:rsidP="00FF2257">
      <w:pPr>
        <w:rPr>
          <w:rFonts w:ascii="Times New Roman" w:hAnsi="Times New Roman" w:cs="Times New Roman"/>
          <w:sz w:val="24"/>
          <w:szCs w:val="24"/>
        </w:rPr>
      </w:pPr>
    </w:p>
    <w:p w14:paraId="4E4272B3" w14:textId="77777777" w:rsidR="00FF2257" w:rsidRDefault="00FF2257" w:rsidP="00FF2257">
      <w:pPr>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14:paraId="66372986" w14:textId="4D9ACB7A" w:rsidR="00FF2257" w:rsidRDefault="00FF2257" w:rsidP="00FF2257">
      <w:pPr>
        <w:jc w:val="center"/>
        <w:rPr>
          <w:rFonts w:ascii="Times New Roman" w:hAnsi="Times New Roman" w:cs="Times New Roman"/>
          <w:sz w:val="24"/>
          <w:szCs w:val="24"/>
        </w:rPr>
      </w:pPr>
      <w:r>
        <w:rPr>
          <w:rFonts w:ascii="Times New Roman" w:hAnsi="Times New Roman" w:cs="Times New Roman"/>
          <w:sz w:val="24"/>
          <w:szCs w:val="24"/>
        </w:rPr>
        <w:t>Prof</w:t>
      </w:r>
      <w:r w:rsidR="00AA39C9">
        <w:rPr>
          <w:rFonts w:ascii="Times New Roman" w:hAnsi="Times New Roman" w:cs="Times New Roman"/>
          <w:sz w:val="24"/>
          <w:szCs w:val="24"/>
        </w:rPr>
        <w:t>essor</w:t>
      </w:r>
      <w:r>
        <w:rPr>
          <w:rFonts w:ascii="Times New Roman" w:hAnsi="Times New Roman" w:cs="Times New Roman"/>
          <w:sz w:val="24"/>
          <w:szCs w:val="24"/>
        </w:rPr>
        <w:t xml:space="preserve"> Dr. Eduardo Nunes Guimarães</w:t>
      </w:r>
    </w:p>
    <w:p w14:paraId="6D40D41E" w14:textId="77777777" w:rsidR="00FF2257" w:rsidRDefault="00FF2257" w:rsidP="00FF2257">
      <w:pPr>
        <w:jc w:val="center"/>
        <w:rPr>
          <w:rFonts w:ascii="Times New Roman" w:hAnsi="Times New Roman" w:cs="Times New Roman"/>
          <w:sz w:val="24"/>
          <w:szCs w:val="24"/>
        </w:rPr>
      </w:pPr>
    </w:p>
    <w:p w14:paraId="6B1665F4" w14:textId="77777777" w:rsidR="00FF2257" w:rsidRDefault="00FF2257" w:rsidP="00FF2257">
      <w:pPr>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14:paraId="55522093" w14:textId="63956415" w:rsidR="00FF2257" w:rsidRDefault="00FF2257" w:rsidP="00FF2257">
      <w:pPr>
        <w:jc w:val="center"/>
        <w:rPr>
          <w:rFonts w:ascii="Times New Roman" w:hAnsi="Times New Roman" w:cs="Times New Roman"/>
          <w:sz w:val="24"/>
          <w:szCs w:val="24"/>
        </w:rPr>
      </w:pPr>
      <w:r>
        <w:rPr>
          <w:rFonts w:ascii="Times New Roman" w:hAnsi="Times New Roman" w:cs="Times New Roman"/>
          <w:sz w:val="24"/>
          <w:szCs w:val="24"/>
        </w:rPr>
        <w:t>Prof</w:t>
      </w:r>
      <w:r w:rsidR="00AA39C9">
        <w:rPr>
          <w:rFonts w:ascii="Times New Roman" w:hAnsi="Times New Roman" w:cs="Times New Roman"/>
          <w:sz w:val="24"/>
          <w:szCs w:val="24"/>
        </w:rPr>
        <w:t>essor</w:t>
      </w:r>
      <w:r>
        <w:rPr>
          <w:rFonts w:ascii="Times New Roman" w:hAnsi="Times New Roman" w:cs="Times New Roman"/>
          <w:sz w:val="24"/>
          <w:szCs w:val="24"/>
        </w:rPr>
        <w:t xml:space="preserve"> Dr. Humberto Eduardo de Paula Martins</w:t>
      </w:r>
    </w:p>
    <w:p w14:paraId="4AB886A3" w14:textId="77777777" w:rsidR="00FF2257" w:rsidRDefault="00FF2257" w:rsidP="00FF2257">
      <w:pPr>
        <w:jc w:val="center"/>
        <w:rPr>
          <w:rFonts w:ascii="Times New Roman" w:hAnsi="Times New Roman" w:cs="Times New Roman"/>
          <w:sz w:val="24"/>
          <w:szCs w:val="24"/>
        </w:rPr>
      </w:pPr>
    </w:p>
    <w:p w14:paraId="2411EFE3" w14:textId="77777777" w:rsidR="00FF2257" w:rsidRDefault="00FF2257" w:rsidP="00FF2257">
      <w:pPr>
        <w:jc w:val="center"/>
        <w:rPr>
          <w:rFonts w:ascii="Times New Roman" w:hAnsi="Times New Roman" w:cs="Times New Roman"/>
          <w:sz w:val="24"/>
          <w:szCs w:val="24"/>
        </w:rPr>
      </w:pPr>
      <w:r>
        <w:rPr>
          <w:rFonts w:ascii="Times New Roman" w:hAnsi="Times New Roman" w:cs="Times New Roman"/>
          <w:sz w:val="24"/>
          <w:szCs w:val="24"/>
        </w:rPr>
        <w:t>_____________________________________</w:t>
      </w:r>
    </w:p>
    <w:p w14:paraId="5F2C94AE" w14:textId="2FD50854" w:rsidR="00FF2257" w:rsidRDefault="00FF2257" w:rsidP="00FF2257">
      <w:pPr>
        <w:jc w:val="center"/>
        <w:rPr>
          <w:rFonts w:ascii="Times New Roman" w:hAnsi="Times New Roman" w:cs="Times New Roman"/>
          <w:sz w:val="24"/>
          <w:szCs w:val="24"/>
        </w:rPr>
      </w:pPr>
      <w:r>
        <w:rPr>
          <w:rFonts w:ascii="Times New Roman" w:hAnsi="Times New Roman" w:cs="Times New Roman"/>
          <w:sz w:val="24"/>
          <w:szCs w:val="24"/>
        </w:rPr>
        <w:t>Prof</w:t>
      </w:r>
      <w:r w:rsidR="00AA39C9">
        <w:rPr>
          <w:rFonts w:ascii="Times New Roman" w:hAnsi="Times New Roman" w:cs="Times New Roman"/>
          <w:sz w:val="24"/>
          <w:szCs w:val="24"/>
        </w:rPr>
        <w:t>essor</w:t>
      </w:r>
      <w:r w:rsidR="002345BD">
        <w:rPr>
          <w:rFonts w:ascii="Times New Roman" w:hAnsi="Times New Roman" w:cs="Times New Roman"/>
          <w:sz w:val="24"/>
          <w:szCs w:val="24"/>
        </w:rPr>
        <w:t xml:space="preserve"> </w:t>
      </w:r>
      <w:r>
        <w:rPr>
          <w:rFonts w:ascii="Times New Roman" w:hAnsi="Times New Roman" w:cs="Times New Roman"/>
          <w:sz w:val="24"/>
          <w:szCs w:val="24"/>
        </w:rPr>
        <w:t>Me. Vitorino Alves da Silva</w:t>
      </w:r>
    </w:p>
    <w:p w14:paraId="7A51E430" w14:textId="07669C0B" w:rsidR="006A18ED" w:rsidRPr="00BD0223" w:rsidRDefault="00A96972" w:rsidP="000F0A4F">
      <w:pPr>
        <w:pStyle w:val="TIT1pre-textuais"/>
      </w:pPr>
      <w:r w:rsidRPr="00BD0223">
        <w:lastRenderedPageBreak/>
        <w:t>RESUMO</w:t>
      </w:r>
    </w:p>
    <w:p w14:paraId="5EB1100F" w14:textId="2780F3C2" w:rsidR="00EB5C96" w:rsidRPr="00D61E44" w:rsidRDefault="00EB5C96" w:rsidP="00EB5C96">
      <w:pPr>
        <w:spacing w:line="240" w:lineRule="auto"/>
        <w:ind w:firstLine="0"/>
        <w:rPr>
          <w:rFonts w:ascii="Times New Roman" w:eastAsiaTheme="majorEastAsia" w:hAnsi="Times New Roman" w:cs="Times New Roman"/>
          <w:color w:val="000000" w:themeColor="text1"/>
          <w:sz w:val="24"/>
          <w:szCs w:val="24"/>
        </w:rPr>
      </w:pPr>
      <w:r>
        <w:rPr>
          <w:rFonts w:ascii="Times New Roman" w:hAnsi="Times New Roman" w:cs="Times New Roman"/>
          <w:sz w:val="24"/>
          <w:szCs w:val="24"/>
        </w:rPr>
        <w:t xml:space="preserve">A </w:t>
      </w:r>
      <w:r w:rsidR="008C006A">
        <w:rPr>
          <w:rFonts w:ascii="Times New Roman" w:hAnsi="Times New Roman" w:cs="Times New Roman"/>
          <w:sz w:val="24"/>
          <w:szCs w:val="24"/>
        </w:rPr>
        <w:t>F</w:t>
      </w:r>
      <w:r>
        <w:rPr>
          <w:rFonts w:ascii="Times New Roman" w:hAnsi="Times New Roman" w:cs="Times New Roman"/>
          <w:sz w:val="24"/>
          <w:szCs w:val="24"/>
        </w:rPr>
        <w:t xml:space="preserve">ederação </w:t>
      </w:r>
      <w:r w:rsidR="008C006A">
        <w:rPr>
          <w:rFonts w:ascii="Times New Roman" w:hAnsi="Times New Roman" w:cs="Times New Roman"/>
          <w:sz w:val="24"/>
          <w:szCs w:val="24"/>
        </w:rPr>
        <w:t>B</w:t>
      </w:r>
      <w:r>
        <w:rPr>
          <w:rFonts w:ascii="Times New Roman" w:hAnsi="Times New Roman" w:cs="Times New Roman"/>
          <w:sz w:val="24"/>
          <w:szCs w:val="24"/>
        </w:rPr>
        <w:t>rasileira tem apresentado, ao longo de s</w:t>
      </w:r>
      <w:r w:rsidR="008C006A">
        <w:rPr>
          <w:rFonts w:ascii="Times New Roman" w:hAnsi="Times New Roman" w:cs="Times New Roman"/>
          <w:sz w:val="24"/>
          <w:szCs w:val="24"/>
        </w:rPr>
        <w:t xml:space="preserve">eu histórico </w:t>
      </w:r>
      <w:r>
        <w:rPr>
          <w:rFonts w:ascii="Times New Roman" w:hAnsi="Times New Roman" w:cs="Times New Roman"/>
          <w:sz w:val="24"/>
          <w:szCs w:val="24"/>
        </w:rPr>
        <w:t>de formação, conflitos econômico-culturais entre entes subnacionais e grupos empresariais que se beneficiam do ambiente institucional promovido por cada estado</w:t>
      </w:r>
      <w:r w:rsidR="008C006A">
        <w:rPr>
          <w:rFonts w:ascii="Times New Roman" w:hAnsi="Times New Roman" w:cs="Times New Roman"/>
          <w:sz w:val="24"/>
          <w:szCs w:val="24"/>
        </w:rPr>
        <w:t xml:space="preserve"> federado</w:t>
      </w:r>
      <w:r>
        <w:rPr>
          <w:rFonts w:ascii="Times New Roman" w:hAnsi="Times New Roman" w:cs="Times New Roman"/>
          <w:sz w:val="24"/>
          <w:szCs w:val="24"/>
        </w:rPr>
        <w:t>. Em relação aos combustíveis líquidos</w:t>
      </w:r>
      <w:r w:rsidR="008C006A">
        <w:rPr>
          <w:rFonts w:ascii="Times New Roman" w:hAnsi="Times New Roman" w:cs="Times New Roman"/>
          <w:sz w:val="24"/>
          <w:szCs w:val="24"/>
        </w:rPr>
        <w:t>,</w:t>
      </w:r>
      <w:r>
        <w:rPr>
          <w:rFonts w:ascii="Times New Roman" w:hAnsi="Times New Roman" w:cs="Times New Roman"/>
          <w:sz w:val="24"/>
          <w:szCs w:val="24"/>
        </w:rPr>
        <w:t xml:space="preserve"> o Confaz é responsável por administrar os interesses dos estados e dos empresários que entram em conflito devido a disputa interestadual por plantas produtivas e consumidores, tornando o ICMS um imposto </w:t>
      </w:r>
      <w:r w:rsidRPr="003C6867">
        <w:rPr>
          <w:rFonts w:ascii="Times New Roman" w:hAnsi="Times New Roman" w:cs="Times New Roman"/>
          <w:sz w:val="24"/>
          <w:szCs w:val="24"/>
        </w:rPr>
        <w:t xml:space="preserve">que realoca a economia de forma </w:t>
      </w:r>
      <w:r w:rsidR="003C6867" w:rsidRPr="003C6867">
        <w:rPr>
          <w:rFonts w:ascii="Times New Roman" w:hAnsi="Times New Roman" w:cs="Times New Roman"/>
          <w:sz w:val="24"/>
          <w:szCs w:val="24"/>
        </w:rPr>
        <w:t>ineficiente</w:t>
      </w:r>
      <w:r>
        <w:rPr>
          <w:rFonts w:ascii="Times New Roman" w:hAnsi="Times New Roman" w:cs="Times New Roman"/>
          <w:sz w:val="24"/>
          <w:szCs w:val="24"/>
        </w:rPr>
        <w:t xml:space="preserve">. O varejo de combustíveis automotivos </w:t>
      </w:r>
      <w:r w:rsidR="008C006A">
        <w:rPr>
          <w:rFonts w:ascii="Times New Roman" w:hAnsi="Times New Roman" w:cs="Times New Roman"/>
          <w:sz w:val="24"/>
          <w:szCs w:val="24"/>
        </w:rPr>
        <w:t>n</w:t>
      </w:r>
      <w:r>
        <w:rPr>
          <w:rFonts w:ascii="Times New Roman" w:hAnsi="Times New Roman" w:cs="Times New Roman"/>
          <w:sz w:val="24"/>
          <w:szCs w:val="24"/>
        </w:rPr>
        <w:t xml:space="preserve">a </w:t>
      </w:r>
      <w:r w:rsidR="008C006A">
        <w:rPr>
          <w:rFonts w:ascii="Times New Roman" w:hAnsi="Times New Roman" w:cs="Times New Roman"/>
          <w:sz w:val="24"/>
          <w:szCs w:val="24"/>
        </w:rPr>
        <w:t>R</w:t>
      </w:r>
      <w:r>
        <w:rPr>
          <w:rFonts w:ascii="Times New Roman" w:hAnsi="Times New Roman" w:cs="Times New Roman"/>
          <w:sz w:val="24"/>
          <w:szCs w:val="24"/>
        </w:rPr>
        <w:t>egião do Triângulo Mineiro</w:t>
      </w:r>
      <w:r w:rsidR="008C006A">
        <w:rPr>
          <w:rFonts w:ascii="Times New Roman" w:hAnsi="Times New Roman" w:cs="Times New Roman"/>
          <w:sz w:val="24"/>
          <w:szCs w:val="24"/>
        </w:rPr>
        <w:t xml:space="preserve"> (MG)</w:t>
      </w:r>
      <w:r>
        <w:rPr>
          <w:rFonts w:ascii="Times New Roman" w:hAnsi="Times New Roman" w:cs="Times New Roman"/>
          <w:sz w:val="24"/>
          <w:szCs w:val="24"/>
        </w:rPr>
        <w:t xml:space="preserve">, desde a promulgação da Constituição Federal de 1988, que deu o poder aos estados de definir as alíquotas de ICMS, reclama de possível fuga de consumidores para o </w:t>
      </w:r>
      <w:r w:rsidR="008C006A">
        <w:rPr>
          <w:rFonts w:ascii="Times New Roman" w:hAnsi="Times New Roman" w:cs="Times New Roman"/>
          <w:sz w:val="24"/>
          <w:szCs w:val="24"/>
        </w:rPr>
        <w:t>E</w:t>
      </w:r>
      <w:r>
        <w:rPr>
          <w:rFonts w:ascii="Times New Roman" w:hAnsi="Times New Roman" w:cs="Times New Roman"/>
          <w:sz w:val="24"/>
          <w:szCs w:val="24"/>
        </w:rPr>
        <w:t>stado de São Paulo</w:t>
      </w:r>
      <w:r w:rsidR="008C006A">
        <w:rPr>
          <w:rFonts w:ascii="Times New Roman" w:hAnsi="Times New Roman" w:cs="Times New Roman"/>
          <w:sz w:val="24"/>
          <w:szCs w:val="24"/>
        </w:rPr>
        <w:t xml:space="preserve">, dotado de </w:t>
      </w:r>
      <w:r>
        <w:rPr>
          <w:rFonts w:ascii="Times New Roman" w:hAnsi="Times New Roman" w:cs="Times New Roman"/>
          <w:sz w:val="24"/>
          <w:szCs w:val="24"/>
        </w:rPr>
        <w:t xml:space="preserve">alíquota de ICMS inferior </w:t>
      </w:r>
      <w:r w:rsidR="008C006A">
        <w:rPr>
          <w:rFonts w:ascii="Times New Roman" w:hAnsi="Times New Roman" w:cs="Times New Roman"/>
          <w:sz w:val="24"/>
          <w:szCs w:val="24"/>
        </w:rPr>
        <w:t xml:space="preserve">à </w:t>
      </w:r>
      <w:r>
        <w:rPr>
          <w:rFonts w:ascii="Times New Roman" w:hAnsi="Times New Roman" w:cs="Times New Roman"/>
          <w:sz w:val="24"/>
          <w:szCs w:val="24"/>
        </w:rPr>
        <w:t xml:space="preserve">de Minas Gerais em produtos </w:t>
      </w:r>
      <w:r w:rsidR="008C006A">
        <w:rPr>
          <w:rFonts w:ascii="Times New Roman" w:hAnsi="Times New Roman" w:cs="Times New Roman"/>
          <w:sz w:val="24"/>
          <w:szCs w:val="24"/>
        </w:rPr>
        <w:t xml:space="preserve">do setor; tais como </w:t>
      </w:r>
      <w:r>
        <w:rPr>
          <w:rFonts w:ascii="Times New Roman" w:hAnsi="Times New Roman" w:cs="Times New Roman"/>
          <w:sz w:val="24"/>
          <w:szCs w:val="24"/>
        </w:rPr>
        <w:t xml:space="preserve">gasolina e óleo diesel. </w:t>
      </w:r>
      <w:r w:rsidRPr="00E0201B">
        <w:rPr>
          <w:rFonts w:ascii="Times New Roman" w:hAnsi="Times New Roman" w:cs="Times New Roman"/>
          <w:sz w:val="24"/>
          <w:szCs w:val="24"/>
        </w:rPr>
        <w:t>O</w:t>
      </w:r>
      <w:r w:rsidR="008C006A">
        <w:rPr>
          <w:rFonts w:ascii="Times New Roman" w:hAnsi="Times New Roman" w:cs="Times New Roman"/>
          <w:sz w:val="24"/>
          <w:szCs w:val="24"/>
        </w:rPr>
        <w:t xml:space="preserve"> </w:t>
      </w:r>
      <w:r w:rsidRPr="00E0201B">
        <w:rPr>
          <w:rFonts w:ascii="Times New Roman" w:hAnsi="Times New Roman" w:cs="Times New Roman"/>
          <w:sz w:val="24"/>
          <w:szCs w:val="24"/>
        </w:rPr>
        <w:t>presente trabalho pretende analisar a política de alíquotas</w:t>
      </w:r>
      <w:r w:rsidR="008C006A">
        <w:rPr>
          <w:rFonts w:ascii="Times New Roman" w:hAnsi="Times New Roman" w:cs="Times New Roman"/>
          <w:sz w:val="24"/>
          <w:szCs w:val="24"/>
        </w:rPr>
        <w:t xml:space="preserve"> do Governo de Minas Gerais e seus resultados arrecadatórios </w:t>
      </w:r>
      <w:r w:rsidRPr="00E0201B">
        <w:rPr>
          <w:rFonts w:ascii="Times New Roman" w:hAnsi="Times New Roman" w:cs="Times New Roman"/>
          <w:sz w:val="24"/>
          <w:szCs w:val="24"/>
        </w:rPr>
        <w:t>de 2010 a 2018</w:t>
      </w:r>
      <w:r w:rsidR="00BD4862">
        <w:rPr>
          <w:rFonts w:ascii="Times New Roman" w:hAnsi="Times New Roman" w:cs="Times New Roman"/>
          <w:sz w:val="24"/>
          <w:szCs w:val="24"/>
        </w:rPr>
        <w:t>. M</w:t>
      </w:r>
      <w:r w:rsidRPr="00E0201B">
        <w:rPr>
          <w:rFonts w:ascii="Times New Roman" w:hAnsi="Times New Roman" w:cs="Times New Roman"/>
          <w:sz w:val="24"/>
          <w:szCs w:val="24"/>
        </w:rPr>
        <w:t>ais especificamente</w:t>
      </w:r>
      <w:r w:rsidR="00BD4862">
        <w:rPr>
          <w:rFonts w:ascii="Times New Roman" w:hAnsi="Times New Roman" w:cs="Times New Roman"/>
          <w:sz w:val="24"/>
          <w:szCs w:val="24"/>
        </w:rPr>
        <w:t xml:space="preserve">, abrangendo </w:t>
      </w:r>
      <w:r w:rsidRPr="00E0201B">
        <w:rPr>
          <w:rFonts w:ascii="Times New Roman" w:hAnsi="Times New Roman" w:cs="Times New Roman"/>
          <w:sz w:val="24"/>
          <w:szCs w:val="24"/>
        </w:rPr>
        <w:t>o ICMS sobre combustíveis e outros produtos de elevado potencial arrecadatório e como tais medidas</w:t>
      </w:r>
      <w:r w:rsidR="00BD4862">
        <w:rPr>
          <w:rFonts w:ascii="Times New Roman" w:hAnsi="Times New Roman" w:cs="Times New Roman"/>
          <w:sz w:val="24"/>
          <w:szCs w:val="24"/>
        </w:rPr>
        <w:t xml:space="preserve">, </w:t>
      </w:r>
      <w:r w:rsidRPr="00E0201B">
        <w:rPr>
          <w:rFonts w:ascii="Times New Roman" w:hAnsi="Times New Roman" w:cs="Times New Roman"/>
          <w:sz w:val="24"/>
          <w:szCs w:val="24"/>
        </w:rPr>
        <w:t>juntamente com a crise fiscal</w:t>
      </w:r>
      <w:r w:rsidR="00BD4862">
        <w:rPr>
          <w:rFonts w:ascii="Times New Roman" w:hAnsi="Times New Roman" w:cs="Times New Roman"/>
          <w:sz w:val="24"/>
          <w:szCs w:val="24"/>
        </w:rPr>
        <w:t xml:space="preserve">, </w:t>
      </w:r>
      <w:r w:rsidRPr="00E0201B">
        <w:rPr>
          <w:rFonts w:ascii="Times New Roman" w:hAnsi="Times New Roman" w:cs="Times New Roman"/>
          <w:sz w:val="24"/>
          <w:szCs w:val="24"/>
        </w:rPr>
        <w:t>afetaram as finanças públicas</w:t>
      </w:r>
      <w:r w:rsidR="00BD4862">
        <w:rPr>
          <w:rFonts w:ascii="Times New Roman" w:hAnsi="Times New Roman" w:cs="Times New Roman"/>
          <w:sz w:val="24"/>
          <w:szCs w:val="24"/>
        </w:rPr>
        <w:t xml:space="preserve"> deste Estado</w:t>
      </w:r>
      <w:r>
        <w:rPr>
          <w:rFonts w:ascii="Times New Roman" w:hAnsi="Times New Roman" w:cs="Times New Roman"/>
          <w:sz w:val="24"/>
          <w:szCs w:val="24"/>
        </w:rPr>
        <w:t>. Analisando um estudo de caso específico do setor de varejo de gasolina e diesel</w:t>
      </w:r>
      <w:r w:rsidR="00BD4862">
        <w:rPr>
          <w:rFonts w:ascii="Times New Roman" w:hAnsi="Times New Roman" w:cs="Times New Roman"/>
          <w:sz w:val="24"/>
          <w:szCs w:val="24"/>
        </w:rPr>
        <w:t>,</w:t>
      </w:r>
      <w:r>
        <w:rPr>
          <w:rFonts w:ascii="Times New Roman" w:hAnsi="Times New Roman" w:cs="Times New Roman"/>
          <w:sz w:val="24"/>
          <w:szCs w:val="24"/>
        </w:rPr>
        <w:t xml:space="preserve"> </w:t>
      </w:r>
      <w:r w:rsidR="00BD4862">
        <w:rPr>
          <w:rFonts w:ascii="Times New Roman" w:hAnsi="Times New Roman" w:cs="Times New Roman"/>
          <w:sz w:val="24"/>
          <w:szCs w:val="24"/>
        </w:rPr>
        <w:t>n</w:t>
      </w:r>
      <w:r>
        <w:rPr>
          <w:rFonts w:ascii="Times New Roman" w:hAnsi="Times New Roman" w:cs="Times New Roman"/>
          <w:sz w:val="24"/>
          <w:szCs w:val="24"/>
        </w:rPr>
        <w:t xml:space="preserve">a </w:t>
      </w:r>
      <w:r w:rsidR="00BD4862">
        <w:rPr>
          <w:rFonts w:ascii="Times New Roman" w:hAnsi="Times New Roman" w:cs="Times New Roman"/>
          <w:sz w:val="24"/>
          <w:szCs w:val="24"/>
        </w:rPr>
        <w:t>R</w:t>
      </w:r>
      <w:r>
        <w:rPr>
          <w:rFonts w:ascii="Times New Roman" w:hAnsi="Times New Roman" w:cs="Times New Roman"/>
          <w:sz w:val="24"/>
          <w:szCs w:val="24"/>
        </w:rPr>
        <w:t>egião do Triângulo Mineiro, que foi afetado por se concentrar em uma área estratégica para a logística das empresas, com concorrência direta d</w:t>
      </w:r>
      <w:r w:rsidR="00BD4862">
        <w:rPr>
          <w:rFonts w:ascii="Times New Roman" w:hAnsi="Times New Roman" w:cs="Times New Roman"/>
          <w:sz w:val="24"/>
          <w:szCs w:val="24"/>
        </w:rPr>
        <w:t xml:space="preserve">o Estado de </w:t>
      </w:r>
      <w:r>
        <w:rPr>
          <w:rFonts w:ascii="Times New Roman" w:hAnsi="Times New Roman" w:cs="Times New Roman"/>
          <w:sz w:val="24"/>
          <w:szCs w:val="24"/>
        </w:rPr>
        <w:t xml:space="preserve">São Paulo </w:t>
      </w:r>
      <w:r w:rsidR="00BD4862">
        <w:rPr>
          <w:rFonts w:ascii="Times New Roman" w:hAnsi="Times New Roman" w:cs="Times New Roman"/>
          <w:sz w:val="24"/>
          <w:szCs w:val="24"/>
        </w:rPr>
        <w:t xml:space="preserve">em que vigoram </w:t>
      </w:r>
      <w:r>
        <w:rPr>
          <w:rFonts w:ascii="Times New Roman" w:hAnsi="Times New Roman" w:cs="Times New Roman"/>
          <w:sz w:val="24"/>
          <w:szCs w:val="24"/>
        </w:rPr>
        <w:t>alíquotas</w:t>
      </w:r>
      <w:r w:rsidR="00BD4862">
        <w:rPr>
          <w:rFonts w:ascii="Times New Roman" w:hAnsi="Times New Roman" w:cs="Times New Roman"/>
          <w:sz w:val="24"/>
          <w:szCs w:val="24"/>
        </w:rPr>
        <w:t xml:space="preserve"> menores </w:t>
      </w:r>
      <w:r>
        <w:rPr>
          <w:rFonts w:ascii="Times New Roman" w:hAnsi="Times New Roman" w:cs="Times New Roman"/>
          <w:sz w:val="24"/>
          <w:szCs w:val="24"/>
        </w:rPr>
        <w:t>de</w:t>
      </w:r>
      <w:r w:rsidR="00BD4862">
        <w:rPr>
          <w:rFonts w:ascii="Times New Roman" w:hAnsi="Times New Roman" w:cs="Times New Roman"/>
          <w:sz w:val="24"/>
          <w:szCs w:val="24"/>
        </w:rPr>
        <w:t xml:space="preserve"> </w:t>
      </w:r>
      <w:r>
        <w:rPr>
          <w:rFonts w:ascii="Times New Roman" w:hAnsi="Times New Roman" w:cs="Times New Roman"/>
          <w:sz w:val="24"/>
          <w:szCs w:val="24"/>
        </w:rPr>
        <w:t xml:space="preserve">ICMS </w:t>
      </w:r>
      <w:r w:rsidR="00BD4862">
        <w:rPr>
          <w:rFonts w:ascii="Times New Roman" w:hAnsi="Times New Roman" w:cs="Times New Roman"/>
          <w:sz w:val="24"/>
          <w:szCs w:val="24"/>
        </w:rPr>
        <w:t xml:space="preserve">nestes dois </w:t>
      </w:r>
      <w:r>
        <w:rPr>
          <w:rFonts w:ascii="Times New Roman" w:hAnsi="Times New Roman" w:cs="Times New Roman"/>
          <w:sz w:val="24"/>
          <w:szCs w:val="24"/>
        </w:rPr>
        <w:t xml:space="preserve">produtos. </w:t>
      </w:r>
      <w:r w:rsidRPr="00100683">
        <w:rPr>
          <w:rFonts w:ascii="Times New Roman" w:eastAsiaTheme="majorEastAsia" w:hAnsi="Times New Roman" w:cs="Times New Roman"/>
          <w:color w:val="000000" w:themeColor="text1"/>
          <w:sz w:val="24"/>
          <w:szCs w:val="24"/>
        </w:rPr>
        <w:t xml:space="preserve">Trata-se de uma pesquisa bibliográfica, com método qualitativo e abordagem de um estudo de </w:t>
      </w:r>
      <w:r>
        <w:rPr>
          <w:rFonts w:ascii="Times New Roman" w:eastAsiaTheme="majorEastAsia" w:hAnsi="Times New Roman" w:cs="Times New Roman"/>
          <w:color w:val="000000" w:themeColor="text1"/>
          <w:sz w:val="24"/>
          <w:szCs w:val="24"/>
        </w:rPr>
        <w:t xml:space="preserve">caso. Conclui-se que o ICMS precisa ser </w:t>
      </w:r>
      <w:r>
        <w:rPr>
          <w:rFonts w:ascii="Times New Roman" w:hAnsi="Times New Roman" w:cs="Times New Roman"/>
          <w:sz w:val="24"/>
          <w:szCs w:val="24"/>
        </w:rPr>
        <w:t xml:space="preserve">revisto em relação ao que a legislação prevê em casos como: benefícios fiscais concedidos sem autorização do Confaz; venda a preços diferentes do preço médio ponderado do produto; e por último, direcionamento dos recursos para estados e municípios de origem ou destino. No </w:t>
      </w:r>
      <w:r w:rsidRPr="00D61E44">
        <w:rPr>
          <w:rFonts w:ascii="Times New Roman" w:hAnsi="Times New Roman" w:cs="Times New Roman"/>
          <w:sz w:val="24"/>
          <w:szCs w:val="24"/>
        </w:rPr>
        <w:t>mercado de combustíveis, a alteração do método da substituição tributária pelo método da nota-crédito, contando com o auxílio de softwares para realizar a fiscalização, tenderia</w:t>
      </w:r>
      <w:r w:rsidR="00BD4862">
        <w:rPr>
          <w:rFonts w:ascii="Times New Roman" w:hAnsi="Times New Roman" w:cs="Times New Roman"/>
          <w:sz w:val="24"/>
          <w:szCs w:val="24"/>
        </w:rPr>
        <w:t>m</w:t>
      </w:r>
      <w:r w:rsidRPr="00D61E44">
        <w:rPr>
          <w:rFonts w:ascii="Times New Roman" w:hAnsi="Times New Roman" w:cs="Times New Roman"/>
          <w:sz w:val="24"/>
          <w:szCs w:val="24"/>
        </w:rPr>
        <w:t xml:space="preserve"> a diminuir os conflitos e os litígios tributários </w:t>
      </w:r>
      <w:r w:rsidR="00BD4862">
        <w:rPr>
          <w:rFonts w:ascii="Times New Roman" w:hAnsi="Times New Roman" w:cs="Times New Roman"/>
          <w:sz w:val="24"/>
          <w:szCs w:val="24"/>
        </w:rPr>
        <w:t>n</w:t>
      </w:r>
      <w:r w:rsidRPr="00D61E44">
        <w:rPr>
          <w:rFonts w:ascii="Times New Roman" w:hAnsi="Times New Roman" w:cs="Times New Roman"/>
          <w:sz w:val="24"/>
          <w:szCs w:val="24"/>
        </w:rPr>
        <w:t>o setor</w:t>
      </w:r>
      <w:r w:rsidR="00BD4862">
        <w:rPr>
          <w:rFonts w:ascii="Times New Roman" w:hAnsi="Times New Roman" w:cs="Times New Roman"/>
          <w:sz w:val="24"/>
          <w:szCs w:val="24"/>
        </w:rPr>
        <w:t>;</w:t>
      </w:r>
      <w:r w:rsidRPr="00D61E44">
        <w:rPr>
          <w:rFonts w:ascii="Times New Roman" w:hAnsi="Times New Roman" w:cs="Times New Roman"/>
          <w:sz w:val="24"/>
          <w:szCs w:val="24"/>
        </w:rPr>
        <w:t xml:space="preserve"> </w:t>
      </w:r>
      <w:r w:rsidR="00BD4862">
        <w:rPr>
          <w:rFonts w:ascii="Times New Roman" w:hAnsi="Times New Roman" w:cs="Times New Roman"/>
          <w:sz w:val="24"/>
          <w:szCs w:val="24"/>
        </w:rPr>
        <w:t xml:space="preserve">embora </w:t>
      </w:r>
      <w:r w:rsidRPr="00D61E44">
        <w:rPr>
          <w:rFonts w:ascii="Times New Roman" w:hAnsi="Times New Roman" w:cs="Times New Roman"/>
          <w:sz w:val="24"/>
          <w:szCs w:val="24"/>
        </w:rPr>
        <w:t xml:space="preserve">governos estaduais, </w:t>
      </w:r>
      <w:r w:rsidR="00BD4862">
        <w:rPr>
          <w:rFonts w:ascii="Times New Roman" w:hAnsi="Times New Roman" w:cs="Times New Roman"/>
          <w:sz w:val="24"/>
          <w:szCs w:val="24"/>
        </w:rPr>
        <w:t xml:space="preserve">no âmbito de reformas no </w:t>
      </w:r>
      <w:r w:rsidRPr="00D61E44">
        <w:rPr>
          <w:rFonts w:ascii="Times New Roman" w:hAnsi="Times New Roman" w:cs="Times New Roman"/>
          <w:sz w:val="24"/>
          <w:szCs w:val="24"/>
        </w:rPr>
        <w:t>ICMS, apresent</w:t>
      </w:r>
      <w:r w:rsidR="00BD4862">
        <w:rPr>
          <w:rFonts w:ascii="Times New Roman" w:hAnsi="Times New Roman" w:cs="Times New Roman"/>
          <w:sz w:val="24"/>
          <w:szCs w:val="24"/>
        </w:rPr>
        <w:t>e</w:t>
      </w:r>
      <w:r w:rsidRPr="00D61E44">
        <w:rPr>
          <w:rFonts w:ascii="Times New Roman" w:hAnsi="Times New Roman" w:cs="Times New Roman"/>
          <w:sz w:val="24"/>
          <w:szCs w:val="24"/>
        </w:rPr>
        <w:t xml:space="preserve">m resistência </w:t>
      </w:r>
      <w:r w:rsidR="00BD4862">
        <w:rPr>
          <w:rFonts w:ascii="Times New Roman" w:hAnsi="Times New Roman" w:cs="Times New Roman"/>
          <w:sz w:val="24"/>
          <w:szCs w:val="24"/>
        </w:rPr>
        <w:t>à</w:t>
      </w:r>
      <w:r w:rsidRPr="00D61E44">
        <w:rPr>
          <w:rFonts w:ascii="Times New Roman" w:hAnsi="Times New Roman" w:cs="Times New Roman"/>
          <w:sz w:val="24"/>
          <w:szCs w:val="24"/>
        </w:rPr>
        <w:t xml:space="preserve"> extinção da substituição tributária.</w:t>
      </w:r>
      <w:r>
        <w:rPr>
          <w:rFonts w:ascii="Times New Roman" w:eastAsiaTheme="majorEastAsia" w:hAnsi="Times New Roman" w:cs="Times New Roman"/>
          <w:color w:val="000000" w:themeColor="text1"/>
          <w:sz w:val="24"/>
          <w:szCs w:val="24"/>
        </w:rPr>
        <w:t xml:space="preserve"> </w:t>
      </w:r>
      <w:r>
        <w:rPr>
          <w:rFonts w:ascii="Times New Roman" w:hAnsi="Times New Roman" w:cs="Times New Roman"/>
          <w:sz w:val="24"/>
          <w:szCs w:val="24"/>
        </w:rPr>
        <w:t>No que se refere ao mercado de combustíveis no Brasil, o futuro se apresenta incerto, visto que as frotas das próximas décadas podem apresentar uma grande concentração de veículos híbridos e até elétricos. Referente ao ICMS, mudanças na tributação do modo como vem sendo sinalizadas devem afetar os estados produtores de etanol; caso se altere o princípio de origem pelo de destino</w:t>
      </w:r>
      <w:r w:rsidRPr="001861B9">
        <w:rPr>
          <w:rFonts w:ascii="Times New Roman" w:hAnsi="Times New Roman" w:cs="Times New Roman"/>
          <w:sz w:val="24"/>
          <w:szCs w:val="24"/>
        </w:rPr>
        <w:t xml:space="preserve">. </w:t>
      </w:r>
      <w:r w:rsidRPr="00D61E44">
        <w:rPr>
          <w:rFonts w:ascii="Times New Roman" w:hAnsi="Times New Roman" w:cs="Times New Roman"/>
          <w:sz w:val="24"/>
          <w:szCs w:val="24"/>
        </w:rPr>
        <w:t>Relacionado a gasolina e ao óleo diesel, a disputa interestadual por ma</w:t>
      </w:r>
      <w:r w:rsidR="00BD4862">
        <w:rPr>
          <w:rFonts w:ascii="Times New Roman" w:hAnsi="Times New Roman" w:cs="Times New Roman"/>
          <w:sz w:val="24"/>
          <w:szCs w:val="24"/>
        </w:rPr>
        <w:t xml:space="preserve">ior consumo </w:t>
      </w:r>
      <w:r w:rsidRPr="00D61E44">
        <w:rPr>
          <w:rFonts w:ascii="Times New Roman" w:hAnsi="Times New Roman" w:cs="Times New Roman"/>
          <w:sz w:val="24"/>
          <w:szCs w:val="24"/>
        </w:rPr>
        <w:t>e</w:t>
      </w:r>
      <w:r w:rsidR="00BD4862">
        <w:rPr>
          <w:rFonts w:ascii="Times New Roman" w:hAnsi="Times New Roman" w:cs="Times New Roman"/>
          <w:sz w:val="24"/>
          <w:szCs w:val="24"/>
        </w:rPr>
        <w:t xml:space="preserve"> arrecadação </w:t>
      </w:r>
      <w:r w:rsidRPr="00D61E44">
        <w:rPr>
          <w:rFonts w:ascii="Times New Roman" w:hAnsi="Times New Roman" w:cs="Times New Roman"/>
          <w:sz w:val="24"/>
          <w:szCs w:val="24"/>
        </w:rPr>
        <w:t xml:space="preserve">não sofrerá grandes alterações, </w:t>
      </w:r>
      <w:r>
        <w:rPr>
          <w:rFonts w:ascii="Times New Roman" w:hAnsi="Times New Roman" w:cs="Times New Roman"/>
          <w:sz w:val="24"/>
          <w:szCs w:val="24"/>
        </w:rPr>
        <w:t>uma vez</w:t>
      </w:r>
      <w:r w:rsidRPr="00D61E44">
        <w:rPr>
          <w:rFonts w:ascii="Times New Roman" w:hAnsi="Times New Roman" w:cs="Times New Roman"/>
          <w:sz w:val="24"/>
          <w:szCs w:val="24"/>
        </w:rPr>
        <w:t xml:space="preserve"> que tais produtos já são tributados de acordo com o princípio de destino.</w:t>
      </w:r>
    </w:p>
    <w:p w14:paraId="49C20563" w14:textId="77777777" w:rsidR="00EB5C96" w:rsidRPr="001861B9" w:rsidRDefault="00EB5C96" w:rsidP="00EB5C96">
      <w:pPr>
        <w:spacing w:line="240" w:lineRule="auto"/>
        <w:ind w:firstLine="0"/>
        <w:rPr>
          <w:rFonts w:ascii="Times New Roman" w:hAnsi="Times New Roman" w:cs="Times New Roman"/>
          <w:sz w:val="24"/>
          <w:szCs w:val="24"/>
        </w:rPr>
      </w:pPr>
    </w:p>
    <w:p w14:paraId="33557D0F" w14:textId="77777777" w:rsidR="00EB5C96" w:rsidRPr="001861B9" w:rsidRDefault="00EB5C96" w:rsidP="00EB5C96">
      <w:pPr>
        <w:ind w:firstLine="0"/>
        <w:rPr>
          <w:rFonts w:ascii="Times New Roman" w:hAnsi="Times New Roman" w:cs="Times New Roman"/>
          <w:sz w:val="24"/>
          <w:szCs w:val="24"/>
        </w:rPr>
      </w:pPr>
    </w:p>
    <w:p w14:paraId="1DA7EAA4" w14:textId="3EBFD69F" w:rsidR="00441F17" w:rsidRPr="00BD0223" w:rsidRDefault="00EB5C96" w:rsidP="00EB5C96">
      <w:pPr>
        <w:pStyle w:val="TNORMAL"/>
        <w:spacing w:line="240" w:lineRule="auto"/>
        <w:ind w:firstLine="0"/>
      </w:pPr>
      <w:r w:rsidRPr="00EB5C96">
        <w:rPr>
          <w:rFonts w:cs="Times New Roman"/>
          <w:b/>
          <w:szCs w:val="24"/>
        </w:rPr>
        <w:t>PALAVRAS-CHAVE:</w:t>
      </w:r>
      <w:r w:rsidRPr="001861B9">
        <w:rPr>
          <w:rFonts w:cs="Times New Roman"/>
          <w:szCs w:val="24"/>
        </w:rPr>
        <w:t xml:space="preserve"> </w:t>
      </w:r>
      <w:r w:rsidR="001F6BC5">
        <w:rPr>
          <w:rFonts w:cs="Times New Roman"/>
          <w:szCs w:val="24"/>
        </w:rPr>
        <w:t xml:space="preserve">Tributação, </w:t>
      </w:r>
      <w:r w:rsidRPr="001861B9">
        <w:rPr>
          <w:rFonts w:cs="Times New Roman"/>
          <w:szCs w:val="24"/>
        </w:rPr>
        <w:t xml:space="preserve">ICMS, </w:t>
      </w:r>
      <w:r w:rsidR="001F6BC5">
        <w:rPr>
          <w:rFonts w:cs="Times New Roman"/>
          <w:szCs w:val="24"/>
        </w:rPr>
        <w:t>Triângulo Mineiro (MG), Varejo, C</w:t>
      </w:r>
      <w:r w:rsidRPr="001861B9">
        <w:rPr>
          <w:rFonts w:cs="Times New Roman"/>
          <w:szCs w:val="24"/>
        </w:rPr>
        <w:t>ombustíveis</w:t>
      </w:r>
    </w:p>
    <w:p w14:paraId="3C317F5D" w14:textId="3043A14F" w:rsidR="002E2E0A" w:rsidRDefault="002E2E0A" w:rsidP="001C03A7">
      <w:pPr>
        <w:pStyle w:val="TIT1pre-textuais"/>
        <w:spacing w:after="300"/>
      </w:pPr>
      <w:r>
        <w:lastRenderedPageBreak/>
        <w:t>Abstract</w:t>
      </w:r>
    </w:p>
    <w:p w14:paraId="0A79A0DA" w14:textId="77777777" w:rsidR="00C97A1D" w:rsidRDefault="00C97A1D" w:rsidP="003C6867">
      <w:pPr>
        <w:pStyle w:val="NormalWeb"/>
        <w:spacing w:before="0" w:beforeAutospacing="0" w:after="0" w:afterAutospacing="0"/>
        <w:jc w:val="both"/>
        <w:rPr>
          <w:color w:val="0E101A"/>
        </w:rPr>
      </w:pPr>
    </w:p>
    <w:p w14:paraId="1B1E9FCD" w14:textId="77777777" w:rsidR="00C97A1D" w:rsidRDefault="00C97A1D" w:rsidP="003C6867">
      <w:pPr>
        <w:pStyle w:val="NormalWeb"/>
        <w:spacing w:before="0" w:beforeAutospacing="0" w:after="0" w:afterAutospacing="0"/>
        <w:jc w:val="both"/>
        <w:rPr>
          <w:color w:val="0E101A"/>
        </w:rPr>
      </w:pPr>
    </w:p>
    <w:p w14:paraId="0DE267CF" w14:textId="0DA20175" w:rsidR="003C6867" w:rsidRDefault="003C6867" w:rsidP="003C6867">
      <w:pPr>
        <w:pStyle w:val="NormalWeb"/>
        <w:spacing w:before="0" w:beforeAutospacing="0" w:after="0" w:afterAutospacing="0"/>
        <w:jc w:val="both"/>
        <w:rPr>
          <w:color w:val="0E101A"/>
        </w:rPr>
      </w:pPr>
      <w:r>
        <w:rPr>
          <w:color w:val="0E101A"/>
        </w:rPr>
        <w:t>The Brazilian Federation has presented, throughout its history, economic-cultural conflicts among states and business groups, those which have benefited from the institutional laws that each state promotes. Related to the liquid fuels, the </w:t>
      </w:r>
      <w:r>
        <w:rPr>
          <w:rStyle w:val="nfase"/>
          <w:color w:val="0E101A"/>
        </w:rPr>
        <w:t>Confaz </w:t>
      </w:r>
      <w:r>
        <w:rPr>
          <w:color w:val="0E101A"/>
        </w:rPr>
        <w:t>is responsible for managing the interests of governments and entrepreneurs, those who have conflicts due to the interstate dispute for productive plants and consumers, making the </w:t>
      </w:r>
      <w:r>
        <w:rPr>
          <w:rStyle w:val="nfase"/>
          <w:color w:val="0E101A"/>
        </w:rPr>
        <w:t>ICMS</w:t>
      </w:r>
      <w:r>
        <w:rPr>
          <w:color w:val="0E101A"/>
        </w:rPr>
        <w:t> a tax that relocates the economy in an inefficiency way. The fuel automotive retail sector of the region from the </w:t>
      </w:r>
      <w:r>
        <w:rPr>
          <w:rStyle w:val="nfase"/>
          <w:color w:val="0E101A"/>
        </w:rPr>
        <w:t>Triângulo Mineiro</w:t>
      </w:r>
      <w:r>
        <w:rPr>
          <w:color w:val="0E101A"/>
        </w:rPr>
        <w:t>, since the promulgation of the 1988 Brazilian Federal Constitution, claim for a possible escape of consumers to the </w:t>
      </w:r>
      <w:r>
        <w:rPr>
          <w:rStyle w:val="nfase"/>
          <w:color w:val="0E101A"/>
        </w:rPr>
        <w:t>São Paulo state</w:t>
      </w:r>
      <w:r>
        <w:rPr>
          <w:color w:val="0E101A"/>
        </w:rPr>
        <w:t>; that has lower </w:t>
      </w:r>
      <w:r>
        <w:rPr>
          <w:rStyle w:val="nfase"/>
          <w:color w:val="0E101A"/>
        </w:rPr>
        <w:t>ICMS</w:t>
      </w:r>
      <w:r>
        <w:rPr>
          <w:color w:val="0E101A"/>
        </w:rPr>
        <w:t> aliquots than the state of </w:t>
      </w:r>
      <w:r>
        <w:rPr>
          <w:rStyle w:val="nfase"/>
          <w:color w:val="0E101A"/>
        </w:rPr>
        <w:t>Minas Gerais </w:t>
      </w:r>
      <w:r>
        <w:rPr>
          <w:color w:val="0E101A"/>
        </w:rPr>
        <w:t>in products as gasoline and diesel oil. The present work pretends to analyze the policies related to the </w:t>
      </w:r>
      <w:r>
        <w:rPr>
          <w:rStyle w:val="nfase"/>
          <w:color w:val="0E101A"/>
        </w:rPr>
        <w:t>ICMS</w:t>
      </w:r>
      <w:r>
        <w:rPr>
          <w:color w:val="0E101A"/>
        </w:rPr>
        <w:t> aliquots and tax collection of the </w:t>
      </w:r>
      <w:r>
        <w:rPr>
          <w:rStyle w:val="nfase"/>
          <w:color w:val="0E101A"/>
        </w:rPr>
        <w:t>Minas Gerais </w:t>
      </w:r>
      <w:r>
        <w:rPr>
          <w:color w:val="0E101A"/>
        </w:rPr>
        <w:t>government through the period that comprehend the years between 2010 and 2018, and how these measures jointly to the fiscal crises affect the public finances. Analyzing a specific case study of the retail sector of gasoline and diesel from the </w:t>
      </w:r>
      <w:r>
        <w:rPr>
          <w:rStyle w:val="nfase"/>
          <w:color w:val="0E101A"/>
        </w:rPr>
        <w:t>Triângulo Mineiro </w:t>
      </w:r>
      <w:r>
        <w:rPr>
          <w:color w:val="0E101A"/>
        </w:rPr>
        <w:t>region, which has disadvantages for being concentrate in a strategic area for the logistic of the national companies, with the competition of </w:t>
      </w:r>
      <w:r>
        <w:rPr>
          <w:rStyle w:val="nfase"/>
          <w:color w:val="0E101A"/>
        </w:rPr>
        <w:t>São Paulo </w:t>
      </w:r>
      <w:r>
        <w:rPr>
          <w:color w:val="0E101A"/>
        </w:rPr>
        <w:t>that has lower </w:t>
      </w:r>
      <w:r>
        <w:rPr>
          <w:rStyle w:val="nfase"/>
          <w:color w:val="0E101A"/>
        </w:rPr>
        <w:t>ICMS</w:t>
      </w:r>
      <w:r>
        <w:rPr>
          <w:color w:val="0E101A"/>
        </w:rPr>
        <w:t> in both products. This work is a bibliography study with a qualitative method and approach of a case study. Concludes, that the </w:t>
      </w:r>
      <w:r>
        <w:rPr>
          <w:rStyle w:val="nfase"/>
          <w:color w:val="0E101A"/>
        </w:rPr>
        <w:t>ICMS </w:t>
      </w:r>
      <w:r>
        <w:rPr>
          <w:color w:val="0E101A"/>
        </w:rPr>
        <w:t>needs to be revised related to what the law presumes in cases as fiscal benefits concede without </w:t>
      </w:r>
      <w:r>
        <w:rPr>
          <w:rStyle w:val="nfase"/>
          <w:color w:val="0E101A"/>
        </w:rPr>
        <w:t>Confaz</w:t>
      </w:r>
      <w:r>
        <w:rPr>
          <w:color w:val="0E101A"/>
        </w:rPr>
        <w:t> authorization, sells with different prices from the weighted average price, and the direction of the resources to the states and counties of origin and destiny. In the fuel sector, alteration of the tax substitution method for the credit note method, with software auxiliary to help in the inspection, would tend a decrease the conflicts and the tax disputes of the sector. However, the state governments have presented resistance to the extinction of the tax substitution method; governors have been negotiating a tax reform with the National Congress. The future of the Brazilian fuel market is uncertain since the fleets of the next decades can have a concentration of hybrid and electric automobiles. Referring to ICMS, changes in the tax system in the way that the authorities have been signalizing should affect the producing states of ethanol. Related to gasoline and diesel oil, the interstate dispute for more consumers and taxes will not suffer alterations since both products have already been tributed according to the destiny principle.</w:t>
      </w:r>
    </w:p>
    <w:p w14:paraId="41B534E9" w14:textId="77777777" w:rsidR="003C6867" w:rsidRDefault="003C6867" w:rsidP="003C6867">
      <w:pPr>
        <w:pStyle w:val="TNORMAL"/>
        <w:ind w:firstLine="0"/>
      </w:pPr>
    </w:p>
    <w:p w14:paraId="5FBB97C6" w14:textId="00E53B17" w:rsidR="003C6867" w:rsidRDefault="003C6867" w:rsidP="003C6867">
      <w:pPr>
        <w:pStyle w:val="TNORMAL"/>
        <w:ind w:firstLine="0"/>
      </w:pPr>
    </w:p>
    <w:p w14:paraId="75189CFF" w14:textId="4C4BD2F4" w:rsidR="00C97A1D" w:rsidRDefault="00C97A1D" w:rsidP="003C6867">
      <w:pPr>
        <w:pStyle w:val="TNORMAL"/>
        <w:ind w:firstLine="0"/>
      </w:pPr>
    </w:p>
    <w:p w14:paraId="3ABA6B8F" w14:textId="40CB6C4C" w:rsidR="003C6867" w:rsidRPr="00C0465D" w:rsidRDefault="003C6867" w:rsidP="003C6867">
      <w:pPr>
        <w:pStyle w:val="TNORMAL"/>
        <w:ind w:firstLine="0"/>
      </w:pPr>
      <w:r w:rsidRPr="001C3EDC">
        <w:rPr>
          <w:b/>
          <w:bCs/>
        </w:rPr>
        <w:t>KEY-WORDS</w:t>
      </w:r>
      <w:r>
        <w:t>:</w:t>
      </w:r>
      <w:r w:rsidR="001C3EDC">
        <w:t xml:space="preserve"> </w:t>
      </w:r>
      <w:r w:rsidR="00CB230B">
        <w:rPr>
          <w:i/>
          <w:iCs/>
        </w:rPr>
        <w:t>Triângulo Mineiro</w:t>
      </w:r>
      <w:r w:rsidR="00FB05D3">
        <w:rPr>
          <w:i/>
          <w:iCs/>
        </w:rPr>
        <w:t xml:space="preserve"> </w:t>
      </w:r>
      <w:r w:rsidR="00CB230B">
        <w:rPr>
          <w:i/>
          <w:iCs/>
        </w:rPr>
        <w:t>(MG)</w:t>
      </w:r>
      <w:r>
        <w:rPr>
          <w:i/>
          <w:iCs/>
        </w:rPr>
        <w:t>, ICMS</w:t>
      </w:r>
      <w:r>
        <w:t>, fu</w:t>
      </w:r>
      <w:r w:rsidR="00CB230B">
        <w:t>els,</w:t>
      </w:r>
      <w:r>
        <w:t xml:space="preserve"> tax system</w:t>
      </w:r>
      <w:r w:rsidR="00CB230B">
        <w:t>.</w:t>
      </w:r>
      <w:r>
        <w:t xml:space="preserve"> </w:t>
      </w:r>
    </w:p>
    <w:p w14:paraId="2D9024D9" w14:textId="77777777" w:rsidR="003C6867" w:rsidRPr="003C6867" w:rsidRDefault="003C6867" w:rsidP="003C6867">
      <w:pPr>
        <w:pStyle w:val="TNORMAL"/>
      </w:pPr>
    </w:p>
    <w:p w14:paraId="5A16AE33" w14:textId="7B9FCABC" w:rsidR="00384DD6" w:rsidRPr="00BD0223" w:rsidRDefault="00463057" w:rsidP="001C03A7">
      <w:pPr>
        <w:pStyle w:val="TIT1pre-textuais"/>
        <w:spacing w:after="300"/>
      </w:pPr>
      <w:r w:rsidRPr="00BD0223">
        <w:lastRenderedPageBreak/>
        <w:t>LISTA DE GRÁFICOS</w:t>
      </w:r>
    </w:p>
    <w:p w14:paraId="1FA27163" w14:textId="0CC2E160" w:rsidR="00E31C01" w:rsidRPr="00BD0223" w:rsidRDefault="00E31C01" w:rsidP="001C03A7">
      <w:pPr>
        <w:pStyle w:val="Tindicedeilustracoes"/>
        <w:spacing w:line="336" w:lineRule="auto"/>
        <w:rPr>
          <w:rFonts w:eastAsiaTheme="minorEastAsia"/>
          <w:lang w:eastAsia="pt-BR"/>
        </w:rPr>
      </w:pPr>
      <w:r w:rsidRPr="00BD0223">
        <w:fldChar w:fldCharType="begin"/>
      </w:r>
      <w:r w:rsidRPr="00BD0223">
        <w:instrText xml:space="preserve"> TOC \c "Gráfico" </w:instrText>
      </w:r>
      <w:r w:rsidRPr="00BD0223">
        <w:fldChar w:fldCharType="separate"/>
      </w:r>
      <w:r w:rsidRPr="00BD0223">
        <w:t>Gráfico 1</w:t>
      </w:r>
      <w:r w:rsidR="00BD0223" w:rsidRPr="00BD0223">
        <w:tab/>
      </w:r>
      <w:r w:rsidRPr="00BD0223">
        <w:t>Receita X Despesa do estado de Minas Gerais de 2010 a 2018 com valores deflacionados a preços de 2010 (em bilhões de R$)</w:t>
      </w:r>
      <w:r w:rsidRPr="00BD0223">
        <w:tab/>
      </w:r>
      <w:r w:rsidR="000D2E6F">
        <w:t>30</w:t>
      </w:r>
    </w:p>
    <w:p w14:paraId="35E497F1" w14:textId="6DBB7788" w:rsidR="00E31C01" w:rsidRPr="00BD0223" w:rsidRDefault="00E31C01" w:rsidP="001C03A7">
      <w:pPr>
        <w:pStyle w:val="Tindicedeilustracoes"/>
        <w:spacing w:line="336" w:lineRule="auto"/>
        <w:rPr>
          <w:rFonts w:eastAsiaTheme="minorEastAsia"/>
          <w:lang w:eastAsia="pt-BR"/>
        </w:rPr>
      </w:pPr>
      <w:r w:rsidRPr="00BD0223">
        <w:t>Gráfico 2</w:t>
      </w:r>
      <w:r w:rsidR="00BD0223" w:rsidRPr="00BD0223">
        <w:tab/>
      </w:r>
      <w:r w:rsidRPr="00BD0223">
        <w:t>Receita de transferências do governo federal ao governo de Minas Gerais como proporção da receita total</w:t>
      </w:r>
      <w:r w:rsidRPr="00BD0223">
        <w:tab/>
      </w:r>
      <w:r w:rsidR="000D2E6F">
        <w:t>31</w:t>
      </w:r>
    </w:p>
    <w:p w14:paraId="1DA5C7A4" w14:textId="464CFD50" w:rsidR="00E31C01" w:rsidRPr="00BD0223" w:rsidRDefault="00E31C01" w:rsidP="001C03A7">
      <w:pPr>
        <w:pStyle w:val="Tindicedeilustracoes"/>
        <w:spacing w:line="336" w:lineRule="auto"/>
        <w:rPr>
          <w:rFonts w:eastAsiaTheme="minorEastAsia"/>
          <w:lang w:eastAsia="pt-BR"/>
        </w:rPr>
      </w:pPr>
      <w:r w:rsidRPr="00BD0223">
        <w:t>Gráfico 3</w:t>
      </w:r>
      <w:r w:rsidR="00BD0223" w:rsidRPr="00BD0223">
        <w:tab/>
      </w:r>
      <w:r w:rsidRPr="00BD0223">
        <w:t>Comparação entre despesa total e despesa com pessoal do estado de Minas Gerais de 2010 a 2018 com valores deflacionados a preços de 2010 (em bilhões de R$).</w:t>
      </w:r>
      <w:r w:rsidRPr="00BD0223">
        <w:tab/>
      </w:r>
      <w:r w:rsidR="000D2E6F">
        <w:t>32</w:t>
      </w:r>
    </w:p>
    <w:p w14:paraId="7BE89A84" w14:textId="44C02CF7" w:rsidR="00E31C01" w:rsidRPr="00BD0223" w:rsidRDefault="00E31C01" w:rsidP="001C03A7">
      <w:pPr>
        <w:pStyle w:val="Tindicedeilustracoes"/>
        <w:spacing w:line="336" w:lineRule="auto"/>
        <w:rPr>
          <w:rFonts w:eastAsiaTheme="minorEastAsia"/>
          <w:lang w:eastAsia="pt-BR"/>
        </w:rPr>
      </w:pPr>
      <w:r w:rsidRPr="00BD0223">
        <w:t>Gráfico 4</w:t>
      </w:r>
      <w:r w:rsidR="00BD0223" w:rsidRPr="00BD0223">
        <w:tab/>
      </w:r>
      <w:r w:rsidRPr="00BD0223">
        <w:t>Evolução da arrecadação total de ICMS de 2010 a 2018 a preços de 2010 (em bilhões de R$)</w:t>
      </w:r>
      <w:r w:rsidRPr="00BD0223">
        <w:tab/>
      </w:r>
      <w:r w:rsidR="000D2E6F">
        <w:t>34</w:t>
      </w:r>
    </w:p>
    <w:p w14:paraId="257CC625" w14:textId="2F8582F2" w:rsidR="00E31C01" w:rsidRPr="00BD0223" w:rsidRDefault="00E31C01" w:rsidP="001C03A7">
      <w:pPr>
        <w:pStyle w:val="Tindicedeilustracoes"/>
        <w:spacing w:line="336" w:lineRule="auto"/>
        <w:rPr>
          <w:rFonts w:eastAsiaTheme="minorEastAsia"/>
          <w:lang w:eastAsia="pt-BR"/>
        </w:rPr>
      </w:pPr>
      <w:r w:rsidRPr="00BD0223">
        <w:t>Gráfico 5</w:t>
      </w:r>
      <w:r w:rsidR="00BD0223" w:rsidRPr="00BD0223">
        <w:tab/>
      </w:r>
      <w:r w:rsidRPr="00BD0223">
        <w:t>Evolução da arrecadação de ICMS sobre os combustíveis, a energia elétrica, os serviços de telecomunicação e o setor de bebidas como proporção da arrecadação total de ICMS no período 2010-2018</w:t>
      </w:r>
      <w:r w:rsidRPr="00BD0223">
        <w:tab/>
      </w:r>
      <w:r w:rsidR="000D2E6F">
        <w:t>35</w:t>
      </w:r>
    </w:p>
    <w:p w14:paraId="3ECA4D96" w14:textId="69648D8A" w:rsidR="00E31C01" w:rsidRPr="00BD0223" w:rsidRDefault="00E31C01" w:rsidP="001C03A7">
      <w:pPr>
        <w:pStyle w:val="Tindicedeilustracoes"/>
        <w:spacing w:line="336" w:lineRule="auto"/>
        <w:rPr>
          <w:rFonts w:eastAsiaTheme="minorEastAsia"/>
          <w:lang w:eastAsia="pt-BR"/>
        </w:rPr>
      </w:pPr>
      <w:r w:rsidRPr="00BD0223">
        <w:t>Gráfico 6</w:t>
      </w:r>
      <w:r w:rsidR="00BD0223" w:rsidRPr="00BD0223">
        <w:tab/>
      </w:r>
      <w:r w:rsidRPr="00BD0223">
        <w:t>Participação relativa de cada produto na arrecadação de ICMS do estado de Minas Gerais em 2018</w:t>
      </w:r>
      <w:r w:rsidRPr="00BD0223">
        <w:tab/>
      </w:r>
      <w:r w:rsidR="000D2E6F">
        <w:t>36</w:t>
      </w:r>
    </w:p>
    <w:p w14:paraId="720F4CA7" w14:textId="7F9E320D" w:rsidR="00E31C01" w:rsidRPr="00BD0223" w:rsidRDefault="00E31C01" w:rsidP="001C03A7">
      <w:pPr>
        <w:pStyle w:val="Tindicedeilustracoes"/>
        <w:spacing w:line="336" w:lineRule="auto"/>
        <w:rPr>
          <w:rFonts w:eastAsiaTheme="minorEastAsia"/>
          <w:lang w:eastAsia="pt-BR"/>
        </w:rPr>
      </w:pPr>
      <w:r w:rsidRPr="00BD0223">
        <w:t>Gráfico 7</w:t>
      </w:r>
      <w:r w:rsidR="00BD0223" w:rsidRPr="00BD0223">
        <w:tab/>
      </w:r>
      <w:r w:rsidRPr="00BD0223">
        <w:t>Evolução da arrecadação de ICMS sobre a energia elétrica de 2010 a 2018 com valores deflacionados a preços de 2010 (em bilhões de R$)</w:t>
      </w:r>
      <w:r w:rsidRPr="00BD0223">
        <w:tab/>
      </w:r>
      <w:r w:rsidR="000D2E6F">
        <w:t>37</w:t>
      </w:r>
    </w:p>
    <w:p w14:paraId="4FFCA8B7" w14:textId="18077601" w:rsidR="00E31C01" w:rsidRPr="00BD0223" w:rsidRDefault="00E31C01" w:rsidP="001C03A7">
      <w:pPr>
        <w:pStyle w:val="Tindicedeilustracoes"/>
        <w:spacing w:line="336" w:lineRule="auto"/>
        <w:rPr>
          <w:rFonts w:eastAsiaTheme="minorEastAsia"/>
          <w:lang w:eastAsia="pt-BR"/>
        </w:rPr>
      </w:pPr>
      <w:r w:rsidRPr="00BD0223">
        <w:t>Gráfico 8</w:t>
      </w:r>
      <w:r w:rsidR="00BD0223" w:rsidRPr="00BD0223">
        <w:tab/>
      </w:r>
      <w:r w:rsidRPr="00BD0223">
        <w:t>Arrecadação de ICMS sobre energia elétrica como proporção da arrecadação total de ICMS do estado de Minas Gerais</w:t>
      </w:r>
      <w:r w:rsidRPr="00BD0223">
        <w:tab/>
      </w:r>
      <w:r w:rsidR="000D2E6F">
        <w:t>38</w:t>
      </w:r>
    </w:p>
    <w:p w14:paraId="2AE14CAC" w14:textId="54AFD7B4" w:rsidR="00E31C01" w:rsidRPr="00BD0223" w:rsidRDefault="00E31C01" w:rsidP="001C03A7">
      <w:pPr>
        <w:pStyle w:val="Tindicedeilustracoes"/>
        <w:spacing w:line="336" w:lineRule="auto"/>
        <w:rPr>
          <w:rFonts w:eastAsiaTheme="minorEastAsia"/>
          <w:lang w:eastAsia="pt-BR"/>
        </w:rPr>
      </w:pPr>
      <w:r w:rsidRPr="00BD0223">
        <w:t>Gráfico 9</w:t>
      </w:r>
      <w:r w:rsidR="00BD0223" w:rsidRPr="00BD0223">
        <w:tab/>
      </w:r>
      <w:r w:rsidRPr="00BD0223">
        <w:t>Evolução da arrecadação de ICMS sobre os serviços de telecomunicação de 2010 a 2018 com valores deflacionados a preços de 2010 (em bilhões de R$)</w:t>
      </w:r>
      <w:r w:rsidRPr="00BD0223">
        <w:tab/>
      </w:r>
      <w:r w:rsidR="000D2E6F">
        <w:t>39</w:t>
      </w:r>
    </w:p>
    <w:p w14:paraId="2047344F" w14:textId="5FCDDA43" w:rsidR="00E31C01" w:rsidRPr="00BD0223" w:rsidRDefault="00E31C01" w:rsidP="001C03A7">
      <w:pPr>
        <w:pStyle w:val="Tindicedeilustracoes"/>
        <w:spacing w:line="336" w:lineRule="auto"/>
        <w:rPr>
          <w:rFonts w:eastAsiaTheme="minorEastAsia"/>
          <w:lang w:eastAsia="pt-BR"/>
        </w:rPr>
      </w:pPr>
      <w:r w:rsidRPr="00BD0223">
        <w:t>Gráfico 10</w:t>
      </w:r>
      <w:r w:rsidR="00BD0223" w:rsidRPr="00BD0223">
        <w:tab/>
      </w:r>
      <w:r w:rsidRPr="00BD0223">
        <w:t>Evolução da arrecadação de ICMS sobre o setor de bebidas no estado de Minas Gerais de 2010 a 2018 deflacionados a preços de 2010 (em bilhões de R$)</w:t>
      </w:r>
      <w:r w:rsidRPr="00BD0223">
        <w:tab/>
      </w:r>
      <w:r w:rsidR="000D2E6F">
        <w:t>40</w:t>
      </w:r>
    </w:p>
    <w:p w14:paraId="66AE7BA9" w14:textId="2CC336F9" w:rsidR="00E31C01" w:rsidRPr="00BD0223" w:rsidRDefault="00E31C01" w:rsidP="001C03A7">
      <w:pPr>
        <w:pStyle w:val="Tindicedeilustracoes"/>
        <w:spacing w:line="336" w:lineRule="auto"/>
        <w:rPr>
          <w:rFonts w:eastAsiaTheme="minorEastAsia"/>
          <w:lang w:eastAsia="pt-BR"/>
        </w:rPr>
      </w:pPr>
      <w:r w:rsidRPr="00BD0223">
        <w:t>Gráfico 11</w:t>
      </w:r>
      <w:r w:rsidR="00BD0223" w:rsidRPr="00BD0223">
        <w:tab/>
      </w:r>
      <w:r w:rsidRPr="00BD0223">
        <w:t>Evolução da arrecadação de ICMS sobre os combustíveis no estado de Minas Gerais durante o período 2010-2018 com valores deflacionados a preços de 2010 (em bilhões de R$)</w:t>
      </w:r>
      <w:r w:rsidRPr="00BD0223">
        <w:tab/>
      </w:r>
      <w:r w:rsidR="000D2E6F">
        <w:t>41</w:t>
      </w:r>
    </w:p>
    <w:p w14:paraId="4ECAEEBE" w14:textId="16E8CADE" w:rsidR="00E31C01" w:rsidRPr="00BD0223" w:rsidRDefault="00E31C01" w:rsidP="001C03A7">
      <w:pPr>
        <w:pStyle w:val="Tindicedeilustracoes"/>
        <w:spacing w:line="336" w:lineRule="auto"/>
        <w:rPr>
          <w:rFonts w:eastAsiaTheme="minorEastAsia"/>
          <w:lang w:eastAsia="pt-BR"/>
        </w:rPr>
      </w:pPr>
      <w:r w:rsidRPr="00BD0223">
        <w:t>Gráfico 12</w:t>
      </w:r>
      <w:r w:rsidR="00BD0223" w:rsidRPr="00BD0223">
        <w:tab/>
      </w:r>
      <w:r w:rsidRPr="00BD0223">
        <w:t>Evolução da arrecadação de ICMS sobre combustíveis como proporção da arrecadação de total de ICMS</w:t>
      </w:r>
      <w:r w:rsidRPr="00BD0223">
        <w:tab/>
      </w:r>
      <w:r w:rsidR="000D2E6F">
        <w:t>42</w:t>
      </w:r>
    </w:p>
    <w:p w14:paraId="5A35BB86" w14:textId="138C5688" w:rsidR="00E31C01" w:rsidRPr="00BD0223" w:rsidRDefault="00E31C01" w:rsidP="001C03A7">
      <w:pPr>
        <w:pStyle w:val="Tindicedeilustracoes"/>
        <w:spacing w:line="336" w:lineRule="auto"/>
        <w:rPr>
          <w:rFonts w:eastAsiaTheme="minorEastAsia"/>
          <w:lang w:eastAsia="pt-BR"/>
        </w:rPr>
      </w:pPr>
      <w:r w:rsidRPr="00BD0223">
        <w:t>Gráfico 13</w:t>
      </w:r>
      <w:r w:rsidR="00BD0223" w:rsidRPr="00BD0223">
        <w:tab/>
      </w:r>
      <w:r w:rsidRPr="00BD0223">
        <w:t>Evolução do número de vendas de gasolina em milhões de litros das cidades de Uberlândia e Ribeirão Preto durante o período 2010-2018</w:t>
      </w:r>
      <w:r w:rsidRPr="00BD0223">
        <w:tab/>
      </w:r>
      <w:r w:rsidR="000D2E6F">
        <w:t>48</w:t>
      </w:r>
    </w:p>
    <w:p w14:paraId="5A67EEFA" w14:textId="4B7D84CD" w:rsidR="00E31C01" w:rsidRPr="00BD0223" w:rsidRDefault="00E31C01" w:rsidP="001C03A7">
      <w:pPr>
        <w:pStyle w:val="Tindicedeilustracoes"/>
        <w:spacing w:line="336" w:lineRule="auto"/>
        <w:rPr>
          <w:rFonts w:eastAsiaTheme="minorEastAsia"/>
          <w:lang w:eastAsia="pt-BR"/>
        </w:rPr>
      </w:pPr>
      <w:r w:rsidRPr="00BD0223">
        <w:t>Gráfico 14</w:t>
      </w:r>
      <w:r w:rsidR="00BD0223" w:rsidRPr="00BD0223">
        <w:tab/>
      </w:r>
      <w:r w:rsidRPr="00BD0223">
        <w:t>Evolução do número de vendas de gasolina em milhões de litros das cidades de Uberaba e Franca durante o período 2010-2018</w:t>
      </w:r>
      <w:r w:rsidRPr="00BD0223">
        <w:tab/>
      </w:r>
      <w:r w:rsidR="000D2E6F">
        <w:t>48</w:t>
      </w:r>
    </w:p>
    <w:p w14:paraId="6047CADB" w14:textId="5E21F111" w:rsidR="00E31C01" w:rsidRPr="00BD0223" w:rsidRDefault="00E31C01" w:rsidP="001C03A7">
      <w:pPr>
        <w:pStyle w:val="Tindicedeilustracoes"/>
        <w:spacing w:line="336" w:lineRule="auto"/>
        <w:rPr>
          <w:rFonts w:eastAsiaTheme="minorEastAsia"/>
          <w:lang w:eastAsia="pt-BR"/>
        </w:rPr>
      </w:pPr>
      <w:r w:rsidRPr="00BD0223">
        <w:lastRenderedPageBreak/>
        <w:t>Gráfico 15</w:t>
      </w:r>
      <w:r w:rsidR="00BD0223" w:rsidRPr="00BD0223">
        <w:tab/>
      </w:r>
      <w:r w:rsidRPr="00BD0223">
        <w:t>Evolução das vendas de gasolina e etanol em milhões de litros no estado de Minas Gerais</w:t>
      </w:r>
      <w:r w:rsidRPr="00BD0223">
        <w:tab/>
      </w:r>
      <w:r w:rsidR="000D2E6F">
        <w:t>49</w:t>
      </w:r>
    </w:p>
    <w:p w14:paraId="3D3E0BD3" w14:textId="31BEC6D9" w:rsidR="00E31C01" w:rsidRPr="00BD0223" w:rsidRDefault="00E31C01" w:rsidP="001C03A7">
      <w:pPr>
        <w:pStyle w:val="Tindicedeilustracoes"/>
        <w:spacing w:line="336" w:lineRule="auto"/>
        <w:rPr>
          <w:rFonts w:eastAsiaTheme="minorEastAsia"/>
          <w:lang w:eastAsia="pt-BR"/>
        </w:rPr>
      </w:pPr>
      <w:r w:rsidRPr="00BD0223">
        <w:t>Gráfico 16</w:t>
      </w:r>
      <w:r w:rsidR="00BD0223" w:rsidRPr="00BD0223">
        <w:tab/>
      </w:r>
      <w:r w:rsidRPr="00BD0223">
        <w:t>Evolução das vendas de gasolina e etanol em milhões litros no estado de São Paulo</w:t>
      </w:r>
      <w:r w:rsidRPr="00BD0223">
        <w:tab/>
      </w:r>
      <w:r w:rsidR="000D2E6F">
        <w:t>50</w:t>
      </w:r>
    </w:p>
    <w:p w14:paraId="10587672" w14:textId="5DAF152D" w:rsidR="00E31C01" w:rsidRPr="00BD0223" w:rsidRDefault="00E31C01" w:rsidP="001C03A7">
      <w:pPr>
        <w:pStyle w:val="Tindicedeilustracoes"/>
        <w:spacing w:line="336" w:lineRule="auto"/>
        <w:rPr>
          <w:rFonts w:eastAsiaTheme="minorEastAsia"/>
          <w:lang w:eastAsia="pt-BR"/>
        </w:rPr>
      </w:pPr>
      <w:r w:rsidRPr="00BD0223">
        <w:t>Gráfico 17</w:t>
      </w:r>
      <w:r w:rsidR="00BD0223" w:rsidRPr="00BD0223">
        <w:tab/>
      </w:r>
      <w:r w:rsidRPr="00BD0223">
        <w:t>Arrecadação estimada de gasolina nos estados de Minas Gerais e São Paulo deflacionada a preços de 2010 durante o período 2010-2018 (em bilhões de R$)</w:t>
      </w:r>
      <w:r w:rsidRPr="00BD0223">
        <w:tab/>
      </w:r>
      <w:r w:rsidR="000D2E6F">
        <w:t>51</w:t>
      </w:r>
    </w:p>
    <w:p w14:paraId="2CC4B042" w14:textId="6F3CFBFC" w:rsidR="00E31C01" w:rsidRPr="00BD0223" w:rsidRDefault="00E31C01" w:rsidP="001C03A7">
      <w:pPr>
        <w:pStyle w:val="Tindicedeilustracoes"/>
        <w:spacing w:line="336" w:lineRule="auto"/>
        <w:rPr>
          <w:rFonts w:eastAsiaTheme="minorEastAsia"/>
          <w:lang w:eastAsia="pt-BR"/>
        </w:rPr>
      </w:pPr>
      <w:r w:rsidRPr="00BD0223">
        <w:t>Gráfico 18</w:t>
      </w:r>
      <w:r w:rsidR="00BD0223" w:rsidRPr="00BD0223">
        <w:tab/>
      </w:r>
      <w:r w:rsidRPr="00BD0223">
        <w:t>Evolução de vendas de óleo Diesel em milhões de litros na cidade de Uberlândia-MG durante o período 2010-2018</w:t>
      </w:r>
      <w:r w:rsidRPr="00BD0223">
        <w:tab/>
      </w:r>
      <w:r w:rsidR="000D2E6F">
        <w:t>55</w:t>
      </w:r>
    </w:p>
    <w:p w14:paraId="10AA9A56" w14:textId="2F6E5A8B" w:rsidR="00E31C01" w:rsidRPr="00BD0223" w:rsidRDefault="00E31C01" w:rsidP="001C03A7">
      <w:pPr>
        <w:pStyle w:val="Tindicedeilustracoes"/>
        <w:spacing w:line="336" w:lineRule="auto"/>
        <w:rPr>
          <w:rFonts w:eastAsiaTheme="minorEastAsia"/>
          <w:lang w:eastAsia="pt-BR"/>
        </w:rPr>
      </w:pPr>
      <w:r w:rsidRPr="00BD0223">
        <w:t>Gráfico 19</w:t>
      </w:r>
      <w:r w:rsidR="00BD0223" w:rsidRPr="00BD0223">
        <w:tab/>
      </w:r>
      <w:r w:rsidRPr="00BD0223">
        <w:t>Evolução de vendas de óleo Diesel em milhões de litros na cidade de Araguari-MG durante o período 2010-2018</w:t>
      </w:r>
      <w:r w:rsidRPr="00BD0223">
        <w:tab/>
      </w:r>
      <w:r w:rsidR="000D2E6F">
        <w:t>56</w:t>
      </w:r>
    </w:p>
    <w:p w14:paraId="7BEF9E38" w14:textId="718DDAAB" w:rsidR="00E31C01" w:rsidRPr="00BD0223" w:rsidRDefault="00E31C01" w:rsidP="001C03A7">
      <w:pPr>
        <w:pStyle w:val="Tindicedeilustracoes"/>
        <w:spacing w:line="336" w:lineRule="auto"/>
        <w:rPr>
          <w:rFonts w:eastAsiaTheme="minorEastAsia"/>
          <w:lang w:eastAsia="pt-BR"/>
        </w:rPr>
      </w:pPr>
      <w:r w:rsidRPr="00BD0223">
        <w:t>Gráfico 20</w:t>
      </w:r>
      <w:r w:rsidR="00BD0223" w:rsidRPr="00BD0223">
        <w:tab/>
      </w:r>
      <w:r w:rsidRPr="00BD0223">
        <w:t>Evolução de vendas de Óleo Diesel em milhões de litros na cidade de Uberaba-MG durante o período 2010-2018</w:t>
      </w:r>
      <w:r w:rsidRPr="00BD0223">
        <w:tab/>
      </w:r>
      <w:r w:rsidR="000D2E6F">
        <w:t>56</w:t>
      </w:r>
    </w:p>
    <w:p w14:paraId="3295C766" w14:textId="50440722" w:rsidR="00E31C01" w:rsidRPr="00BD0223" w:rsidRDefault="00E31C01" w:rsidP="001C03A7">
      <w:pPr>
        <w:pStyle w:val="Tindicedeilustracoes"/>
        <w:spacing w:line="336" w:lineRule="auto"/>
        <w:rPr>
          <w:rFonts w:eastAsiaTheme="minorEastAsia"/>
          <w:lang w:eastAsia="pt-BR"/>
        </w:rPr>
      </w:pPr>
      <w:r w:rsidRPr="00BD0223">
        <w:t>Gráfico 21</w:t>
      </w:r>
      <w:r w:rsidR="00BD0223" w:rsidRPr="00BD0223">
        <w:tab/>
      </w:r>
      <w:r w:rsidRPr="00BD0223">
        <w:t>Evolução de vendas de Óleo Diesel em milhões de litros na cidade de Ribeirão Preto - SP durante o período 2010-2018</w:t>
      </w:r>
      <w:r w:rsidRPr="00BD0223">
        <w:tab/>
      </w:r>
      <w:r w:rsidR="000D2E6F">
        <w:t>57</w:t>
      </w:r>
    </w:p>
    <w:p w14:paraId="370F740A" w14:textId="683C5221" w:rsidR="00E31C01" w:rsidRPr="00BD0223" w:rsidRDefault="00E31C01" w:rsidP="001C03A7">
      <w:pPr>
        <w:pStyle w:val="Tindicedeilustracoes"/>
        <w:spacing w:line="336" w:lineRule="auto"/>
        <w:rPr>
          <w:rFonts w:eastAsiaTheme="minorEastAsia"/>
          <w:lang w:eastAsia="pt-BR"/>
        </w:rPr>
      </w:pPr>
      <w:r w:rsidRPr="00BD0223">
        <w:t>Gráfico 22</w:t>
      </w:r>
      <w:r w:rsidR="00BD0223" w:rsidRPr="00BD0223">
        <w:tab/>
      </w:r>
      <w:r w:rsidRPr="00BD0223">
        <w:t>Evolução de vendas de Óleo Diesel em milhões de litros na cidade de São José do Rio Preto - SP durante o período 2010-2018</w:t>
      </w:r>
      <w:r w:rsidRPr="00BD0223">
        <w:tab/>
      </w:r>
      <w:r w:rsidR="000D2E6F">
        <w:t>57</w:t>
      </w:r>
    </w:p>
    <w:p w14:paraId="66E37142" w14:textId="12D51745" w:rsidR="00E31C01" w:rsidRPr="00BD0223" w:rsidRDefault="00E31C01" w:rsidP="001C03A7">
      <w:pPr>
        <w:pStyle w:val="Tindicedeilustracoes"/>
        <w:spacing w:line="336" w:lineRule="auto"/>
        <w:rPr>
          <w:rFonts w:eastAsiaTheme="minorEastAsia"/>
          <w:lang w:eastAsia="pt-BR"/>
        </w:rPr>
      </w:pPr>
      <w:r w:rsidRPr="00BD0223">
        <w:t>Gráfico 23</w:t>
      </w:r>
      <w:r w:rsidR="00BD0223" w:rsidRPr="00BD0223">
        <w:tab/>
      </w:r>
      <w:r w:rsidRPr="00BD0223">
        <w:t>Evolução de vendas de Óleo Diesel em milhões litros na cidade de Guará - SP do durante o período 2010-2018</w:t>
      </w:r>
      <w:r w:rsidRPr="00BD0223">
        <w:tab/>
      </w:r>
      <w:r w:rsidR="000D2E6F">
        <w:t>58</w:t>
      </w:r>
    </w:p>
    <w:p w14:paraId="3E7CD1B6" w14:textId="2855671A" w:rsidR="00E31C01" w:rsidRPr="00BD0223" w:rsidRDefault="00E31C01" w:rsidP="001C03A7">
      <w:pPr>
        <w:pStyle w:val="Tindicedeilustracoes"/>
        <w:spacing w:line="336" w:lineRule="auto"/>
        <w:rPr>
          <w:rFonts w:eastAsiaTheme="minorEastAsia"/>
          <w:lang w:eastAsia="pt-BR"/>
        </w:rPr>
      </w:pPr>
      <w:r w:rsidRPr="00BD0223">
        <w:t>Gráfico 24</w:t>
      </w:r>
      <w:r w:rsidR="00BD0223" w:rsidRPr="00BD0223">
        <w:tab/>
      </w:r>
      <w:r w:rsidRPr="00BD0223">
        <w:t>Evolução de vendas de Óleo Diesel em milhões de litros na cidade de Barretos-SP durante o período 2010-2018</w:t>
      </w:r>
      <w:r w:rsidRPr="00BD0223">
        <w:tab/>
      </w:r>
      <w:r w:rsidR="000D2E6F">
        <w:t>59</w:t>
      </w:r>
    </w:p>
    <w:p w14:paraId="5585F9B3" w14:textId="5FA4B586" w:rsidR="00E31C01" w:rsidRPr="00BD0223" w:rsidRDefault="00E31C01" w:rsidP="001C03A7">
      <w:pPr>
        <w:pStyle w:val="Tindicedeilustracoes"/>
        <w:spacing w:line="336" w:lineRule="auto"/>
        <w:rPr>
          <w:rFonts w:eastAsiaTheme="minorEastAsia"/>
          <w:lang w:eastAsia="pt-BR"/>
        </w:rPr>
      </w:pPr>
      <w:r w:rsidRPr="00BD0223">
        <w:t>Gráfico 25</w:t>
      </w:r>
      <w:r w:rsidR="00BD0223" w:rsidRPr="00BD0223">
        <w:tab/>
      </w:r>
      <w:r w:rsidRPr="00BD0223">
        <w:t>Evolução de vendas de Óleo Diesel em milhões de litros na cidade de Araporã - MG durante o período 2010-2018</w:t>
      </w:r>
      <w:r w:rsidRPr="00BD0223">
        <w:tab/>
      </w:r>
      <w:r w:rsidR="000D2E6F">
        <w:t>59</w:t>
      </w:r>
    </w:p>
    <w:p w14:paraId="0FC925EA" w14:textId="6FF583E0" w:rsidR="00E31C01" w:rsidRPr="00BD0223" w:rsidRDefault="00E31C01" w:rsidP="001C03A7">
      <w:pPr>
        <w:pStyle w:val="Tindicedeilustracoes"/>
        <w:spacing w:line="336" w:lineRule="auto"/>
        <w:rPr>
          <w:rFonts w:eastAsiaTheme="minorEastAsia"/>
          <w:lang w:eastAsia="pt-BR"/>
        </w:rPr>
      </w:pPr>
      <w:r w:rsidRPr="00BD0223">
        <w:t>Gráfico 26</w:t>
      </w:r>
      <w:r w:rsidR="00BD0223" w:rsidRPr="00BD0223">
        <w:tab/>
      </w:r>
      <w:r w:rsidRPr="00BD0223">
        <w:t>Evolução de vendas de Óleo Diesel em milhões de litros no município de Prata-MG durante o período 2010-2018</w:t>
      </w:r>
      <w:r w:rsidRPr="00BD0223">
        <w:tab/>
      </w:r>
      <w:r w:rsidR="000D2E6F">
        <w:t>60</w:t>
      </w:r>
    </w:p>
    <w:p w14:paraId="32C04C56" w14:textId="151C40D9" w:rsidR="00E31C01" w:rsidRPr="00BD0223" w:rsidRDefault="00E31C01" w:rsidP="001C03A7">
      <w:pPr>
        <w:pStyle w:val="Tindicedeilustracoes"/>
        <w:spacing w:line="336" w:lineRule="auto"/>
        <w:rPr>
          <w:rFonts w:eastAsiaTheme="minorEastAsia"/>
          <w:lang w:eastAsia="pt-BR"/>
        </w:rPr>
      </w:pPr>
      <w:r w:rsidRPr="00BD0223">
        <w:t>Gráfico 27</w:t>
      </w:r>
      <w:r w:rsidR="00BD0223" w:rsidRPr="00BD0223">
        <w:tab/>
      </w:r>
      <w:r w:rsidRPr="00BD0223">
        <w:t>Evolução de vendas de Óleo Diesel em milhões de litros no município de Ituiutaba-MG durante o período 2010-2018</w:t>
      </w:r>
      <w:r w:rsidRPr="00BD0223">
        <w:tab/>
      </w:r>
      <w:r w:rsidR="000D2E6F">
        <w:t>60</w:t>
      </w:r>
    </w:p>
    <w:p w14:paraId="163D6047" w14:textId="58281BB0" w:rsidR="00E31C01" w:rsidRPr="00BD0223" w:rsidRDefault="00E31C01" w:rsidP="001C03A7">
      <w:pPr>
        <w:pStyle w:val="Tindicedeilustracoes"/>
        <w:spacing w:line="336" w:lineRule="auto"/>
        <w:rPr>
          <w:rFonts w:eastAsiaTheme="minorEastAsia"/>
          <w:lang w:eastAsia="pt-BR"/>
        </w:rPr>
      </w:pPr>
      <w:r w:rsidRPr="00BD0223">
        <w:t>Gráfico 28</w:t>
      </w:r>
      <w:r w:rsidR="00BD0223" w:rsidRPr="00BD0223">
        <w:tab/>
      </w:r>
      <w:r w:rsidRPr="00BD0223">
        <w:t>Evolução do total de vendas de óleo diesel em milhões de litros somando as microrregiões de Frutal, Uberlândia, Uberaba e Ituiutaba</w:t>
      </w:r>
      <w:r w:rsidRPr="00BD0223">
        <w:tab/>
      </w:r>
      <w:r w:rsidR="000D2E6F">
        <w:t>61</w:t>
      </w:r>
    </w:p>
    <w:p w14:paraId="4BA33FE3" w14:textId="17F553FB" w:rsidR="00E31C01" w:rsidRPr="00BD0223" w:rsidRDefault="00E31C01" w:rsidP="001C03A7">
      <w:pPr>
        <w:pStyle w:val="Tindicedeilustracoes"/>
        <w:spacing w:line="336" w:lineRule="auto"/>
        <w:rPr>
          <w:rFonts w:eastAsiaTheme="minorEastAsia"/>
          <w:lang w:eastAsia="pt-BR"/>
        </w:rPr>
      </w:pPr>
      <w:r w:rsidRPr="00BD0223">
        <w:t>Gráfico 29</w:t>
      </w:r>
      <w:r w:rsidR="00BD0223" w:rsidRPr="00BD0223">
        <w:tab/>
      </w:r>
      <w:r w:rsidRPr="00BD0223">
        <w:t>Evolução do total de vendas de óleo diesel em milhões de litros somando as mesorregiões de Ribeirão Preto e São José do Rio Preto</w:t>
      </w:r>
      <w:r w:rsidRPr="00BD0223">
        <w:tab/>
      </w:r>
      <w:r w:rsidR="000D2E6F">
        <w:t>62</w:t>
      </w:r>
    </w:p>
    <w:p w14:paraId="3A0AF992" w14:textId="056CC7D4" w:rsidR="00E31C01" w:rsidRPr="00BD0223" w:rsidRDefault="00E31C01" w:rsidP="001C03A7">
      <w:pPr>
        <w:pStyle w:val="Tindicedeilustracoes"/>
        <w:spacing w:line="336" w:lineRule="auto"/>
      </w:pPr>
      <w:r w:rsidRPr="00BD0223">
        <w:t>Gráfico 30</w:t>
      </w:r>
      <w:r w:rsidR="00BD0223" w:rsidRPr="00BD0223">
        <w:tab/>
      </w:r>
      <w:r w:rsidRPr="00BD0223">
        <w:t>Arrecadação estimada de óleo diesel nos estados de Minas Gerais e São Paulo deflacionada a preços de 2010 durante o período 2010-2018 (em bilhões de R$)</w:t>
      </w:r>
      <w:r w:rsidRPr="00BD0223">
        <w:tab/>
      </w:r>
      <w:r w:rsidR="000D2E6F">
        <w:t>63</w:t>
      </w:r>
      <w:r w:rsidRPr="00BD0223">
        <w:fldChar w:fldCharType="end"/>
      </w:r>
    </w:p>
    <w:p w14:paraId="27BAA12E" w14:textId="5215240A" w:rsidR="00CD582A" w:rsidRPr="00BD0223" w:rsidRDefault="00C31918" w:rsidP="00E31C01">
      <w:pPr>
        <w:pStyle w:val="TIT1pre-textuais"/>
      </w:pPr>
      <w:r w:rsidRPr="00BD0223">
        <w:lastRenderedPageBreak/>
        <w:t>LISTA DE TABELAS</w:t>
      </w:r>
    </w:p>
    <w:p w14:paraId="0655429F" w14:textId="7BB66126" w:rsidR="00E31C01" w:rsidRPr="00BD0223" w:rsidRDefault="00E31C01" w:rsidP="00E31C01">
      <w:pPr>
        <w:pStyle w:val="Tindicedeilustracoes"/>
        <w:rPr>
          <w:rFonts w:eastAsiaTheme="minorEastAsia"/>
          <w:lang w:eastAsia="pt-BR"/>
        </w:rPr>
      </w:pPr>
      <w:r w:rsidRPr="00BD0223">
        <w:fldChar w:fldCharType="begin"/>
      </w:r>
      <w:r w:rsidRPr="00BD0223">
        <w:instrText xml:space="preserve"> TOC \c "Tabela" </w:instrText>
      </w:r>
      <w:r w:rsidRPr="00BD0223">
        <w:fldChar w:fldCharType="separate"/>
      </w:r>
      <w:r w:rsidRPr="00BD0223">
        <w:t>Tabela 1</w:t>
      </w:r>
      <w:r w:rsidR="00BD0223" w:rsidRPr="00BD0223">
        <w:tab/>
      </w:r>
      <w:r w:rsidRPr="00BD0223">
        <w:t>Preço médio ao consumidor final com impostos da gasolina segundo a pesquisa da Agência Nacional de Petróleo nos anos de 2010 e 2011 em São Paulo e Minas Gerais. (2010)</w:t>
      </w:r>
      <w:r w:rsidRPr="00BD0223">
        <w:tab/>
      </w:r>
      <w:r w:rsidRPr="00BD0223">
        <w:fldChar w:fldCharType="begin"/>
      </w:r>
      <w:r w:rsidRPr="00BD0223">
        <w:instrText xml:space="preserve"> PAGEREF _Toc55329426 \h </w:instrText>
      </w:r>
      <w:r w:rsidRPr="00BD0223">
        <w:fldChar w:fldCharType="separate"/>
      </w:r>
      <w:r w:rsidR="009A5BEE">
        <w:t>45</w:t>
      </w:r>
      <w:r w:rsidRPr="00BD0223">
        <w:fldChar w:fldCharType="end"/>
      </w:r>
    </w:p>
    <w:p w14:paraId="0FE9758D" w14:textId="5EA2AB01" w:rsidR="00E31C01" w:rsidRPr="00BD0223" w:rsidRDefault="00E31C01" w:rsidP="00E31C01">
      <w:pPr>
        <w:pStyle w:val="Tindicedeilustracoes"/>
        <w:rPr>
          <w:rFonts w:eastAsiaTheme="minorEastAsia"/>
          <w:lang w:eastAsia="pt-BR"/>
        </w:rPr>
      </w:pPr>
      <w:r w:rsidRPr="00BD0223">
        <w:t>Tabela 2</w:t>
      </w:r>
      <w:r w:rsidR="00BD0223" w:rsidRPr="00BD0223">
        <w:tab/>
      </w:r>
      <w:r w:rsidRPr="00BD0223">
        <w:t>Preço médio ao consumidor final com impostos da gasolina segundo a pesquisa da Agência Nacional de Petróleo nos anos de 2010 e 2011 em São Paulo e Minas Gerais. (2011)</w:t>
      </w:r>
      <w:r w:rsidRPr="00BD0223">
        <w:tab/>
      </w:r>
      <w:r w:rsidRPr="00BD0223">
        <w:fldChar w:fldCharType="begin"/>
      </w:r>
      <w:r w:rsidRPr="00BD0223">
        <w:instrText xml:space="preserve"> PAGEREF _Toc55329427 \h </w:instrText>
      </w:r>
      <w:r w:rsidRPr="00BD0223">
        <w:fldChar w:fldCharType="separate"/>
      </w:r>
      <w:r w:rsidR="009A5BEE">
        <w:t>45</w:t>
      </w:r>
      <w:r w:rsidRPr="00BD0223">
        <w:fldChar w:fldCharType="end"/>
      </w:r>
    </w:p>
    <w:p w14:paraId="0A4F6703" w14:textId="5C5C8AAB" w:rsidR="00E31C01" w:rsidRPr="00BD0223" w:rsidRDefault="00E31C01" w:rsidP="00E31C01">
      <w:pPr>
        <w:pStyle w:val="Tindicedeilustracoes"/>
        <w:rPr>
          <w:rFonts w:eastAsiaTheme="minorEastAsia"/>
          <w:lang w:eastAsia="pt-BR"/>
        </w:rPr>
      </w:pPr>
      <w:r w:rsidRPr="00BD0223">
        <w:t>Tabela 3</w:t>
      </w:r>
      <w:r w:rsidR="00BD0223" w:rsidRPr="00BD0223">
        <w:tab/>
      </w:r>
      <w:r w:rsidRPr="00BD0223">
        <w:t>Preço médio ao consumidor final com impostos da gasolina segundo a pesquisa da Agência Nacional de Petróleo nos anos de 2014 e 2015 em São Paulo e Minas Gerais. (2014)</w:t>
      </w:r>
      <w:r w:rsidRPr="00BD0223">
        <w:tab/>
      </w:r>
      <w:r w:rsidRPr="00BD0223">
        <w:fldChar w:fldCharType="begin"/>
      </w:r>
      <w:r w:rsidRPr="00BD0223">
        <w:instrText xml:space="preserve"> PAGEREF _Toc55329428 \h </w:instrText>
      </w:r>
      <w:r w:rsidRPr="00BD0223">
        <w:fldChar w:fldCharType="separate"/>
      </w:r>
      <w:r w:rsidR="009A5BEE">
        <w:t>46</w:t>
      </w:r>
      <w:r w:rsidRPr="00BD0223">
        <w:fldChar w:fldCharType="end"/>
      </w:r>
    </w:p>
    <w:p w14:paraId="232F87D4" w14:textId="7AF99A8B" w:rsidR="00E31C01" w:rsidRPr="00BD0223" w:rsidRDefault="00E31C01" w:rsidP="00E31C01">
      <w:pPr>
        <w:pStyle w:val="Tindicedeilustracoes"/>
        <w:rPr>
          <w:rFonts w:eastAsiaTheme="minorEastAsia"/>
          <w:lang w:eastAsia="pt-BR"/>
        </w:rPr>
      </w:pPr>
      <w:r w:rsidRPr="00BD0223">
        <w:t>Tabela 4</w:t>
      </w:r>
      <w:r w:rsidR="00BD0223" w:rsidRPr="00BD0223">
        <w:tab/>
      </w:r>
      <w:r w:rsidRPr="00BD0223">
        <w:t>Preço médio ao consumidor final com impostos da gasolina segundo a pesquisa da Agência Nacional de Petróleo nos anos de 2014 e 2015 em São Paulo e Minas Gerais. (2015)</w:t>
      </w:r>
      <w:r w:rsidRPr="00BD0223">
        <w:tab/>
      </w:r>
      <w:r w:rsidRPr="00BD0223">
        <w:fldChar w:fldCharType="begin"/>
      </w:r>
      <w:r w:rsidRPr="00BD0223">
        <w:instrText xml:space="preserve"> PAGEREF _Toc55329429 \h </w:instrText>
      </w:r>
      <w:r w:rsidRPr="00BD0223">
        <w:fldChar w:fldCharType="separate"/>
      </w:r>
      <w:r w:rsidR="009A5BEE">
        <w:t>46</w:t>
      </w:r>
      <w:r w:rsidRPr="00BD0223">
        <w:fldChar w:fldCharType="end"/>
      </w:r>
    </w:p>
    <w:p w14:paraId="717A8A28" w14:textId="3716ECE1" w:rsidR="00E31C01" w:rsidRPr="00BD0223" w:rsidRDefault="00E31C01" w:rsidP="00E31C01">
      <w:pPr>
        <w:pStyle w:val="Tindicedeilustracoes"/>
        <w:rPr>
          <w:rFonts w:eastAsiaTheme="minorEastAsia"/>
          <w:lang w:eastAsia="pt-BR"/>
        </w:rPr>
      </w:pPr>
      <w:r w:rsidRPr="00BD0223">
        <w:t>Tabela 5</w:t>
      </w:r>
      <w:r w:rsidR="00BD0223" w:rsidRPr="00BD0223">
        <w:tab/>
      </w:r>
      <w:r w:rsidRPr="00BD0223">
        <w:t>Preço médio ao consumidor final com impostos da gasolina segundo a pesquisa da Agência Nacional de Petróleo nos anos de 2017 e 2018 em São Paulo e Minas Gerais. (2017)</w:t>
      </w:r>
      <w:r w:rsidRPr="00BD0223">
        <w:tab/>
      </w:r>
      <w:r w:rsidRPr="00BD0223">
        <w:fldChar w:fldCharType="begin"/>
      </w:r>
      <w:r w:rsidRPr="00BD0223">
        <w:instrText xml:space="preserve"> PAGEREF _Toc55329430 \h </w:instrText>
      </w:r>
      <w:r w:rsidRPr="00BD0223">
        <w:fldChar w:fldCharType="separate"/>
      </w:r>
      <w:r w:rsidR="009A5BEE">
        <w:t>47</w:t>
      </w:r>
      <w:r w:rsidRPr="00BD0223">
        <w:fldChar w:fldCharType="end"/>
      </w:r>
    </w:p>
    <w:p w14:paraId="05131EF0" w14:textId="26B20E39" w:rsidR="00E31C01" w:rsidRPr="00BD0223" w:rsidRDefault="00E31C01" w:rsidP="00E31C01">
      <w:pPr>
        <w:pStyle w:val="Tindicedeilustracoes"/>
        <w:rPr>
          <w:rFonts w:eastAsiaTheme="minorEastAsia"/>
          <w:lang w:eastAsia="pt-BR"/>
        </w:rPr>
      </w:pPr>
      <w:r w:rsidRPr="00BD0223">
        <w:t>Tabela 6</w:t>
      </w:r>
      <w:r w:rsidR="00BD0223" w:rsidRPr="00BD0223">
        <w:tab/>
      </w:r>
      <w:r w:rsidRPr="00BD0223">
        <w:t>Preço médio ao consumidor final com impostos da gasolina segundo a pesquisa da Agência Nacional de Petróleo nos anos de 2017 e 2018 em São Paulo e Minas Gerais. (2018)</w:t>
      </w:r>
      <w:r w:rsidRPr="00BD0223">
        <w:tab/>
      </w:r>
      <w:r w:rsidRPr="00BD0223">
        <w:fldChar w:fldCharType="begin"/>
      </w:r>
      <w:r w:rsidRPr="00BD0223">
        <w:instrText xml:space="preserve"> PAGEREF _Toc55329431 \h </w:instrText>
      </w:r>
      <w:r w:rsidRPr="00BD0223">
        <w:fldChar w:fldCharType="separate"/>
      </w:r>
      <w:r w:rsidR="009A5BEE">
        <w:t>47</w:t>
      </w:r>
      <w:r w:rsidRPr="00BD0223">
        <w:fldChar w:fldCharType="end"/>
      </w:r>
    </w:p>
    <w:p w14:paraId="4996A126" w14:textId="64051F82" w:rsidR="00E31C01" w:rsidRPr="00BD0223" w:rsidRDefault="00E31C01" w:rsidP="00E31C01">
      <w:pPr>
        <w:pStyle w:val="Tindicedeilustracoes"/>
        <w:rPr>
          <w:rFonts w:eastAsiaTheme="minorEastAsia"/>
          <w:lang w:eastAsia="pt-BR"/>
        </w:rPr>
      </w:pPr>
      <w:r w:rsidRPr="00BD0223">
        <w:t>Tabela 7</w:t>
      </w:r>
      <w:r w:rsidR="00BD0223" w:rsidRPr="00BD0223">
        <w:tab/>
      </w:r>
      <w:r w:rsidRPr="00BD0223">
        <w:t>Preço médio ao consumidor final com impostos do óleo diesel segundo a pesquisa da Agência Nacional de Petróleo nos anos de 2011 e 2012 em São Paulo e Minas Gerais. (2011)</w:t>
      </w:r>
      <w:r w:rsidRPr="00BD0223">
        <w:tab/>
      </w:r>
      <w:r w:rsidRPr="00BD0223">
        <w:fldChar w:fldCharType="begin"/>
      </w:r>
      <w:r w:rsidRPr="00BD0223">
        <w:instrText xml:space="preserve"> PAGEREF _Toc55329432 \h </w:instrText>
      </w:r>
      <w:r w:rsidRPr="00BD0223">
        <w:fldChar w:fldCharType="separate"/>
      </w:r>
      <w:r w:rsidR="009A5BEE">
        <w:t>53</w:t>
      </w:r>
      <w:r w:rsidRPr="00BD0223">
        <w:fldChar w:fldCharType="end"/>
      </w:r>
    </w:p>
    <w:p w14:paraId="54EDE4AA" w14:textId="35851CA1" w:rsidR="00E31C01" w:rsidRPr="00BD0223" w:rsidRDefault="00E31C01" w:rsidP="00E31C01">
      <w:pPr>
        <w:pStyle w:val="Tindicedeilustracoes"/>
      </w:pPr>
      <w:r w:rsidRPr="00BD0223">
        <w:t>Tabela 8</w:t>
      </w:r>
      <w:r w:rsidR="00BD0223" w:rsidRPr="00BD0223">
        <w:tab/>
      </w:r>
      <w:r w:rsidRPr="00BD0223">
        <w:t>Preço médio ao consumidor final com impostos do óleo diesel segundo a pesquisa da Agência Nacional de Petróleo nos anos de 2011 e 2012 em São Paulo e Minas Gerais. (2012)</w:t>
      </w:r>
      <w:r w:rsidRPr="00BD0223">
        <w:tab/>
      </w:r>
      <w:r w:rsidRPr="00BD0223">
        <w:fldChar w:fldCharType="begin"/>
      </w:r>
      <w:r w:rsidRPr="00BD0223">
        <w:instrText xml:space="preserve"> PAGEREF _Toc55329433 \h </w:instrText>
      </w:r>
      <w:r w:rsidRPr="00BD0223">
        <w:fldChar w:fldCharType="separate"/>
      </w:r>
      <w:r w:rsidR="009A5BEE">
        <w:t>54</w:t>
      </w:r>
      <w:r w:rsidRPr="00BD0223">
        <w:fldChar w:fldCharType="end"/>
      </w:r>
      <w:r w:rsidRPr="00BD0223">
        <w:fldChar w:fldCharType="end"/>
      </w:r>
    </w:p>
    <w:p w14:paraId="273FB54C" w14:textId="456A39E1" w:rsidR="000F0A4F" w:rsidRPr="00BD0223" w:rsidRDefault="000F0A4F" w:rsidP="00E31C01">
      <w:pPr>
        <w:pStyle w:val="TIT1pre-textuais"/>
      </w:pPr>
      <w:r w:rsidRPr="00BD0223">
        <w:lastRenderedPageBreak/>
        <w:t>LISTA DE SIGLAS</w:t>
      </w:r>
    </w:p>
    <w:p w14:paraId="668DDDA9" w14:textId="386E5E3E" w:rsidR="006D40F6" w:rsidRPr="003C6867" w:rsidRDefault="006D40F6" w:rsidP="000F0A4F">
      <w:pPr>
        <w:pStyle w:val="TNORMAL"/>
        <w:ind w:firstLine="0"/>
        <w:rPr>
          <w:rFonts w:eastAsia="Calibri"/>
        </w:rPr>
      </w:pPr>
      <w:r w:rsidRPr="00BD0223">
        <w:rPr>
          <w:rFonts w:eastAsia="Calibri"/>
        </w:rPr>
        <w:t>ANP</w:t>
      </w:r>
      <w:r w:rsidRPr="00BD0223">
        <w:rPr>
          <w:rFonts w:eastAsia="Calibri"/>
        </w:rPr>
        <w:tab/>
      </w:r>
      <w:r w:rsidRPr="00BD0223">
        <w:rPr>
          <w:rFonts w:eastAsia="Calibri"/>
        </w:rPr>
        <w:tab/>
      </w:r>
      <w:r w:rsidR="009F38A6" w:rsidRPr="003C6867">
        <w:rPr>
          <w:rFonts w:cs="Times New Roman"/>
          <w:szCs w:val="24"/>
          <w:shd w:val="clear" w:color="auto" w:fill="FFFFFF"/>
        </w:rPr>
        <w:t>Agência Nacional do Petróleo, Gás Natural e Biocombustíveis</w:t>
      </w:r>
    </w:p>
    <w:p w14:paraId="6B7D8DC2" w14:textId="3304DAF4" w:rsidR="006D40F6" w:rsidRPr="00BD0223" w:rsidRDefault="006D40F6" w:rsidP="000F0A4F">
      <w:pPr>
        <w:pStyle w:val="TNORMAL"/>
        <w:ind w:firstLine="0"/>
        <w:rPr>
          <w:rFonts w:eastAsia="Calibri"/>
        </w:rPr>
      </w:pPr>
      <w:r w:rsidRPr="00BD0223">
        <w:rPr>
          <w:rFonts w:eastAsia="Calibri"/>
        </w:rPr>
        <w:t>CNP</w:t>
      </w:r>
      <w:r w:rsidRPr="00BD0223">
        <w:rPr>
          <w:rFonts w:eastAsia="Calibri"/>
        </w:rPr>
        <w:tab/>
      </w:r>
      <w:r w:rsidRPr="00BD0223">
        <w:rPr>
          <w:rFonts w:eastAsia="Calibri"/>
        </w:rPr>
        <w:tab/>
      </w:r>
      <w:r w:rsidRPr="003C6867">
        <w:rPr>
          <w:rFonts w:eastAsia="Calibri"/>
        </w:rPr>
        <w:t xml:space="preserve">Conselho Nacional </w:t>
      </w:r>
      <w:r w:rsidR="009F38A6" w:rsidRPr="003C6867">
        <w:rPr>
          <w:rFonts w:eastAsia="Calibri"/>
        </w:rPr>
        <w:t>do</w:t>
      </w:r>
      <w:r w:rsidRPr="003C6867">
        <w:rPr>
          <w:rFonts w:eastAsia="Calibri"/>
        </w:rPr>
        <w:t xml:space="preserve"> Petróleo</w:t>
      </w:r>
    </w:p>
    <w:p w14:paraId="4AB444DC" w14:textId="77777777" w:rsidR="006D40F6" w:rsidRPr="00BD0223" w:rsidRDefault="006D40F6" w:rsidP="000F0A4F">
      <w:pPr>
        <w:pStyle w:val="TNORMAL"/>
        <w:ind w:firstLine="0"/>
        <w:rPr>
          <w:rFonts w:eastAsia="Calibri"/>
        </w:rPr>
      </w:pPr>
      <w:r w:rsidRPr="00BD0223">
        <w:rPr>
          <w:rFonts w:eastAsia="Calibri"/>
        </w:rPr>
        <w:t>COFINS</w:t>
      </w:r>
      <w:r w:rsidRPr="00BD0223">
        <w:rPr>
          <w:rFonts w:eastAsia="Calibri"/>
        </w:rPr>
        <w:tab/>
        <w:t>Contribuição para o Financiamento da Seguridade Social</w:t>
      </w:r>
    </w:p>
    <w:p w14:paraId="00C28FA8" w14:textId="77777777" w:rsidR="006D40F6" w:rsidRPr="00BD0223" w:rsidRDefault="006D40F6" w:rsidP="000F0A4F">
      <w:pPr>
        <w:pStyle w:val="TNORMAL"/>
        <w:ind w:firstLine="0"/>
        <w:rPr>
          <w:rFonts w:eastAsia="Calibri"/>
        </w:rPr>
      </w:pPr>
      <w:r w:rsidRPr="00BD0223">
        <w:rPr>
          <w:rFonts w:eastAsia="Calibri"/>
        </w:rPr>
        <w:t>CONFAZ</w:t>
      </w:r>
      <w:r w:rsidRPr="00BD0223">
        <w:rPr>
          <w:rFonts w:eastAsia="Calibri"/>
        </w:rPr>
        <w:tab/>
        <w:t>Conselho Nacional de Política Fazendária</w:t>
      </w:r>
    </w:p>
    <w:p w14:paraId="430DCA71" w14:textId="77777777" w:rsidR="006D40F6" w:rsidRPr="00BD0223" w:rsidRDefault="006D40F6" w:rsidP="000F0A4F">
      <w:pPr>
        <w:pStyle w:val="TNORMAL"/>
        <w:ind w:firstLine="0"/>
        <w:rPr>
          <w:rFonts w:eastAsia="Calibri"/>
        </w:rPr>
      </w:pPr>
      <w:r w:rsidRPr="00BD0223">
        <w:rPr>
          <w:rFonts w:eastAsia="Calibri"/>
        </w:rPr>
        <w:t>IBGE</w:t>
      </w:r>
      <w:r w:rsidRPr="00BD0223">
        <w:rPr>
          <w:rFonts w:eastAsia="Calibri"/>
        </w:rPr>
        <w:tab/>
      </w:r>
      <w:r w:rsidRPr="00BD0223">
        <w:rPr>
          <w:rFonts w:eastAsia="Calibri"/>
        </w:rPr>
        <w:tab/>
        <w:t>Instituto Brasileiro de Geografia e Estatística</w:t>
      </w:r>
    </w:p>
    <w:p w14:paraId="031C238D" w14:textId="77777777" w:rsidR="006D40F6" w:rsidRPr="00BD0223" w:rsidRDefault="006D40F6" w:rsidP="000F0A4F">
      <w:pPr>
        <w:pStyle w:val="TNORMAL"/>
        <w:ind w:firstLine="0"/>
        <w:rPr>
          <w:rFonts w:eastAsia="Calibri"/>
        </w:rPr>
      </w:pPr>
      <w:r w:rsidRPr="00BD0223">
        <w:rPr>
          <w:rFonts w:eastAsia="Calibri"/>
        </w:rPr>
        <w:t>IBS</w:t>
      </w:r>
      <w:r w:rsidRPr="00BD0223">
        <w:rPr>
          <w:rFonts w:eastAsia="Calibri"/>
        </w:rPr>
        <w:tab/>
      </w:r>
      <w:r w:rsidRPr="00BD0223">
        <w:rPr>
          <w:rFonts w:eastAsia="Calibri"/>
        </w:rPr>
        <w:tab/>
        <w:t>Imposto Sobre Bens e Serviços</w:t>
      </w:r>
    </w:p>
    <w:p w14:paraId="698C96A3" w14:textId="77777777" w:rsidR="006D40F6" w:rsidRPr="00BD0223" w:rsidRDefault="006D40F6" w:rsidP="000F0A4F">
      <w:pPr>
        <w:pStyle w:val="TNORMAL"/>
        <w:ind w:firstLine="0"/>
        <w:rPr>
          <w:rFonts w:eastAsia="Calibri"/>
        </w:rPr>
      </w:pPr>
      <w:r w:rsidRPr="00BD0223">
        <w:rPr>
          <w:rFonts w:eastAsia="Calibri"/>
        </w:rPr>
        <w:t>ICM</w:t>
      </w:r>
      <w:r w:rsidRPr="00BD0223">
        <w:rPr>
          <w:rFonts w:eastAsia="Calibri"/>
        </w:rPr>
        <w:tab/>
      </w:r>
      <w:r w:rsidRPr="00BD0223">
        <w:rPr>
          <w:rFonts w:eastAsia="Calibri"/>
        </w:rPr>
        <w:tab/>
        <w:t>Imposto Sobre Circulação de Mercadorias</w:t>
      </w:r>
    </w:p>
    <w:p w14:paraId="55993F47" w14:textId="77777777" w:rsidR="00891D7C" w:rsidRDefault="006D40F6" w:rsidP="00891D7C">
      <w:pPr>
        <w:pStyle w:val="TNORMAL"/>
        <w:ind w:left="1418" w:hanging="1418"/>
        <w:rPr>
          <w:rFonts w:eastAsia="Calibri"/>
        </w:rPr>
      </w:pPr>
      <w:r w:rsidRPr="00BD0223">
        <w:rPr>
          <w:rFonts w:eastAsia="Calibri"/>
        </w:rPr>
        <w:t>ICMS</w:t>
      </w:r>
      <w:r w:rsidRPr="00BD0223">
        <w:rPr>
          <w:rFonts w:eastAsia="Calibri"/>
        </w:rPr>
        <w:tab/>
      </w:r>
      <w:r w:rsidRPr="00891D7C">
        <w:rPr>
          <w:rFonts w:eastAsia="Calibri"/>
        </w:rPr>
        <w:t xml:space="preserve">Imposto Sobre </w:t>
      </w:r>
      <w:r w:rsidR="00891D7C" w:rsidRPr="00891D7C">
        <w:rPr>
          <w:rFonts w:eastAsia="Calibri"/>
        </w:rPr>
        <w:t>Operações relativas à Circulação de Mercadorias e sobre Prestações de Serviços de Transporte Interestadual, Intermunicipal e de Comunicação</w:t>
      </w:r>
    </w:p>
    <w:p w14:paraId="1606DE76" w14:textId="731D5C6F" w:rsidR="006D40F6" w:rsidRPr="00BD0223" w:rsidRDefault="006D40F6" w:rsidP="00891D7C">
      <w:pPr>
        <w:pStyle w:val="TNORMAL"/>
        <w:ind w:left="1418" w:hanging="1418"/>
        <w:rPr>
          <w:rFonts w:eastAsia="Calibri"/>
        </w:rPr>
      </w:pPr>
      <w:r w:rsidRPr="00891D7C">
        <w:rPr>
          <w:rFonts w:eastAsia="Calibri"/>
        </w:rPr>
        <w:t>IPI</w:t>
      </w:r>
      <w:r w:rsidRPr="00BD0223">
        <w:rPr>
          <w:rFonts w:eastAsia="Calibri"/>
        </w:rPr>
        <w:tab/>
        <w:t>Imposto Sobre Produtos Industrializados</w:t>
      </w:r>
    </w:p>
    <w:p w14:paraId="20910400" w14:textId="77777777" w:rsidR="006D40F6" w:rsidRPr="00BD0223" w:rsidRDefault="006D40F6" w:rsidP="000F0A4F">
      <w:pPr>
        <w:pStyle w:val="TNORMAL"/>
        <w:ind w:firstLine="0"/>
        <w:rPr>
          <w:rFonts w:eastAsia="Calibri"/>
        </w:rPr>
      </w:pPr>
      <w:r w:rsidRPr="00BD0223">
        <w:rPr>
          <w:rFonts w:eastAsia="Calibri"/>
        </w:rPr>
        <w:t>ISS</w:t>
      </w:r>
      <w:r w:rsidRPr="00BD0223">
        <w:rPr>
          <w:rFonts w:eastAsia="Calibri"/>
        </w:rPr>
        <w:tab/>
      </w:r>
      <w:r w:rsidRPr="00BD0223">
        <w:rPr>
          <w:rFonts w:eastAsia="Calibri"/>
        </w:rPr>
        <w:tab/>
        <w:t>Imposto Sobre Serviços</w:t>
      </w:r>
    </w:p>
    <w:p w14:paraId="76533123" w14:textId="77777777" w:rsidR="006D40F6" w:rsidRPr="00BD0223" w:rsidRDefault="006D40F6" w:rsidP="000F0A4F">
      <w:pPr>
        <w:pStyle w:val="TNORMAL"/>
        <w:ind w:firstLine="0"/>
        <w:rPr>
          <w:rFonts w:eastAsia="Calibri"/>
        </w:rPr>
      </w:pPr>
      <w:r w:rsidRPr="00BD0223">
        <w:rPr>
          <w:rFonts w:eastAsia="Calibri"/>
        </w:rPr>
        <w:t>IUCL</w:t>
      </w:r>
      <w:r w:rsidRPr="00BD0223">
        <w:rPr>
          <w:rFonts w:eastAsia="Calibri"/>
        </w:rPr>
        <w:tab/>
      </w:r>
      <w:r w:rsidRPr="00BD0223">
        <w:rPr>
          <w:rFonts w:eastAsia="Calibri"/>
        </w:rPr>
        <w:tab/>
        <w:t>Imposto Único Sobre Combustíveis Líquidos</w:t>
      </w:r>
    </w:p>
    <w:p w14:paraId="7091144E" w14:textId="77777777" w:rsidR="006D40F6" w:rsidRPr="00BD0223" w:rsidRDefault="006D40F6" w:rsidP="000F0A4F">
      <w:pPr>
        <w:pStyle w:val="TNORMAL"/>
        <w:ind w:firstLine="0"/>
        <w:rPr>
          <w:rFonts w:eastAsia="Calibri"/>
        </w:rPr>
      </w:pPr>
      <w:r w:rsidRPr="00BD0223">
        <w:rPr>
          <w:rFonts w:eastAsia="Calibri"/>
        </w:rPr>
        <w:t>MG</w:t>
      </w:r>
      <w:r w:rsidRPr="00BD0223">
        <w:rPr>
          <w:rFonts w:eastAsia="Calibri"/>
        </w:rPr>
        <w:tab/>
      </w:r>
      <w:r w:rsidRPr="00BD0223">
        <w:rPr>
          <w:rFonts w:eastAsia="Calibri"/>
        </w:rPr>
        <w:tab/>
        <w:t>Minas Gerais</w:t>
      </w:r>
    </w:p>
    <w:p w14:paraId="08C4F9A3" w14:textId="77777777" w:rsidR="006D40F6" w:rsidRPr="00BD0223" w:rsidRDefault="006D40F6" w:rsidP="000F0A4F">
      <w:pPr>
        <w:pStyle w:val="TNORMAL"/>
        <w:ind w:firstLine="0"/>
        <w:rPr>
          <w:rFonts w:eastAsia="Calibri"/>
        </w:rPr>
      </w:pPr>
      <w:r w:rsidRPr="00BD0223">
        <w:rPr>
          <w:rFonts w:eastAsia="Calibri"/>
        </w:rPr>
        <w:t>PEC</w:t>
      </w:r>
      <w:r w:rsidRPr="00BD0223">
        <w:rPr>
          <w:rFonts w:eastAsia="Calibri"/>
        </w:rPr>
        <w:tab/>
      </w:r>
      <w:r w:rsidRPr="00BD0223">
        <w:rPr>
          <w:rFonts w:eastAsia="Calibri"/>
        </w:rPr>
        <w:tab/>
        <w:t>Proposta de Ementa Constitucional</w:t>
      </w:r>
    </w:p>
    <w:p w14:paraId="07A99B17" w14:textId="77777777" w:rsidR="006D40F6" w:rsidRPr="00BD0223" w:rsidRDefault="006D40F6" w:rsidP="000F0A4F">
      <w:pPr>
        <w:pStyle w:val="TNORMAL"/>
        <w:ind w:firstLine="0"/>
        <w:rPr>
          <w:rFonts w:eastAsia="Calibri"/>
        </w:rPr>
      </w:pPr>
      <w:r w:rsidRPr="00BD0223">
        <w:rPr>
          <w:rFonts w:eastAsia="Calibri"/>
        </w:rPr>
        <w:t>PIS</w:t>
      </w:r>
      <w:r w:rsidRPr="00BD0223">
        <w:rPr>
          <w:rFonts w:eastAsia="Calibri"/>
        </w:rPr>
        <w:tab/>
      </w:r>
      <w:r w:rsidRPr="00BD0223">
        <w:rPr>
          <w:rFonts w:eastAsia="Calibri"/>
        </w:rPr>
        <w:tab/>
        <w:t>Programa de Integração Social</w:t>
      </w:r>
    </w:p>
    <w:p w14:paraId="10AF6FAA" w14:textId="77777777" w:rsidR="006D40F6" w:rsidRPr="00BD0223" w:rsidRDefault="006D40F6" w:rsidP="000F0A4F">
      <w:pPr>
        <w:pStyle w:val="TNORMAL"/>
        <w:ind w:firstLine="0"/>
        <w:rPr>
          <w:rFonts w:eastAsia="Calibri"/>
        </w:rPr>
      </w:pPr>
      <w:r w:rsidRPr="00BD0223">
        <w:rPr>
          <w:rFonts w:eastAsia="Calibri"/>
        </w:rPr>
        <w:t>RPPS</w:t>
      </w:r>
      <w:r w:rsidRPr="00BD0223">
        <w:rPr>
          <w:rFonts w:eastAsia="Calibri"/>
        </w:rPr>
        <w:tab/>
      </w:r>
      <w:r w:rsidRPr="00BD0223">
        <w:rPr>
          <w:rFonts w:eastAsia="Calibri"/>
        </w:rPr>
        <w:tab/>
        <w:t>Regime Próprio de Previdência Social</w:t>
      </w:r>
    </w:p>
    <w:p w14:paraId="355B89FA" w14:textId="77777777" w:rsidR="006D40F6" w:rsidRPr="00BD0223" w:rsidRDefault="006D40F6" w:rsidP="000F0A4F">
      <w:pPr>
        <w:pStyle w:val="TNORMAL"/>
        <w:ind w:firstLine="0"/>
        <w:rPr>
          <w:rFonts w:eastAsia="Calibri"/>
        </w:rPr>
      </w:pPr>
      <w:r w:rsidRPr="00BD0223">
        <w:rPr>
          <w:rFonts w:eastAsia="Calibri"/>
        </w:rPr>
        <w:t>SP</w:t>
      </w:r>
      <w:r w:rsidRPr="00BD0223">
        <w:rPr>
          <w:rFonts w:eastAsia="Calibri"/>
        </w:rPr>
        <w:tab/>
      </w:r>
      <w:r w:rsidRPr="00BD0223">
        <w:rPr>
          <w:rFonts w:eastAsia="Calibri"/>
        </w:rPr>
        <w:tab/>
        <w:t>São Paulo</w:t>
      </w:r>
    </w:p>
    <w:p w14:paraId="173B4AB4" w14:textId="3DEE3CB9" w:rsidR="00E31C01" w:rsidRPr="00BD0223" w:rsidRDefault="00E31C01" w:rsidP="00E31C01">
      <w:pPr>
        <w:pStyle w:val="TIT1pre-textuais"/>
      </w:pPr>
      <w:r w:rsidRPr="00BD0223">
        <w:lastRenderedPageBreak/>
        <w:t>SUM</w:t>
      </w:r>
      <w:r w:rsidR="009F38A6">
        <w:t>Á</w:t>
      </w:r>
      <w:r w:rsidRPr="00BD0223">
        <w:t>RIO</w:t>
      </w:r>
    </w:p>
    <w:p w14:paraId="1228E56D" w14:textId="7CA89DCD" w:rsidR="00E31C01" w:rsidRPr="00BD0223" w:rsidRDefault="00E31C01">
      <w:pPr>
        <w:pStyle w:val="Sumrio1"/>
        <w:rPr>
          <w:rFonts w:asciiTheme="minorHAnsi" w:eastAsiaTheme="minorEastAsia" w:hAnsiTheme="minorHAnsi" w:cstheme="minorBidi"/>
          <w:b w:val="0"/>
          <w:sz w:val="22"/>
          <w:szCs w:val="22"/>
          <w:lang w:eastAsia="pt-BR"/>
        </w:rPr>
      </w:pPr>
      <w:r w:rsidRPr="00BD0223">
        <w:fldChar w:fldCharType="begin"/>
      </w:r>
      <w:r w:rsidRPr="00BD0223">
        <w:instrText xml:space="preserve"> TOC \o "1-5" \u </w:instrText>
      </w:r>
      <w:r w:rsidRPr="00BD0223">
        <w:fldChar w:fldCharType="separate"/>
      </w:r>
      <w:r w:rsidRPr="00BD0223">
        <w:rPr>
          <w:rFonts w:asciiTheme="minorHAnsi" w:eastAsiaTheme="minorEastAsia" w:hAnsiTheme="minorHAnsi" w:cstheme="minorBidi"/>
          <w:b w:val="0"/>
          <w:sz w:val="22"/>
          <w:szCs w:val="22"/>
          <w:lang w:eastAsia="pt-BR"/>
        </w:rPr>
        <w:tab/>
      </w:r>
      <w:r w:rsidRPr="00BD0223">
        <w:t>INTRODUÇÃO</w:t>
      </w:r>
      <w:r w:rsidRPr="00BD0223">
        <w:tab/>
      </w:r>
      <w:r w:rsidRPr="00BD0223">
        <w:fldChar w:fldCharType="begin"/>
      </w:r>
      <w:r w:rsidRPr="00BD0223">
        <w:instrText xml:space="preserve"> PAGEREF _Toc55329604 \h </w:instrText>
      </w:r>
      <w:r w:rsidRPr="00BD0223">
        <w:fldChar w:fldCharType="separate"/>
      </w:r>
      <w:r w:rsidR="009A5BEE">
        <w:t>11</w:t>
      </w:r>
      <w:r w:rsidRPr="00BD0223">
        <w:fldChar w:fldCharType="end"/>
      </w:r>
    </w:p>
    <w:p w14:paraId="45F6308F" w14:textId="1D6C40FE" w:rsidR="00E31C01" w:rsidRPr="00BD0223" w:rsidRDefault="00891D7C">
      <w:pPr>
        <w:pStyle w:val="Sumrio1"/>
        <w:rPr>
          <w:rFonts w:asciiTheme="minorHAnsi" w:eastAsiaTheme="minorEastAsia" w:hAnsiTheme="minorHAnsi" w:cstheme="minorBidi"/>
          <w:b w:val="0"/>
          <w:sz w:val="22"/>
          <w:szCs w:val="22"/>
          <w:lang w:eastAsia="pt-BR"/>
        </w:rPr>
      </w:pPr>
      <w:r>
        <w:t>1</w:t>
      </w:r>
      <w:r w:rsidR="00E31C01" w:rsidRPr="00BD0223">
        <w:rPr>
          <w:rFonts w:asciiTheme="minorHAnsi" w:eastAsiaTheme="minorEastAsia" w:hAnsiTheme="minorHAnsi" w:cstheme="minorBidi"/>
          <w:b w:val="0"/>
          <w:sz w:val="22"/>
          <w:szCs w:val="22"/>
          <w:lang w:eastAsia="pt-BR"/>
        </w:rPr>
        <w:tab/>
      </w:r>
      <w:r w:rsidR="00E31C01" w:rsidRPr="00BD0223">
        <w:t>REFERENCIAL TEÓRICO</w:t>
      </w:r>
      <w:r w:rsidR="00E31C01" w:rsidRPr="00BD0223">
        <w:tab/>
      </w:r>
      <w:r w:rsidR="00F20823">
        <w:t>1</w:t>
      </w:r>
      <w:r w:rsidR="00AE03A1">
        <w:t>3</w:t>
      </w:r>
    </w:p>
    <w:p w14:paraId="10B1AD00" w14:textId="4D5A10EF" w:rsidR="00E31C01" w:rsidRPr="00BD0223" w:rsidRDefault="00891D7C">
      <w:pPr>
        <w:pStyle w:val="Sumrio2"/>
        <w:rPr>
          <w:rFonts w:asciiTheme="minorHAnsi" w:eastAsiaTheme="minorEastAsia" w:hAnsiTheme="minorHAnsi" w:cstheme="minorBidi"/>
          <w:sz w:val="22"/>
          <w:szCs w:val="22"/>
          <w:lang w:eastAsia="pt-BR"/>
        </w:rPr>
      </w:pPr>
      <w:r>
        <w:t>1</w:t>
      </w:r>
      <w:r w:rsidR="00E31C01" w:rsidRPr="00BD0223">
        <w:t>.1</w:t>
      </w:r>
      <w:r w:rsidR="00E31C01" w:rsidRPr="00BD0223">
        <w:rPr>
          <w:rFonts w:asciiTheme="minorHAnsi" w:eastAsiaTheme="minorEastAsia" w:hAnsiTheme="minorHAnsi" w:cstheme="minorBidi"/>
          <w:sz w:val="22"/>
          <w:szCs w:val="22"/>
          <w:lang w:eastAsia="pt-BR"/>
        </w:rPr>
        <w:tab/>
      </w:r>
      <w:r w:rsidR="00E31C01" w:rsidRPr="00BD0223">
        <w:t>TEORIA DAS FINANÇAS PÚBLICAS</w:t>
      </w:r>
      <w:r w:rsidR="00E31C01" w:rsidRPr="00BD0223">
        <w:tab/>
      </w:r>
      <w:r w:rsidR="00F20823">
        <w:t>1</w:t>
      </w:r>
      <w:r w:rsidR="00AE03A1">
        <w:t>4</w:t>
      </w:r>
    </w:p>
    <w:p w14:paraId="0B46A4AE" w14:textId="6170BC94" w:rsidR="00E31C01" w:rsidRPr="00BD0223" w:rsidRDefault="00891D7C">
      <w:pPr>
        <w:pStyle w:val="Sumrio2"/>
        <w:rPr>
          <w:rFonts w:asciiTheme="minorHAnsi" w:eastAsiaTheme="minorEastAsia" w:hAnsiTheme="minorHAnsi" w:cstheme="minorBidi"/>
          <w:sz w:val="22"/>
          <w:szCs w:val="22"/>
          <w:lang w:eastAsia="pt-BR"/>
        </w:rPr>
      </w:pPr>
      <w:r>
        <w:t>1</w:t>
      </w:r>
      <w:r w:rsidR="00E31C01" w:rsidRPr="00BD0223">
        <w:t>.2</w:t>
      </w:r>
      <w:r w:rsidR="00E31C01" w:rsidRPr="00BD0223">
        <w:rPr>
          <w:rFonts w:asciiTheme="minorHAnsi" w:eastAsiaTheme="minorEastAsia" w:hAnsiTheme="minorHAnsi" w:cstheme="minorBidi"/>
          <w:sz w:val="22"/>
          <w:szCs w:val="22"/>
          <w:lang w:eastAsia="pt-BR"/>
        </w:rPr>
        <w:tab/>
      </w:r>
      <w:r w:rsidR="00E31C01" w:rsidRPr="00BD0223">
        <w:t>TEORIA DA TRIBUTAÇÃO ÓTIMA</w:t>
      </w:r>
      <w:r w:rsidR="00E31C01" w:rsidRPr="00BD0223">
        <w:tab/>
      </w:r>
      <w:r w:rsidR="00F20823">
        <w:t>1</w:t>
      </w:r>
      <w:r w:rsidR="00AE03A1">
        <w:t>5</w:t>
      </w:r>
    </w:p>
    <w:p w14:paraId="30286C39" w14:textId="42FEF502" w:rsidR="00E31C01" w:rsidRPr="00BD0223" w:rsidRDefault="00891D7C">
      <w:pPr>
        <w:pStyle w:val="Sumrio1"/>
        <w:rPr>
          <w:rFonts w:asciiTheme="minorHAnsi" w:eastAsiaTheme="minorEastAsia" w:hAnsiTheme="minorHAnsi" w:cstheme="minorBidi"/>
          <w:b w:val="0"/>
          <w:sz w:val="22"/>
          <w:szCs w:val="22"/>
          <w:lang w:eastAsia="pt-BR"/>
        </w:rPr>
      </w:pPr>
      <w:r>
        <w:t>2</w:t>
      </w:r>
      <w:r w:rsidR="00E31C01" w:rsidRPr="00BD0223">
        <w:rPr>
          <w:rFonts w:asciiTheme="minorHAnsi" w:eastAsiaTheme="minorEastAsia" w:hAnsiTheme="minorHAnsi" w:cstheme="minorBidi"/>
          <w:b w:val="0"/>
          <w:sz w:val="22"/>
          <w:szCs w:val="22"/>
          <w:lang w:eastAsia="pt-BR"/>
        </w:rPr>
        <w:tab/>
      </w:r>
      <w:r w:rsidR="00E31C01" w:rsidRPr="00BD0223">
        <w:t xml:space="preserve">HISTÓRICO E CARACTERIZAÇÃO DO </w:t>
      </w:r>
      <w:r w:rsidR="003C6867">
        <w:t>ICMS</w:t>
      </w:r>
      <w:r w:rsidR="00E31C01" w:rsidRPr="00BD0223">
        <w:t xml:space="preserve"> INCIDENTE NOS COMBUSTÍVEIS NO BRASIL</w:t>
      </w:r>
      <w:r w:rsidR="00E31C01" w:rsidRPr="00BD0223">
        <w:tab/>
      </w:r>
      <w:r w:rsidR="00F20823">
        <w:t>1</w:t>
      </w:r>
      <w:r w:rsidR="000D2E6F">
        <w:t>7</w:t>
      </w:r>
    </w:p>
    <w:p w14:paraId="19CC855A" w14:textId="03C1EA29" w:rsidR="00E31C01" w:rsidRPr="00BD0223" w:rsidRDefault="00891D7C">
      <w:pPr>
        <w:pStyle w:val="Sumrio2"/>
        <w:rPr>
          <w:rFonts w:asciiTheme="minorHAnsi" w:eastAsiaTheme="minorEastAsia" w:hAnsiTheme="minorHAnsi" w:cstheme="minorBidi"/>
          <w:sz w:val="22"/>
          <w:szCs w:val="22"/>
          <w:lang w:eastAsia="pt-BR"/>
        </w:rPr>
      </w:pPr>
      <w:r>
        <w:t>2</w:t>
      </w:r>
      <w:r w:rsidR="00E31C01" w:rsidRPr="00BD0223">
        <w:t>.1</w:t>
      </w:r>
      <w:r w:rsidR="00E31C01" w:rsidRPr="00BD0223">
        <w:rPr>
          <w:rFonts w:asciiTheme="minorHAnsi" w:eastAsiaTheme="minorEastAsia" w:hAnsiTheme="minorHAnsi" w:cstheme="minorBidi"/>
          <w:sz w:val="22"/>
          <w:szCs w:val="22"/>
          <w:lang w:eastAsia="pt-BR"/>
        </w:rPr>
        <w:tab/>
      </w:r>
      <w:r w:rsidR="00E31C01" w:rsidRPr="00BD0223">
        <w:t xml:space="preserve">CRIAÇÃO E EVOLUÇÃO DO </w:t>
      </w:r>
      <w:r w:rsidR="003C6867">
        <w:t>ICMS</w:t>
      </w:r>
      <w:r w:rsidR="00E31C01" w:rsidRPr="00BD0223">
        <w:tab/>
      </w:r>
      <w:r w:rsidR="00F20823">
        <w:t>1</w:t>
      </w:r>
      <w:r w:rsidR="000D2E6F">
        <w:t>7</w:t>
      </w:r>
    </w:p>
    <w:p w14:paraId="56247B7A" w14:textId="70343E1D" w:rsidR="00E31C01" w:rsidRPr="00BD0223" w:rsidRDefault="00891D7C">
      <w:pPr>
        <w:pStyle w:val="Sumrio2"/>
        <w:rPr>
          <w:rFonts w:asciiTheme="minorHAnsi" w:eastAsiaTheme="minorEastAsia" w:hAnsiTheme="minorHAnsi" w:cstheme="minorBidi"/>
          <w:sz w:val="22"/>
          <w:szCs w:val="22"/>
          <w:lang w:eastAsia="pt-BR"/>
        </w:rPr>
      </w:pPr>
      <w:r>
        <w:t>2</w:t>
      </w:r>
      <w:r w:rsidR="00E31C01" w:rsidRPr="00BD0223">
        <w:t>.2</w:t>
      </w:r>
      <w:r w:rsidR="00E31C01" w:rsidRPr="00BD0223">
        <w:rPr>
          <w:rFonts w:asciiTheme="minorHAnsi" w:eastAsiaTheme="minorEastAsia" w:hAnsiTheme="minorHAnsi" w:cstheme="minorBidi"/>
          <w:sz w:val="22"/>
          <w:szCs w:val="22"/>
          <w:lang w:eastAsia="pt-BR"/>
        </w:rPr>
        <w:tab/>
      </w:r>
      <w:r w:rsidR="00E31C01" w:rsidRPr="00BD0223">
        <w:t>CARACTERIZAÇÃO DO</w:t>
      </w:r>
      <w:r w:rsidR="003C6867">
        <w:t xml:space="preserve"> ICMS</w:t>
      </w:r>
      <w:r w:rsidR="00E31C01" w:rsidRPr="00BD0223">
        <w:tab/>
      </w:r>
      <w:r w:rsidR="00F20823">
        <w:t>1</w:t>
      </w:r>
      <w:r w:rsidR="000D2E6F">
        <w:t>8</w:t>
      </w:r>
    </w:p>
    <w:p w14:paraId="50A1D07C" w14:textId="6C1DBAC6" w:rsidR="00E31C01" w:rsidRPr="00BD0223" w:rsidRDefault="00891D7C">
      <w:pPr>
        <w:pStyle w:val="Sumrio2"/>
        <w:rPr>
          <w:rFonts w:asciiTheme="minorHAnsi" w:eastAsiaTheme="minorEastAsia" w:hAnsiTheme="minorHAnsi" w:cstheme="minorBidi"/>
          <w:sz w:val="22"/>
          <w:szCs w:val="22"/>
          <w:lang w:eastAsia="pt-BR"/>
        </w:rPr>
      </w:pPr>
      <w:r>
        <w:t>2</w:t>
      </w:r>
      <w:r w:rsidR="00E31C01" w:rsidRPr="00BD0223">
        <w:t>.3</w:t>
      </w:r>
      <w:r w:rsidR="00E31C01" w:rsidRPr="00BD0223">
        <w:rPr>
          <w:rFonts w:asciiTheme="minorHAnsi" w:eastAsiaTheme="minorEastAsia" w:hAnsiTheme="minorHAnsi" w:cstheme="minorBidi"/>
          <w:sz w:val="22"/>
          <w:szCs w:val="22"/>
          <w:lang w:eastAsia="pt-BR"/>
        </w:rPr>
        <w:tab/>
      </w:r>
      <w:r w:rsidR="00E31C01" w:rsidRPr="00BD0223">
        <w:t xml:space="preserve">O </w:t>
      </w:r>
      <w:r w:rsidR="003C6867">
        <w:t>ICMS</w:t>
      </w:r>
      <w:r w:rsidR="00E31C01" w:rsidRPr="00BD0223">
        <w:t xml:space="preserve"> E O HISTÓRICO DA TRIBUTAÇÃO SOBRE OS COMBUSTÍVEIS</w:t>
      </w:r>
      <w:r w:rsidR="00E31C01" w:rsidRPr="00BD0223">
        <w:tab/>
      </w:r>
      <w:r w:rsidR="00F20823">
        <w:t>2</w:t>
      </w:r>
      <w:r w:rsidR="000D2E6F">
        <w:t>1</w:t>
      </w:r>
    </w:p>
    <w:p w14:paraId="6AC804BA" w14:textId="67007B58" w:rsidR="00E31C01" w:rsidRPr="00BD0223" w:rsidRDefault="00891D7C">
      <w:pPr>
        <w:pStyle w:val="Sumrio2"/>
        <w:rPr>
          <w:rFonts w:asciiTheme="minorHAnsi" w:eastAsiaTheme="minorEastAsia" w:hAnsiTheme="minorHAnsi" w:cstheme="minorBidi"/>
          <w:sz w:val="22"/>
          <w:szCs w:val="22"/>
          <w:lang w:eastAsia="pt-BR"/>
        </w:rPr>
      </w:pPr>
      <w:r>
        <w:t>2</w:t>
      </w:r>
      <w:r w:rsidR="00E31C01" w:rsidRPr="00BD0223">
        <w:t>.4</w:t>
      </w:r>
      <w:r w:rsidR="00E31C01" w:rsidRPr="00BD0223">
        <w:rPr>
          <w:rFonts w:asciiTheme="minorHAnsi" w:eastAsiaTheme="minorEastAsia" w:hAnsiTheme="minorHAnsi" w:cstheme="minorBidi"/>
          <w:sz w:val="22"/>
          <w:szCs w:val="22"/>
          <w:lang w:eastAsia="pt-BR"/>
        </w:rPr>
        <w:tab/>
      </w:r>
      <w:r w:rsidR="00E31C01" w:rsidRPr="00BD0223">
        <w:t>A CADEIA PRODUTIVA DE PETRÓLEO E GÁS E UMA POSSÍVEL REFORMA TRIBUTÁRIA</w:t>
      </w:r>
      <w:r w:rsidR="00E31C01" w:rsidRPr="00BD0223">
        <w:tab/>
      </w:r>
      <w:r w:rsidR="00F20823">
        <w:t>2</w:t>
      </w:r>
      <w:r w:rsidR="000D2E6F">
        <w:t>4</w:t>
      </w:r>
    </w:p>
    <w:p w14:paraId="166A520D" w14:textId="1597E4D4" w:rsidR="00E31C01" w:rsidRPr="00BD0223" w:rsidRDefault="00891D7C">
      <w:pPr>
        <w:pStyle w:val="Sumrio1"/>
        <w:rPr>
          <w:rFonts w:asciiTheme="minorHAnsi" w:eastAsiaTheme="minorEastAsia" w:hAnsiTheme="minorHAnsi" w:cstheme="minorBidi"/>
          <w:b w:val="0"/>
          <w:sz w:val="22"/>
          <w:szCs w:val="22"/>
          <w:lang w:eastAsia="pt-BR"/>
        </w:rPr>
      </w:pPr>
      <w:r>
        <w:t>3</w:t>
      </w:r>
      <w:r w:rsidR="00E31C01" w:rsidRPr="00BD0223">
        <w:rPr>
          <w:rFonts w:asciiTheme="minorHAnsi" w:eastAsiaTheme="minorEastAsia" w:hAnsiTheme="minorHAnsi" w:cstheme="minorBidi"/>
          <w:b w:val="0"/>
          <w:sz w:val="22"/>
          <w:szCs w:val="22"/>
          <w:lang w:eastAsia="pt-BR"/>
        </w:rPr>
        <w:tab/>
      </w:r>
      <w:r w:rsidR="00E31C01" w:rsidRPr="00BD0223">
        <w:t>A CRISE FISCAL DO ESTADO DE MINAS GERAIS E A IMPORTÂNCIA DA ARRECADAÇÃO DO ICMS INCIDENTE SOBRE PRODUTOS ESPECÍFICOS</w:t>
      </w:r>
      <w:r w:rsidR="00E31C01" w:rsidRPr="00BD0223">
        <w:tab/>
      </w:r>
      <w:r w:rsidR="00995906">
        <w:t>2</w:t>
      </w:r>
      <w:r w:rsidR="000D2E6F">
        <w:t>6</w:t>
      </w:r>
    </w:p>
    <w:p w14:paraId="07DA8794" w14:textId="46AD7AF5" w:rsidR="00E31C01" w:rsidRPr="00BD0223" w:rsidRDefault="00891D7C">
      <w:pPr>
        <w:pStyle w:val="Sumrio2"/>
        <w:rPr>
          <w:rFonts w:asciiTheme="minorHAnsi" w:eastAsiaTheme="minorEastAsia" w:hAnsiTheme="minorHAnsi" w:cstheme="minorBidi"/>
          <w:sz w:val="22"/>
          <w:szCs w:val="22"/>
          <w:lang w:eastAsia="pt-BR"/>
        </w:rPr>
      </w:pPr>
      <w:r>
        <w:t>3</w:t>
      </w:r>
      <w:r w:rsidR="00E31C01" w:rsidRPr="00BD0223">
        <w:t>.1</w:t>
      </w:r>
      <w:r w:rsidR="00E31C01" w:rsidRPr="00BD0223">
        <w:rPr>
          <w:rFonts w:asciiTheme="minorHAnsi" w:eastAsiaTheme="minorEastAsia" w:hAnsiTheme="minorHAnsi" w:cstheme="minorBidi"/>
          <w:sz w:val="22"/>
          <w:szCs w:val="22"/>
          <w:lang w:eastAsia="pt-BR"/>
        </w:rPr>
        <w:tab/>
      </w:r>
      <w:r w:rsidR="00E31C01" w:rsidRPr="00BD0223">
        <w:t>O SISTEMA FEDERATIVO</w:t>
      </w:r>
      <w:r w:rsidR="00E31C01" w:rsidRPr="00BD0223">
        <w:tab/>
      </w:r>
      <w:r w:rsidR="00995906">
        <w:t>2</w:t>
      </w:r>
      <w:r w:rsidR="000D2E6F">
        <w:t>6</w:t>
      </w:r>
    </w:p>
    <w:p w14:paraId="658FFDD9" w14:textId="6C4027E2" w:rsidR="00E31C01" w:rsidRPr="00BD0223" w:rsidRDefault="00891D7C">
      <w:pPr>
        <w:pStyle w:val="Sumrio2"/>
        <w:rPr>
          <w:rFonts w:asciiTheme="minorHAnsi" w:eastAsiaTheme="minorEastAsia" w:hAnsiTheme="minorHAnsi" w:cstheme="minorBidi"/>
          <w:sz w:val="22"/>
          <w:szCs w:val="22"/>
          <w:lang w:eastAsia="pt-BR"/>
        </w:rPr>
      </w:pPr>
      <w:r>
        <w:t>3</w:t>
      </w:r>
      <w:r w:rsidR="00E31C01" w:rsidRPr="00BD0223">
        <w:t>.2</w:t>
      </w:r>
      <w:r w:rsidR="00E31C01" w:rsidRPr="00BD0223">
        <w:rPr>
          <w:rFonts w:asciiTheme="minorHAnsi" w:eastAsiaTheme="minorEastAsia" w:hAnsiTheme="minorHAnsi" w:cstheme="minorBidi"/>
          <w:sz w:val="22"/>
          <w:szCs w:val="22"/>
          <w:lang w:eastAsia="pt-BR"/>
        </w:rPr>
        <w:tab/>
      </w:r>
      <w:r w:rsidR="00E31C01" w:rsidRPr="00BD0223">
        <w:t>A DÍVIDA DOS ESTADOS</w:t>
      </w:r>
      <w:r w:rsidR="00E31C01" w:rsidRPr="00BD0223">
        <w:tab/>
      </w:r>
      <w:r w:rsidR="00995906">
        <w:t>2</w:t>
      </w:r>
      <w:r w:rsidR="000D2E6F">
        <w:t>7</w:t>
      </w:r>
    </w:p>
    <w:p w14:paraId="600A59CD" w14:textId="59E7C441" w:rsidR="00E31C01" w:rsidRPr="00BD0223" w:rsidRDefault="00891D7C">
      <w:pPr>
        <w:pStyle w:val="Sumrio2"/>
        <w:rPr>
          <w:rFonts w:asciiTheme="minorHAnsi" w:eastAsiaTheme="minorEastAsia" w:hAnsiTheme="minorHAnsi" w:cstheme="minorBidi"/>
          <w:sz w:val="22"/>
          <w:szCs w:val="22"/>
          <w:lang w:eastAsia="pt-BR"/>
        </w:rPr>
      </w:pPr>
      <w:r>
        <w:t>3</w:t>
      </w:r>
      <w:r w:rsidR="00E31C01" w:rsidRPr="00BD0223">
        <w:t>.3</w:t>
      </w:r>
      <w:r w:rsidR="00E31C01" w:rsidRPr="00BD0223">
        <w:rPr>
          <w:rFonts w:asciiTheme="minorHAnsi" w:eastAsiaTheme="minorEastAsia" w:hAnsiTheme="minorHAnsi" w:cstheme="minorBidi"/>
          <w:sz w:val="22"/>
          <w:szCs w:val="22"/>
          <w:lang w:eastAsia="pt-BR"/>
        </w:rPr>
        <w:tab/>
      </w:r>
      <w:r w:rsidR="00E31C01" w:rsidRPr="00BD0223">
        <w:t>A ATUAL CRISE FISCAL DO ESTADO DE MINAS GERAIS</w:t>
      </w:r>
      <w:r w:rsidR="00E31C01" w:rsidRPr="00BD0223">
        <w:tab/>
      </w:r>
      <w:r w:rsidR="000D2E6F">
        <w:t>29</w:t>
      </w:r>
    </w:p>
    <w:p w14:paraId="082403DD" w14:textId="7A90A5DC" w:rsidR="00E31C01" w:rsidRPr="00BD0223" w:rsidRDefault="00891D7C">
      <w:pPr>
        <w:pStyle w:val="Sumrio2"/>
        <w:rPr>
          <w:rFonts w:asciiTheme="minorHAnsi" w:eastAsiaTheme="minorEastAsia" w:hAnsiTheme="minorHAnsi" w:cstheme="minorBidi"/>
          <w:sz w:val="22"/>
          <w:szCs w:val="22"/>
          <w:lang w:eastAsia="pt-BR"/>
        </w:rPr>
      </w:pPr>
      <w:r>
        <w:t>3</w:t>
      </w:r>
      <w:r w:rsidR="00E31C01" w:rsidRPr="00BD0223">
        <w:t>.4</w:t>
      </w:r>
      <w:r w:rsidR="00E31C01" w:rsidRPr="00BD0223">
        <w:rPr>
          <w:rFonts w:asciiTheme="minorHAnsi" w:eastAsiaTheme="minorEastAsia" w:hAnsiTheme="minorHAnsi" w:cstheme="minorBidi"/>
          <w:sz w:val="22"/>
          <w:szCs w:val="22"/>
          <w:lang w:eastAsia="pt-BR"/>
        </w:rPr>
        <w:tab/>
      </w:r>
      <w:r w:rsidR="00E31C01" w:rsidRPr="00BD0223">
        <w:t>ARRECADAÇÃO DE ICMS DO ESTADO DE MINAS GERAIS</w:t>
      </w:r>
      <w:r w:rsidR="00E31C01" w:rsidRPr="00BD0223">
        <w:tab/>
      </w:r>
      <w:r w:rsidR="000D2E6F">
        <w:t>33</w:t>
      </w:r>
    </w:p>
    <w:p w14:paraId="68B4E876" w14:textId="6AAA2864" w:rsidR="00E31C01" w:rsidRPr="003C6867" w:rsidRDefault="00891D7C">
      <w:pPr>
        <w:pStyle w:val="Sumrio3"/>
        <w:rPr>
          <w:rFonts w:asciiTheme="minorHAnsi" w:eastAsiaTheme="minorEastAsia" w:hAnsiTheme="minorHAnsi" w:cstheme="minorBidi"/>
          <w:b w:val="0"/>
          <w:bCs/>
          <w:sz w:val="22"/>
          <w:szCs w:val="22"/>
          <w:lang w:eastAsia="pt-BR"/>
        </w:rPr>
      </w:pPr>
      <w:r>
        <w:rPr>
          <w:b w:val="0"/>
          <w:bCs/>
        </w:rPr>
        <w:t>3</w:t>
      </w:r>
      <w:r w:rsidR="00E31C01" w:rsidRPr="003C6867">
        <w:rPr>
          <w:b w:val="0"/>
          <w:bCs/>
        </w:rPr>
        <w:t>.4.1</w:t>
      </w:r>
      <w:r w:rsidR="00E31C01" w:rsidRPr="003C6867">
        <w:rPr>
          <w:rFonts w:asciiTheme="minorHAnsi" w:eastAsiaTheme="minorEastAsia" w:hAnsiTheme="minorHAnsi" w:cstheme="minorBidi"/>
          <w:b w:val="0"/>
          <w:bCs/>
          <w:sz w:val="22"/>
          <w:szCs w:val="22"/>
          <w:lang w:eastAsia="pt-BR"/>
        </w:rPr>
        <w:tab/>
      </w:r>
      <w:r w:rsidR="00E31C01" w:rsidRPr="003C6867">
        <w:rPr>
          <w:b w:val="0"/>
          <w:bCs/>
        </w:rPr>
        <w:t>Impacto do aumento de alíquotas de ICMS de acordo com a sensibilidade da demanda pelo produto</w:t>
      </w:r>
      <w:r w:rsidR="00E31C01" w:rsidRPr="003C6867">
        <w:rPr>
          <w:b w:val="0"/>
          <w:bCs/>
        </w:rPr>
        <w:tab/>
      </w:r>
      <w:r w:rsidR="00995906">
        <w:rPr>
          <w:b w:val="0"/>
          <w:bCs/>
        </w:rPr>
        <w:t>3</w:t>
      </w:r>
      <w:r w:rsidR="000D2E6F">
        <w:rPr>
          <w:b w:val="0"/>
          <w:bCs/>
        </w:rPr>
        <w:t>3</w:t>
      </w:r>
    </w:p>
    <w:p w14:paraId="7F46D307" w14:textId="51681780" w:rsidR="00E31C01" w:rsidRPr="003C6867" w:rsidRDefault="00891D7C">
      <w:pPr>
        <w:pStyle w:val="Sumrio3"/>
        <w:rPr>
          <w:rFonts w:asciiTheme="minorHAnsi" w:eastAsiaTheme="minorEastAsia" w:hAnsiTheme="minorHAnsi" w:cstheme="minorBidi"/>
          <w:b w:val="0"/>
          <w:bCs/>
          <w:sz w:val="22"/>
          <w:szCs w:val="22"/>
          <w:lang w:eastAsia="pt-BR"/>
        </w:rPr>
      </w:pPr>
      <w:r>
        <w:rPr>
          <w:b w:val="0"/>
          <w:bCs/>
        </w:rPr>
        <w:t>3</w:t>
      </w:r>
      <w:r w:rsidR="00E31C01" w:rsidRPr="003C6867">
        <w:rPr>
          <w:b w:val="0"/>
          <w:bCs/>
        </w:rPr>
        <w:t>.4.2</w:t>
      </w:r>
      <w:r w:rsidR="00E31C01" w:rsidRPr="003C6867">
        <w:rPr>
          <w:rFonts w:asciiTheme="minorHAnsi" w:eastAsiaTheme="minorEastAsia" w:hAnsiTheme="minorHAnsi" w:cstheme="minorBidi"/>
          <w:b w:val="0"/>
          <w:bCs/>
          <w:sz w:val="22"/>
          <w:szCs w:val="22"/>
          <w:lang w:eastAsia="pt-BR"/>
        </w:rPr>
        <w:tab/>
      </w:r>
      <w:r w:rsidR="00E31C01" w:rsidRPr="003C6867">
        <w:rPr>
          <w:b w:val="0"/>
          <w:bCs/>
        </w:rPr>
        <w:t>Energia Elétrica</w:t>
      </w:r>
      <w:r w:rsidR="00E31C01" w:rsidRPr="003C6867">
        <w:rPr>
          <w:b w:val="0"/>
          <w:bCs/>
        </w:rPr>
        <w:tab/>
      </w:r>
      <w:r w:rsidR="00995906">
        <w:rPr>
          <w:b w:val="0"/>
          <w:bCs/>
        </w:rPr>
        <w:t>3</w:t>
      </w:r>
      <w:r w:rsidR="000D2E6F">
        <w:rPr>
          <w:b w:val="0"/>
          <w:bCs/>
        </w:rPr>
        <w:t>6</w:t>
      </w:r>
    </w:p>
    <w:p w14:paraId="5B1A9D6A" w14:textId="27424882" w:rsidR="00E31C01" w:rsidRPr="003C6867" w:rsidRDefault="00891D7C">
      <w:pPr>
        <w:pStyle w:val="Sumrio3"/>
        <w:rPr>
          <w:rFonts w:asciiTheme="minorHAnsi" w:eastAsiaTheme="minorEastAsia" w:hAnsiTheme="minorHAnsi" w:cstheme="minorBidi"/>
          <w:b w:val="0"/>
          <w:bCs/>
          <w:sz w:val="22"/>
          <w:szCs w:val="22"/>
          <w:lang w:eastAsia="pt-BR"/>
        </w:rPr>
      </w:pPr>
      <w:r>
        <w:rPr>
          <w:b w:val="0"/>
          <w:bCs/>
        </w:rPr>
        <w:t>3</w:t>
      </w:r>
      <w:r w:rsidR="00E31C01" w:rsidRPr="003C6867">
        <w:rPr>
          <w:b w:val="0"/>
          <w:bCs/>
        </w:rPr>
        <w:t>.4.3</w:t>
      </w:r>
      <w:r w:rsidR="00E31C01" w:rsidRPr="003C6867">
        <w:rPr>
          <w:rFonts w:asciiTheme="minorHAnsi" w:eastAsiaTheme="minorEastAsia" w:hAnsiTheme="minorHAnsi" w:cstheme="minorBidi"/>
          <w:b w:val="0"/>
          <w:bCs/>
          <w:sz w:val="22"/>
          <w:szCs w:val="22"/>
          <w:lang w:eastAsia="pt-BR"/>
        </w:rPr>
        <w:tab/>
      </w:r>
      <w:r w:rsidR="00E31C01" w:rsidRPr="003C6867">
        <w:rPr>
          <w:b w:val="0"/>
          <w:bCs/>
        </w:rPr>
        <w:t>Telecomunicações</w:t>
      </w:r>
      <w:r w:rsidR="00E31C01" w:rsidRPr="003C6867">
        <w:rPr>
          <w:b w:val="0"/>
          <w:bCs/>
        </w:rPr>
        <w:tab/>
      </w:r>
      <w:r w:rsidR="00995906">
        <w:rPr>
          <w:b w:val="0"/>
          <w:bCs/>
        </w:rPr>
        <w:t>3</w:t>
      </w:r>
      <w:r w:rsidR="000D2E6F">
        <w:rPr>
          <w:b w:val="0"/>
          <w:bCs/>
        </w:rPr>
        <w:t>8</w:t>
      </w:r>
    </w:p>
    <w:p w14:paraId="388B55CB" w14:textId="7B2996D6" w:rsidR="000D2E6F" w:rsidRPr="000D2E6F" w:rsidRDefault="00891D7C" w:rsidP="000D2E6F">
      <w:pPr>
        <w:pStyle w:val="Sumrio3"/>
        <w:rPr>
          <w:b w:val="0"/>
          <w:bCs/>
        </w:rPr>
      </w:pPr>
      <w:r>
        <w:rPr>
          <w:b w:val="0"/>
          <w:bCs/>
        </w:rPr>
        <w:t>3</w:t>
      </w:r>
      <w:r w:rsidR="00E31C01" w:rsidRPr="003C6867">
        <w:rPr>
          <w:b w:val="0"/>
          <w:bCs/>
        </w:rPr>
        <w:t>.4.4</w:t>
      </w:r>
      <w:r w:rsidR="00E31C01" w:rsidRPr="003C6867">
        <w:rPr>
          <w:rFonts w:asciiTheme="minorHAnsi" w:eastAsiaTheme="minorEastAsia" w:hAnsiTheme="minorHAnsi" w:cstheme="minorBidi"/>
          <w:b w:val="0"/>
          <w:bCs/>
          <w:sz w:val="22"/>
          <w:szCs w:val="22"/>
          <w:lang w:eastAsia="pt-BR"/>
        </w:rPr>
        <w:tab/>
      </w:r>
      <w:r w:rsidR="00E31C01" w:rsidRPr="003C6867">
        <w:rPr>
          <w:b w:val="0"/>
          <w:bCs/>
        </w:rPr>
        <w:t>Bebidas</w:t>
      </w:r>
      <w:r w:rsidR="00E31C01" w:rsidRPr="003C6867">
        <w:rPr>
          <w:b w:val="0"/>
          <w:bCs/>
        </w:rPr>
        <w:tab/>
      </w:r>
      <w:r w:rsidR="000D2E6F">
        <w:rPr>
          <w:b w:val="0"/>
          <w:bCs/>
        </w:rPr>
        <w:t>39</w:t>
      </w:r>
    </w:p>
    <w:p w14:paraId="0D0C4D4C" w14:textId="7972EB93" w:rsidR="00E31C01" w:rsidRPr="003C6867" w:rsidRDefault="00891D7C">
      <w:pPr>
        <w:pStyle w:val="Sumrio3"/>
        <w:rPr>
          <w:rFonts w:asciiTheme="minorHAnsi" w:eastAsiaTheme="minorEastAsia" w:hAnsiTheme="minorHAnsi" w:cstheme="minorBidi"/>
          <w:b w:val="0"/>
          <w:bCs/>
          <w:sz w:val="22"/>
          <w:szCs w:val="22"/>
          <w:lang w:eastAsia="pt-BR"/>
        </w:rPr>
      </w:pPr>
      <w:r>
        <w:rPr>
          <w:b w:val="0"/>
          <w:bCs/>
        </w:rPr>
        <w:t>3</w:t>
      </w:r>
      <w:r w:rsidR="00E31C01" w:rsidRPr="003C6867">
        <w:rPr>
          <w:b w:val="0"/>
          <w:bCs/>
        </w:rPr>
        <w:t>.4.5</w:t>
      </w:r>
      <w:r w:rsidR="00E31C01" w:rsidRPr="003C6867">
        <w:rPr>
          <w:rFonts w:asciiTheme="minorHAnsi" w:eastAsiaTheme="minorEastAsia" w:hAnsiTheme="minorHAnsi" w:cstheme="minorBidi"/>
          <w:b w:val="0"/>
          <w:bCs/>
          <w:sz w:val="22"/>
          <w:szCs w:val="22"/>
          <w:lang w:eastAsia="pt-BR"/>
        </w:rPr>
        <w:tab/>
      </w:r>
      <w:r w:rsidR="00E31C01" w:rsidRPr="003C6867">
        <w:rPr>
          <w:b w:val="0"/>
          <w:bCs/>
        </w:rPr>
        <w:t>Combustíveis</w:t>
      </w:r>
      <w:r w:rsidR="00E31C01" w:rsidRPr="003C6867">
        <w:rPr>
          <w:b w:val="0"/>
          <w:bCs/>
        </w:rPr>
        <w:tab/>
      </w:r>
      <w:r w:rsidR="00995906">
        <w:rPr>
          <w:b w:val="0"/>
          <w:bCs/>
        </w:rPr>
        <w:t>4</w:t>
      </w:r>
      <w:r w:rsidR="000D2E6F">
        <w:rPr>
          <w:b w:val="0"/>
          <w:bCs/>
        </w:rPr>
        <w:t>0</w:t>
      </w:r>
    </w:p>
    <w:p w14:paraId="4AE482E0" w14:textId="2D7536AD" w:rsidR="00E31C01" w:rsidRPr="00BD0223" w:rsidRDefault="00891D7C">
      <w:pPr>
        <w:pStyle w:val="Sumrio1"/>
        <w:rPr>
          <w:rFonts w:asciiTheme="minorHAnsi" w:eastAsiaTheme="minorEastAsia" w:hAnsiTheme="minorHAnsi" w:cstheme="minorBidi"/>
          <w:b w:val="0"/>
          <w:sz w:val="22"/>
          <w:szCs w:val="22"/>
          <w:lang w:eastAsia="pt-BR"/>
        </w:rPr>
      </w:pPr>
      <w:r>
        <w:t>4</w:t>
      </w:r>
      <w:r w:rsidR="00E31C01" w:rsidRPr="00BD0223">
        <w:rPr>
          <w:rFonts w:asciiTheme="minorHAnsi" w:eastAsiaTheme="minorEastAsia" w:hAnsiTheme="minorHAnsi" w:cstheme="minorBidi"/>
          <w:b w:val="0"/>
          <w:sz w:val="22"/>
          <w:szCs w:val="22"/>
          <w:lang w:eastAsia="pt-BR"/>
        </w:rPr>
        <w:tab/>
      </w:r>
      <w:r w:rsidR="00E31C01" w:rsidRPr="00BD0223">
        <w:t>TRIBUTAÇÃO SOBRE OS COMBUSTÍVEIS AUTOMOT</w:t>
      </w:r>
      <w:r w:rsidR="003C6867">
        <w:t>IVOS</w:t>
      </w:r>
      <w:r w:rsidR="00E31C01" w:rsidRPr="00BD0223">
        <w:t xml:space="preserve"> E O IMPACTO NO VAREJO DE GASOLINA E DIESEL DO TRIÂNGULO MINEIRO</w:t>
      </w:r>
      <w:r w:rsidR="00E31C01" w:rsidRPr="00BD0223">
        <w:tab/>
      </w:r>
      <w:r w:rsidR="000D2E6F">
        <w:t>44</w:t>
      </w:r>
    </w:p>
    <w:p w14:paraId="3B7D9614" w14:textId="26A98B47" w:rsidR="00E31C01" w:rsidRPr="00BD0223" w:rsidRDefault="00891D7C">
      <w:pPr>
        <w:pStyle w:val="Sumrio2"/>
        <w:rPr>
          <w:rFonts w:asciiTheme="minorHAnsi" w:eastAsiaTheme="minorEastAsia" w:hAnsiTheme="minorHAnsi" w:cstheme="minorBidi"/>
          <w:sz w:val="22"/>
          <w:szCs w:val="22"/>
          <w:lang w:eastAsia="pt-BR"/>
        </w:rPr>
      </w:pPr>
      <w:r>
        <w:lastRenderedPageBreak/>
        <w:t>4</w:t>
      </w:r>
      <w:r w:rsidR="00E31C01" w:rsidRPr="00BD0223">
        <w:t>.1</w:t>
      </w:r>
      <w:r w:rsidR="00E31C01" w:rsidRPr="00BD0223">
        <w:rPr>
          <w:rFonts w:asciiTheme="minorHAnsi" w:eastAsiaTheme="minorEastAsia" w:hAnsiTheme="minorHAnsi" w:cstheme="minorBidi"/>
          <w:sz w:val="22"/>
          <w:szCs w:val="22"/>
          <w:lang w:eastAsia="pt-BR"/>
        </w:rPr>
        <w:tab/>
      </w:r>
      <w:r w:rsidR="00E31C01" w:rsidRPr="00BD0223">
        <w:t>TRIBUTAÇÃO SOBRE A GASOLINA E O DIESEL NO PERÍODO 2010-2018</w:t>
      </w:r>
      <w:r w:rsidR="00E31C01" w:rsidRPr="00BD0223">
        <w:tab/>
      </w:r>
      <w:r w:rsidR="000D2E6F">
        <w:t>44</w:t>
      </w:r>
    </w:p>
    <w:p w14:paraId="5BF35AC6" w14:textId="2A466C8B" w:rsidR="00E31C01" w:rsidRPr="00BD0223" w:rsidRDefault="00891D7C">
      <w:pPr>
        <w:pStyle w:val="Sumrio2"/>
        <w:rPr>
          <w:rFonts w:asciiTheme="minorHAnsi" w:eastAsiaTheme="minorEastAsia" w:hAnsiTheme="minorHAnsi" w:cstheme="minorBidi"/>
          <w:sz w:val="22"/>
          <w:szCs w:val="22"/>
          <w:lang w:eastAsia="pt-BR"/>
        </w:rPr>
      </w:pPr>
      <w:r>
        <w:t>4</w:t>
      </w:r>
      <w:r w:rsidR="00E31C01" w:rsidRPr="00BD0223">
        <w:t>.2</w:t>
      </w:r>
      <w:r w:rsidR="00E31C01" w:rsidRPr="00BD0223">
        <w:rPr>
          <w:rFonts w:asciiTheme="minorHAnsi" w:eastAsiaTheme="minorEastAsia" w:hAnsiTheme="minorHAnsi" w:cstheme="minorBidi"/>
          <w:sz w:val="22"/>
          <w:szCs w:val="22"/>
          <w:lang w:eastAsia="pt-BR"/>
        </w:rPr>
        <w:tab/>
      </w:r>
      <w:r w:rsidR="00E31C01" w:rsidRPr="00BD0223">
        <w:t>O ETANOL COMO CONCORRENTE SUBSTITUTO DA GASOLINA E A POLÍTICA DE ALÍQUOTAS DE ICMS DOS ESTADOS DE MINAS GERAIS E SÃO PAULO</w:t>
      </w:r>
      <w:r w:rsidR="00E31C01" w:rsidRPr="00BD0223">
        <w:tab/>
      </w:r>
      <w:r w:rsidR="00995906">
        <w:t>4</w:t>
      </w:r>
      <w:r w:rsidR="000D2E6F">
        <w:t>5</w:t>
      </w:r>
    </w:p>
    <w:p w14:paraId="21EE5225" w14:textId="372B4E32" w:rsidR="00E31C01" w:rsidRPr="00BD0223" w:rsidRDefault="00891D7C">
      <w:pPr>
        <w:pStyle w:val="Sumrio2"/>
        <w:rPr>
          <w:rFonts w:asciiTheme="minorHAnsi" w:eastAsiaTheme="minorEastAsia" w:hAnsiTheme="minorHAnsi" w:cstheme="minorBidi"/>
          <w:sz w:val="22"/>
          <w:szCs w:val="22"/>
          <w:lang w:eastAsia="pt-BR"/>
        </w:rPr>
      </w:pPr>
      <w:r>
        <w:t>4</w:t>
      </w:r>
      <w:r w:rsidR="00E31C01" w:rsidRPr="00BD0223">
        <w:t>.3</w:t>
      </w:r>
      <w:r w:rsidR="00E31C01" w:rsidRPr="00BD0223">
        <w:rPr>
          <w:rFonts w:asciiTheme="minorHAnsi" w:eastAsiaTheme="minorEastAsia" w:hAnsiTheme="minorHAnsi" w:cstheme="minorBidi"/>
          <w:sz w:val="22"/>
          <w:szCs w:val="22"/>
          <w:lang w:eastAsia="pt-BR"/>
        </w:rPr>
        <w:tab/>
      </w:r>
      <w:r w:rsidR="00E31C01" w:rsidRPr="00BD0223">
        <w:t>DIESEL</w:t>
      </w:r>
      <w:r w:rsidR="00E31C01" w:rsidRPr="00BD0223">
        <w:tab/>
      </w:r>
      <w:r w:rsidR="00995906">
        <w:t>5</w:t>
      </w:r>
      <w:r w:rsidR="000D2E6F">
        <w:t>3</w:t>
      </w:r>
    </w:p>
    <w:p w14:paraId="4ED224B7" w14:textId="18BF038A" w:rsidR="00E31C01" w:rsidRPr="00BD0223" w:rsidRDefault="00E31C01">
      <w:pPr>
        <w:pStyle w:val="Sumrio1"/>
        <w:rPr>
          <w:rFonts w:asciiTheme="minorHAnsi" w:eastAsiaTheme="minorEastAsia" w:hAnsiTheme="minorHAnsi" w:cstheme="minorBidi"/>
          <w:b w:val="0"/>
          <w:sz w:val="22"/>
          <w:szCs w:val="22"/>
          <w:lang w:eastAsia="pt-BR"/>
        </w:rPr>
      </w:pPr>
      <w:r w:rsidRPr="00BD0223">
        <w:rPr>
          <w:rFonts w:asciiTheme="minorHAnsi" w:eastAsiaTheme="minorEastAsia" w:hAnsiTheme="minorHAnsi" w:cstheme="minorBidi"/>
          <w:b w:val="0"/>
          <w:sz w:val="22"/>
          <w:szCs w:val="22"/>
          <w:lang w:eastAsia="pt-BR"/>
        </w:rPr>
        <w:tab/>
      </w:r>
      <w:r w:rsidRPr="00BD0223">
        <w:t>CONSIDERAÇÕES FINAIS</w:t>
      </w:r>
      <w:r w:rsidRPr="00BD0223">
        <w:tab/>
      </w:r>
      <w:r w:rsidR="00995906">
        <w:t>6</w:t>
      </w:r>
      <w:r w:rsidR="000D2E6F">
        <w:t>4</w:t>
      </w:r>
    </w:p>
    <w:p w14:paraId="6ED7610F" w14:textId="1E2DA411" w:rsidR="00E31C01" w:rsidRPr="00BD0223" w:rsidRDefault="00E31C01">
      <w:pPr>
        <w:pStyle w:val="Sumrio1"/>
        <w:rPr>
          <w:rFonts w:asciiTheme="minorHAnsi" w:eastAsiaTheme="minorEastAsia" w:hAnsiTheme="minorHAnsi" w:cstheme="minorBidi"/>
          <w:b w:val="0"/>
          <w:sz w:val="22"/>
          <w:szCs w:val="22"/>
          <w:lang w:eastAsia="pt-BR"/>
        </w:rPr>
      </w:pPr>
      <w:r w:rsidRPr="00BD0223">
        <w:tab/>
        <w:t>REFERÊNCIAS BIBLIOGRÁFICAS</w:t>
      </w:r>
      <w:r w:rsidRPr="00BD0223">
        <w:tab/>
      </w:r>
      <w:r w:rsidR="00102CC0">
        <w:t>6</w:t>
      </w:r>
      <w:r w:rsidR="000D2E6F">
        <w:t>7</w:t>
      </w:r>
    </w:p>
    <w:p w14:paraId="57B381D2" w14:textId="39A81725" w:rsidR="00E31C01" w:rsidRPr="00BD0223" w:rsidRDefault="00E31C01">
      <w:pPr>
        <w:pStyle w:val="Sumrio1"/>
        <w:rPr>
          <w:rFonts w:asciiTheme="minorHAnsi" w:eastAsiaTheme="minorEastAsia" w:hAnsiTheme="minorHAnsi" w:cstheme="minorBidi"/>
          <w:b w:val="0"/>
          <w:sz w:val="22"/>
          <w:szCs w:val="22"/>
          <w:lang w:eastAsia="pt-BR"/>
        </w:rPr>
      </w:pPr>
      <w:r w:rsidRPr="00BD0223">
        <w:tab/>
        <w:t>APÊNDICE</w:t>
      </w:r>
      <w:r w:rsidRPr="00BD0223">
        <w:tab/>
      </w:r>
      <w:r w:rsidR="000D2E6F">
        <w:t>69</w:t>
      </w:r>
    </w:p>
    <w:p w14:paraId="7AF477FA" w14:textId="1C883B6B" w:rsidR="00E31C01" w:rsidRPr="00BD0223" w:rsidRDefault="00E31C01" w:rsidP="00E31C01">
      <w:pPr>
        <w:pStyle w:val="TSUMARIO"/>
      </w:pPr>
      <w:r w:rsidRPr="00BD0223">
        <w:fldChar w:fldCharType="end"/>
      </w:r>
    </w:p>
    <w:p w14:paraId="7A8907F9" w14:textId="77777777" w:rsidR="00E31C01" w:rsidRPr="00BD0223" w:rsidRDefault="00E31C01" w:rsidP="00E31C01">
      <w:pPr>
        <w:pStyle w:val="TSUMARIO"/>
        <w:sectPr w:rsidR="00E31C01" w:rsidRPr="00BD0223" w:rsidSect="00E31C01">
          <w:headerReference w:type="default" r:id="rId8"/>
          <w:pgSz w:w="11906" w:h="16838" w:code="9"/>
          <w:pgMar w:top="1701" w:right="1134" w:bottom="1134" w:left="1701" w:header="1134" w:footer="709" w:gutter="0"/>
          <w:pgNumType w:start="0"/>
          <w:cols w:space="708"/>
          <w:docGrid w:linePitch="360"/>
        </w:sectPr>
      </w:pPr>
    </w:p>
    <w:p w14:paraId="3F47B314" w14:textId="66416BFC" w:rsidR="00CE6340" w:rsidRPr="00BD0223" w:rsidRDefault="00C117F2" w:rsidP="004F409C">
      <w:pPr>
        <w:pStyle w:val="TIT1"/>
        <w:numPr>
          <w:ilvl w:val="0"/>
          <w:numId w:val="0"/>
        </w:numPr>
        <w:jc w:val="center"/>
      </w:pPr>
      <w:bookmarkStart w:id="0" w:name="_Toc55329604"/>
      <w:r w:rsidRPr="00BD0223">
        <w:lastRenderedPageBreak/>
        <w:t>INTRODUÇÃO</w:t>
      </w:r>
      <w:bookmarkEnd w:id="0"/>
    </w:p>
    <w:p w14:paraId="1F4E9715" w14:textId="4298ECEA" w:rsidR="00CE6340" w:rsidRPr="00BD0223" w:rsidRDefault="00204E1D" w:rsidP="00C117F2">
      <w:pPr>
        <w:pStyle w:val="TNORMAL"/>
        <w:rPr>
          <w:rFonts w:eastAsia="Calibri"/>
        </w:rPr>
      </w:pPr>
      <w:r w:rsidRPr="00BD0223">
        <w:t>A questão</w:t>
      </w:r>
      <w:r w:rsidR="00B669C7" w:rsidRPr="00BD0223">
        <w:t xml:space="preserve"> tributári</w:t>
      </w:r>
      <w:r w:rsidRPr="00BD0223">
        <w:t>a</w:t>
      </w:r>
      <w:r w:rsidR="00B669C7" w:rsidRPr="00BD0223">
        <w:t xml:space="preserve"> é objet</w:t>
      </w:r>
      <w:r w:rsidR="00DE40A5" w:rsidRPr="00BD0223">
        <w:t>o</w:t>
      </w:r>
      <w:r w:rsidR="00B669C7" w:rsidRPr="00BD0223">
        <w:t xml:space="preserve"> de análises</w:t>
      </w:r>
      <w:r w:rsidR="00B67650" w:rsidRPr="00BD0223">
        <w:t xml:space="preserve"> e estudos</w:t>
      </w:r>
      <w:r w:rsidR="00B669C7" w:rsidRPr="00BD0223">
        <w:t xml:space="preserve"> desde o</w:t>
      </w:r>
      <w:r w:rsidR="00C6022F" w:rsidRPr="00BD0223">
        <w:t>s primórdios</w:t>
      </w:r>
      <w:r w:rsidR="00B669C7" w:rsidRPr="00BD0223">
        <w:t xml:space="preserve"> da ciência econômica</w:t>
      </w:r>
      <w:r w:rsidR="00B67650" w:rsidRPr="00BD0223">
        <w:t xml:space="preserve">. </w:t>
      </w:r>
      <w:r w:rsidR="00C6022F" w:rsidRPr="00BD0223">
        <w:t>P</w:t>
      </w:r>
      <w:r w:rsidR="00B669C7" w:rsidRPr="00BD0223">
        <w:t>recisamente com Adam Smith</w:t>
      </w:r>
      <w:r w:rsidR="00B67650" w:rsidRPr="00BD0223">
        <w:t xml:space="preserve">, em seu clássico </w:t>
      </w:r>
      <w:r w:rsidR="00B67650" w:rsidRPr="00BD0223">
        <w:rPr>
          <w:i/>
          <w:iCs/>
        </w:rPr>
        <w:t>A riqueza das nações</w:t>
      </w:r>
      <w:r w:rsidR="00B67650" w:rsidRPr="00BD0223">
        <w:t>,</w:t>
      </w:r>
      <w:r w:rsidR="00B67650" w:rsidRPr="00BD0223">
        <w:rPr>
          <w:i/>
          <w:iCs/>
        </w:rPr>
        <w:t xml:space="preserve"> </w:t>
      </w:r>
      <w:r w:rsidR="00B67650" w:rsidRPr="00BD0223">
        <w:t>estabeleceu</w:t>
      </w:r>
      <w:r w:rsidR="00C6022F" w:rsidRPr="00BD0223">
        <w:t>-se</w:t>
      </w:r>
      <w:r w:rsidR="00B669C7" w:rsidRPr="00BD0223">
        <w:t xml:space="preserve"> diretrizes para o bom</w:t>
      </w:r>
      <w:r w:rsidR="00B67650" w:rsidRPr="00BD0223">
        <w:t xml:space="preserve"> funcionamento de um</w:t>
      </w:r>
      <w:r w:rsidR="00B669C7" w:rsidRPr="00BD0223">
        <w:t xml:space="preserve"> sistema tributário</w:t>
      </w:r>
      <w:r w:rsidR="00463873" w:rsidRPr="00BD0223">
        <w:t xml:space="preserve"> (</w:t>
      </w:r>
      <w:r w:rsidR="00FF2257">
        <w:t xml:space="preserve">BIDERMAN e </w:t>
      </w:r>
      <w:r w:rsidR="00463873" w:rsidRPr="00BD0223">
        <w:t xml:space="preserve">AVARTE, 2004), no que diz respeito </w:t>
      </w:r>
      <w:r w:rsidR="004B39FB">
        <w:t xml:space="preserve">à: </w:t>
      </w:r>
      <w:r w:rsidR="00463873" w:rsidRPr="00BD0223">
        <w:t>capacidade de contribuição de cada agente econômico, conveniência, simplicidade</w:t>
      </w:r>
      <w:r w:rsidR="004B39FB">
        <w:t xml:space="preserve"> </w:t>
      </w:r>
      <w:r w:rsidR="00463873" w:rsidRPr="00BD0223">
        <w:t>e neutralidade do</w:t>
      </w:r>
      <w:r w:rsidR="001C3AEF" w:rsidRPr="00BD0223">
        <w:t>s tributos</w:t>
      </w:r>
      <w:r w:rsidR="00463873" w:rsidRPr="00BD0223">
        <w:t>. Desde então pouco se mudou em relação a percepção em torno das características</w:t>
      </w:r>
      <w:r w:rsidR="00C6022F" w:rsidRPr="00BD0223">
        <w:t xml:space="preserve"> de um bom sistema de cobrança de impostos</w:t>
      </w:r>
      <w:r w:rsidR="00463873" w:rsidRPr="00BD0223">
        <w:t xml:space="preserve">, o que ocorreu posteriormente foram inovações que contribuíram para que os </w:t>
      </w:r>
      <w:r w:rsidR="00C6022F" w:rsidRPr="00BD0223">
        <w:t>tributos</w:t>
      </w:r>
      <w:r w:rsidR="00463873" w:rsidRPr="00BD0223">
        <w:t xml:space="preserve"> gerassem a menor ineficiência possível</w:t>
      </w:r>
      <w:r w:rsidR="00C6022F" w:rsidRPr="00BD0223">
        <w:t xml:space="preserve"> na alocação do consumo e da produção. T</w:t>
      </w:r>
      <w:r w:rsidR="00463873" w:rsidRPr="00BD0223">
        <w:t>alvez a maior contribuição</w:t>
      </w:r>
      <w:r w:rsidR="00C6022F" w:rsidRPr="00BD0223">
        <w:t xml:space="preserve"> </w:t>
      </w:r>
      <w:r w:rsidR="004B39FB">
        <w:t xml:space="preserve">da ciência </w:t>
      </w:r>
      <w:r w:rsidR="00C6022F" w:rsidRPr="00BD0223">
        <w:t>econômica, no que se refere a tributação,</w:t>
      </w:r>
      <w:r w:rsidR="00463873" w:rsidRPr="00BD0223">
        <w:t xml:space="preserve"> tenha </w:t>
      </w:r>
      <w:r w:rsidR="001C3AEF" w:rsidRPr="00BD0223">
        <w:t>ocorrido</w:t>
      </w:r>
      <w:r w:rsidR="00C6022F" w:rsidRPr="00BD0223">
        <w:t xml:space="preserve"> nos tributos</w:t>
      </w:r>
      <w:r w:rsidR="00463873" w:rsidRPr="00BD0223">
        <w:t xml:space="preserve"> sobre </w:t>
      </w:r>
      <w:r w:rsidR="00C6022F" w:rsidRPr="00BD0223">
        <w:t>bens e serviços</w:t>
      </w:r>
      <w:r w:rsidR="00463873" w:rsidRPr="00BD0223">
        <w:t xml:space="preserve"> com a introdução em diversos países de impostos do</w:t>
      </w:r>
      <w:r w:rsidR="001C3AEF" w:rsidRPr="00BD0223">
        <w:t xml:space="preserve"> tipo</w:t>
      </w:r>
      <w:r w:rsidR="00463873" w:rsidRPr="00BD0223">
        <w:t xml:space="preserve"> IVA (</w:t>
      </w:r>
      <w:r w:rsidR="00C6022F" w:rsidRPr="00BD0223">
        <w:t>i</w:t>
      </w:r>
      <w:r w:rsidR="00463873" w:rsidRPr="00BD0223">
        <w:t>mposto sobre valor adicionado), de caráter não cumulativo</w:t>
      </w:r>
      <w:r w:rsidR="004B39FB">
        <w:t xml:space="preserve">, </w:t>
      </w:r>
      <w:r w:rsidR="00463873" w:rsidRPr="00BD0223">
        <w:t>que lhe</w:t>
      </w:r>
      <w:r w:rsidR="00C6022F" w:rsidRPr="00BD0223">
        <w:t>s</w:t>
      </w:r>
      <w:r w:rsidR="00463873" w:rsidRPr="00BD0223">
        <w:t xml:space="preserve"> confere a característica de neutralidade.</w:t>
      </w:r>
    </w:p>
    <w:p w14:paraId="3375FEB0" w14:textId="52D66F93" w:rsidR="00B669C7" w:rsidRPr="00BD0223" w:rsidRDefault="00463873" w:rsidP="00C117F2">
      <w:pPr>
        <w:pStyle w:val="TNORMAL"/>
        <w:rPr>
          <w:rFonts w:eastAsia="Calibri"/>
        </w:rPr>
      </w:pPr>
      <w:r w:rsidRPr="00BD0223">
        <w:t>O tema relacionado ao federalismo fiscal está diretamente ligado a questão tributária, isso porque em federações com grandes divergências relacionadas a cultura e interesses como é característ</w:t>
      </w:r>
      <w:r w:rsidR="00B67650" w:rsidRPr="00BD0223">
        <w:t>ica marcante do federalismo brasileiro, cada ente federativo tende a disputar por mais autonomia. Assim</w:t>
      </w:r>
      <w:r w:rsidR="004B39FB">
        <w:t>,</w:t>
      </w:r>
      <w:r w:rsidR="00B67650" w:rsidRPr="00BD0223">
        <w:t xml:space="preserve"> é necessário a definição de competências tributárias e funções sociais para cada ente</w:t>
      </w:r>
      <w:r w:rsidR="009F6869" w:rsidRPr="00BD0223">
        <w:t xml:space="preserve"> (</w:t>
      </w:r>
      <w:r w:rsidR="00B67650" w:rsidRPr="00BD0223">
        <w:t>governo federal, estados e municípios</w:t>
      </w:r>
      <w:r w:rsidR="009F6869" w:rsidRPr="00BD0223">
        <w:t>) que</w:t>
      </w:r>
      <w:r w:rsidR="00B67650" w:rsidRPr="00BD0223">
        <w:t xml:space="preserve"> facilitem o processo de oferta de bens públicos e crie um ambiente eficiente na relação entre o fisco e o contribuinte.</w:t>
      </w:r>
    </w:p>
    <w:p w14:paraId="156E3C44" w14:textId="4FC840D3" w:rsidR="005072CC" w:rsidRPr="00BD0223" w:rsidRDefault="005072CC" w:rsidP="00C117F2">
      <w:pPr>
        <w:pStyle w:val="TNORMAL"/>
      </w:pPr>
      <w:r w:rsidRPr="00BD0223">
        <w:t xml:space="preserve">A questão tributária brasileira tem-se apresentado como um grande desafio tanto no que se refere a sua regressividade quanto no que se refere a questão de eficiência. </w:t>
      </w:r>
      <w:r w:rsidR="001C3AEF" w:rsidRPr="00BD0223">
        <w:t>Há</w:t>
      </w:r>
      <w:r w:rsidRPr="00BD0223">
        <w:t xml:space="preserve"> duas agendas de reforma tributária que devem ser debatidas e implementadas no Brasil nos próximos anos</w:t>
      </w:r>
      <w:r w:rsidR="004B39FB">
        <w:t>. U</w:t>
      </w:r>
      <w:r w:rsidRPr="00BD0223">
        <w:t>ma diz respeito a questão da progressividade; o que possivelmente irá abordar uma revisão dos regimes simplificados de imposto de renda da pessoa jurídica juntamente com uma tributação sobre dividendos empresariais que não gere bitributação</w:t>
      </w:r>
      <w:r w:rsidR="004B39FB">
        <w:t xml:space="preserve">. Outra agenda </w:t>
      </w:r>
      <w:r w:rsidRPr="00BD0223">
        <w:t>diz respeito</w:t>
      </w:r>
      <w:r w:rsidR="004B39FB">
        <w:t xml:space="preserve"> à</w:t>
      </w:r>
      <w:r w:rsidRPr="00BD0223">
        <w:t xml:space="preserve"> tributação sobre consumo</w:t>
      </w:r>
      <w:r w:rsidR="00204E1D" w:rsidRPr="00BD0223">
        <w:t>;</w:t>
      </w:r>
      <w:r w:rsidRPr="00BD0223">
        <w:t xml:space="preserve"> a qual apresenta em seu escopo dois tipos de contribuições sociais sobre o faturamento</w:t>
      </w:r>
      <w:r w:rsidR="00C6022F" w:rsidRPr="00BD0223">
        <w:t>:</w:t>
      </w:r>
      <w:r w:rsidRPr="00BD0223">
        <w:t xml:space="preserve"> o P</w:t>
      </w:r>
      <w:r w:rsidR="00FF2257">
        <w:t xml:space="preserve">IS </w:t>
      </w:r>
      <w:r w:rsidRPr="00BD0223">
        <w:t xml:space="preserve">e </w:t>
      </w:r>
      <w:r w:rsidR="009F6869" w:rsidRPr="00BD0223">
        <w:t xml:space="preserve">o </w:t>
      </w:r>
      <w:r w:rsidRPr="00BD0223">
        <w:t>C</w:t>
      </w:r>
      <w:r w:rsidR="00FF2257">
        <w:t>OFINS</w:t>
      </w:r>
      <w:r w:rsidRPr="00BD0223">
        <w:t xml:space="preserve">, </w:t>
      </w:r>
      <w:r w:rsidR="00C6022F" w:rsidRPr="00BD0223">
        <w:t>além de</w:t>
      </w:r>
      <w:r w:rsidRPr="00BD0223">
        <w:t xml:space="preserve"> três tipos de impostos</w:t>
      </w:r>
      <w:r w:rsidR="00C6022F" w:rsidRPr="00BD0223">
        <w:t>:</w:t>
      </w:r>
      <w:r w:rsidRPr="00BD0223">
        <w:t xml:space="preserve"> IPI, ICMS e ISS.</w:t>
      </w:r>
    </w:p>
    <w:p w14:paraId="38646DC8" w14:textId="77777777" w:rsidR="00FE31D6" w:rsidRDefault="005072CC" w:rsidP="000B4737">
      <w:pPr>
        <w:pStyle w:val="TNORMAL"/>
        <w:spacing w:after="160"/>
      </w:pPr>
      <w:r w:rsidRPr="00BD0223">
        <w:t xml:space="preserve">O ICMS tem sido considerado por muitos especialistas </w:t>
      </w:r>
      <w:r w:rsidR="00204E1D" w:rsidRPr="00BD0223">
        <w:t>em tributação</w:t>
      </w:r>
      <w:r w:rsidR="004B39FB">
        <w:t xml:space="preserve"> como o </w:t>
      </w:r>
      <w:r w:rsidRPr="00BD0223">
        <w:t>imposto que mais gera ineficiência no sistema econômico brasileiro</w:t>
      </w:r>
      <w:r w:rsidR="004B39FB">
        <w:t xml:space="preserve">. Entretanto, </w:t>
      </w:r>
      <w:r w:rsidR="00C93C97" w:rsidRPr="00BD0223">
        <w:t>tal tributo</w:t>
      </w:r>
      <w:r w:rsidRPr="00BD0223">
        <w:t xml:space="preserve"> se apresenta como a principal fonte de arrecadação dos estados</w:t>
      </w:r>
      <w:r w:rsidR="004B39FB">
        <w:t xml:space="preserve"> e parte dos municípios</w:t>
      </w:r>
      <w:r w:rsidRPr="00BD0223">
        <w:t xml:space="preserve">. </w:t>
      </w:r>
      <w:bookmarkStart w:id="1" w:name="_Toc55329605"/>
      <w:r w:rsidR="00FF2257">
        <w:t xml:space="preserve">Esse contexto traz espaço para elaboração de trabalhos acadêmicos que tenham como objetivo analisar o impacto setorial do ICMS e prever um impacto futuro de possíveis mudanças na tributação sobre a economia. </w:t>
      </w:r>
    </w:p>
    <w:p w14:paraId="0736B02E" w14:textId="6F3BA035" w:rsidR="00FE31D6" w:rsidRDefault="00FF2257" w:rsidP="00FE31D6">
      <w:pPr>
        <w:pStyle w:val="TNORMAL"/>
      </w:pPr>
      <w:r>
        <w:lastRenderedPageBreak/>
        <w:t>A monografia possui uma seção relativa ao referencial teórico explicando questões abordadas pela literatura relacionada a tributação. Em seguida inicia-se o capítulo 2 com o objetivo de apresentar a trajetória histórica do ICMS e da tributação sobre combustíveis. No capítulo 3 são apresentadas questões relativas à crise fiscal dos estados brasileiros, analisando o caso específico de Minas Gerais e o impacto do ICMS sobre determinados produtos na arrecadação. Por último, o capítulo 4 analisa os dados de vendas de combustíveis de municípios</w:t>
      </w:r>
      <w:r w:rsidR="0015777D">
        <w:t xml:space="preserve"> selecionados,</w:t>
      </w:r>
      <w:r>
        <w:t xml:space="preserve"> localizados em determinadas regiões do</w:t>
      </w:r>
      <w:r w:rsidR="00E1089D">
        <w:t>s</w:t>
      </w:r>
      <w:r>
        <w:t xml:space="preserve"> estado</w:t>
      </w:r>
      <w:r w:rsidR="00E1089D">
        <w:t>s</w:t>
      </w:r>
      <w:r>
        <w:t xml:space="preserve"> de Minas Gerais e São Paulo, a fim de captar se houve uma fuga de consumidores do estado mineiro para o estado paulista devido aos crescentes aumentos das alíquotas de ICMS no óleo diesel e na gasolina. </w:t>
      </w:r>
      <w:r w:rsidR="002A5332">
        <w:t xml:space="preserve">No </w:t>
      </w:r>
      <w:r w:rsidR="00C06AA4">
        <w:t>A</w:t>
      </w:r>
      <w:r w:rsidR="002A5332">
        <w:t>pêndice encontram</w:t>
      </w:r>
      <w:r w:rsidR="00C06AA4">
        <w:t xml:space="preserve">-se </w:t>
      </w:r>
      <w:r w:rsidR="002A5332">
        <w:t xml:space="preserve">dados relacionados a preços de combustíveis nos estados de Minas Gerais e São Paulo e ao desempenho do varejo do setor em vendas </w:t>
      </w:r>
      <w:r w:rsidR="00123A44">
        <w:t>de todos os municípios</w:t>
      </w:r>
      <w:r w:rsidR="002A5332">
        <w:t xml:space="preserve"> das </w:t>
      </w:r>
      <w:r w:rsidR="00C06AA4">
        <w:t>M</w:t>
      </w:r>
      <w:r w:rsidR="002A5332">
        <w:t xml:space="preserve">icrorregiões de Frutal, Uberaba, Uberlândia e Ituiutaba e das </w:t>
      </w:r>
      <w:r w:rsidR="00C06AA4">
        <w:t>M</w:t>
      </w:r>
      <w:r w:rsidR="002A5332">
        <w:t>esorregiões de Ribeirão Preto e São José do Rio Preto</w:t>
      </w:r>
      <w:r w:rsidR="00C06AA4">
        <w:t>. A</w:t>
      </w:r>
      <w:r w:rsidR="002A5332">
        <w:t xml:space="preserve"> escolha da</w:t>
      </w:r>
      <w:r w:rsidR="00123A44">
        <w:t>s localidades</w:t>
      </w:r>
      <w:r w:rsidR="002A5332">
        <w:t xml:space="preserve"> foi baseada na</w:t>
      </w:r>
      <w:r w:rsidR="00123A44">
        <w:t>s</w:t>
      </w:r>
      <w:r w:rsidR="002A5332">
        <w:t xml:space="preserve"> localizaç</w:t>
      </w:r>
      <w:r w:rsidR="00123A44">
        <w:t>ões</w:t>
      </w:r>
      <w:r w:rsidR="002A5332">
        <w:t xml:space="preserve"> das principais rodovias da região.</w:t>
      </w:r>
      <w:r w:rsidR="00FE31D6">
        <w:t xml:space="preserve"> </w:t>
      </w:r>
    </w:p>
    <w:p w14:paraId="5E2C9EB2" w14:textId="49453DAE" w:rsidR="00FF2257" w:rsidRDefault="00FF2257" w:rsidP="00FE31D6">
      <w:pPr>
        <w:pStyle w:val="TNORMAL"/>
        <w:spacing w:after="240"/>
      </w:pPr>
      <w:r>
        <w:t>O objetivo geral do trabalho é avaliar se os aumentos de alíquotas de ICMS do estado de Minas Gerais geraram uma preferência de abastecimento por parte dos consumidores no estado de São Paulo. O presente estudo de caso, se justifica devido a demanda, por parte sindicatos patronais dos ramos de atacado e varejo de combustíveis do estado de Minas Gerias, de alíquotas menores em produtos como a gasolina e o diesel. O período escolhido para análise corresponde aos anos de 2010 a 2018, devido aos aumentos de alíquotas de ICMS que ocorreram no diesel em 2011 e na gasolina em 2015 e 2017</w:t>
      </w:r>
      <w:r w:rsidR="000B4737">
        <w:t>, além disso é importante avaliar o impacto da crise econômica de 2014-2016 nas finanças públicas do estado mineiro</w:t>
      </w:r>
      <w:r w:rsidR="00FE31D6">
        <w:t xml:space="preserve">. </w:t>
      </w:r>
      <w:r>
        <w:t>Além do objetivo geral o presente trabalho pretende analisar se houve e quais foram os impactos da política de aumento das alíquotas de ICMS na arrecadação do estado de Minas Gerais. Outro ponto a ser abordado diz respeito aos impactos de possíveis mudanças na tributação do consumo sobre a cadeia de petróleo e gás.</w:t>
      </w:r>
      <w:r w:rsidR="00FE31D6">
        <w:t xml:space="preserve"> </w:t>
      </w:r>
      <w:r>
        <w:t xml:space="preserve">A hipótese do presente trabalho está relacionada a queda que o varejo de combustíveis líquidos da </w:t>
      </w:r>
      <w:r w:rsidR="00E1089D">
        <w:t>R</w:t>
      </w:r>
      <w:r>
        <w:t>egião do Triângulo Mineiro pode ter sofrido, com os aumentos de alíquotas de ICMS sobre a gasolina e o óleo diesel implementados pelo governo estadual, comparando se houve fuga de consumidores para o estado de São Paulo</w:t>
      </w:r>
      <w:r w:rsidR="00FE31D6">
        <w:t xml:space="preserve">, e fazendo análise desse contexto com a crise fiscal do estado, a importância do ICMS na arrecadação estadual e os desafios impostos pelo sistema federativo brasileiro. </w:t>
      </w:r>
    </w:p>
    <w:p w14:paraId="10360190" w14:textId="72C42C45" w:rsidR="00123A44" w:rsidRPr="00FE31D6" w:rsidRDefault="00AA39C9" w:rsidP="00FE31D6">
      <w:pPr>
        <w:rPr>
          <w:rFonts w:ascii="Times New Roman" w:eastAsia="Times New Roman" w:hAnsi="Times New Roman" w:cs="Calibri"/>
          <w:color w:val="FF0000"/>
          <w:sz w:val="24"/>
          <w:lang w:val="pt" w:eastAsia="pt-BR"/>
        </w:rPr>
      </w:pPr>
      <w:r>
        <w:rPr>
          <w:color w:val="FF0000"/>
        </w:rPr>
        <w:br w:type="page"/>
      </w:r>
    </w:p>
    <w:p w14:paraId="7BE8714A" w14:textId="1F4F2908" w:rsidR="000B4737" w:rsidRDefault="00C117F2" w:rsidP="004F409C">
      <w:pPr>
        <w:pStyle w:val="TNORMAL"/>
        <w:numPr>
          <w:ilvl w:val="0"/>
          <w:numId w:val="18"/>
        </w:numPr>
        <w:jc w:val="center"/>
      </w:pPr>
      <w:r w:rsidRPr="000B4737">
        <w:lastRenderedPageBreak/>
        <w:t>REFERENCIAL TEÓRICO</w:t>
      </w:r>
      <w:bookmarkEnd w:id="1"/>
    </w:p>
    <w:p w14:paraId="12EF0ECC" w14:textId="77777777" w:rsidR="000B4737" w:rsidRDefault="000B4737" w:rsidP="000B4737">
      <w:pPr>
        <w:pStyle w:val="TNORMAL"/>
      </w:pPr>
    </w:p>
    <w:p w14:paraId="0DDEFB17" w14:textId="5D897174" w:rsidR="00DA76F5" w:rsidRDefault="000B4737" w:rsidP="000B4737">
      <w:pPr>
        <w:pStyle w:val="TNORMAL"/>
      </w:pPr>
      <w:r>
        <w:t>A literatura relacionada a tributação e papéis do Estado possui tanto elementos positivos; os quais dizem respeito as bases de incidência e a melhor funcionalidade do sistema de cobrança de impostos, quanto normativos; relacionados a serviços públicos que deve</w:t>
      </w:r>
      <w:r w:rsidR="00123A44">
        <w:t>m</w:t>
      </w:r>
      <w:r>
        <w:t xml:space="preserve"> ser ofertados e ao papel do governo</w:t>
      </w:r>
      <w:r w:rsidR="007B0A26">
        <w:t xml:space="preserve"> na economia. De acordo com (O</w:t>
      </w:r>
      <w:r w:rsidR="00123A44">
        <w:t>LIVEIRA</w:t>
      </w:r>
      <w:r w:rsidR="007B0A26">
        <w:t>, 2017) o estado passou a possuir papel importante como indutor de crescimento econômico e redutor de desigualdades com a revolução do pensamento keynesiano na década de 1930, e principalmente nos anos posteriores a Segunda Guerra Mundial. No entanto</w:t>
      </w:r>
      <w:r w:rsidR="00DA76F5">
        <w:t>,</w:t>
      </w:r>
      <w:r w:rsidR="007B0A26">
        <w:t xml:space="preserve"> tal concepção econômica perdeu espaço a partir da década de 1970 com as crises da dívida externa dos países emergentes e a globalização; a qual exigiu, em nome da competitividade, uma transferência d</w:t>
      </w:r>
      <w:r w:rsidR="00DA76F5">
        <w:t>e impostos</w:t>
      </w:r>
      <w:r w:rsidR="001677B9">
        <w:t xml:space="preserve"> de</w:t>
      </w:r>
      <w:r w:rsidR="007B0A26">
        <w:t xml:space="preserve"> base</w:t>
      </w:r>
      <w:r w:rsidR="00DA76F5">
        <w:t>s</w:t>
      </w:r>
      <w:r w:rsidR="007B0A26">
        <w:t xml:space="preserve"> de tributação de alta mobilidade espacial; como </w:t>
      </w:r>
      <w:r w:rsidR="00DA76F5">
        <w:t>impostos sobre ganhos de capital, para bases de baixa mobilidade espacial; impostos sobre consumo e folha de salários (O</w:t>
      </w:r>
      <w:r w:rsidR="00123A44">
        <w:t>LIVEIRA</w:t>
      </w:r>
      <w:r w:rsidR="00DA76F5">
        <w:t xml:space="preserve">, 2017). </w:t>
      </w:r>
    </w:p>
    <w:p w14:paraId="1146E526" w14:textId="368CABA5" w:rsidR="00B67650" w:rsidRDefault="00DA76F5" w:rsidP="000B4737">
      <w:pPr>
        <w:pStyle w:val="TNORMAL"/>
      </w:pPr>
      <w:r>
        <w:t xml:space="preserve">No Brasil o estado de bem-estar social proposto pela constituinte de 1988 criou desafios em torno de formas de </w:t>
      </w:r>
      <w:r w:rsidR="001677B9">
        <w:t>financiamento</w:t>
      </w:r>
      <w:r>
        <w:t xml:space="preserve"> do governo</w:t>
      </w:r>
      <w:r w:rsidR="001677B9">
        <w:t xml:space="preserve"> </w:t>
      </w:r>
      <w:r w:rsidR="00123A44">
        <w:t>que pudessem contribuir com a</w:t>
      </w:r>
      <w:r>
        <w:t xml:space="preserve"> diminui</w:t>
      </w:r>
      <w:r w:rsidR="00123A44">
        <w:t>ção de</w:t>
      </w:r>
      <w:r>
        <w:t xml:space="preserve"> desigualdades, os quais foram poucos endereçados, principalmente porque os constituintes se preocuparam mais em estabelecer competências aos entes da federação, tanto na parte de tributação quanto de fornecimento de serviços públicos, </w:t>
      </w:r>
      <w:r w:rsidR="000B4737">
        <w:t xml:space="preserve"> </w:t>
      </w:r>
      <w:r>
        <w:t>e deixaram para ser aprovadas em anos posteriores medidas</w:t>
      </w:r>
      <w:r w:rsidR="00086D00">
        <w:t xml:space="preserve"> </w:t>
      </w:r>
      <w:r>
        <w:t>que reformassem o sistema tributário, as quais acabaram por não serem implementadas</w:t>
      </w:r>
      <w:r w:rsidR="001677B9">
        <w:t>(O</w:t>
      </w:r>
      <w:r w:rsidR="00123A44">
        <w:t>LIVEIRA</w:t>
      </w:r>
      <w:r w:rsidR="001677B9">
        <w:t>, 2017)</w:t>
      </w:r>
      <w:r>
        <w:t>.</w:t>
      </w:r>
      <w:r w:rsidR="00086D00">
        <w:t xml:space="preserve"> A atual conjuntura do sistema tributário brasileiro, não condiz com a atuação de um Estado redutor de desigualdades</w:t>
      </w:r>
      <w:r w:rsidR="00FB05D3">
        <w:t xml:space="preserve"> </w:t>
      </w:r>
      <w:r w:rsidR="00086D00">
        <w:t xml:space="preserve">e muito menos com um Estado que estimule a eficiência econômica, sendo que a maioria dos tributos se concentra no consumo, o que prejudica as classes com menor renda que possuem maior propensão marginal a </w:t>
      </w:r>
      <w:r w:rsidR="00FB05D3">
        <w:t>consumir (</w:t>
      </w:r>
      <w:r w:rsidR="00086D00">
        <w:t>O</w:t>
      </w:r>
      <w:r w:rsidR="00123A44">
        <w:t>LIVEIRA</w:t>
      </w:r>
      <w:r w:rsidR="00086D00">
        <w:t>, 2017).</w:t>
      </w:r>
    </w:p>
    <w:p w14:paraId="3E1DA414" w14:textId="3595DADC" w:rsidR="000B4737" w:rsidRPr="000B4737" w:rsidRDefault="00086D00" w:rsidP="00123A44">
      <w:pPr>
        <w:pStyle w:val="TNORMAL"/>
      </w:pPr>
      <w:r>
        <w:t>Esta seção possui o objetivo de caracterizar os elementos importantes para operacionalização de um sistema tributário e do Estado</w:t>
      </w:r>
      <w:r w:rsidR="001677B9">
        <w:t xml:space="preserve"> </w:t>
      </w:r>
      <w:r>
        <w:t>como indutor de crescimento econômico e redutor de desigualdades</w:t>
      </w:r>
      <w:r w:rsidR="001677B9">
        <w:t>, v</w:t>
      </w:r>
      <w:r>
        <w:t>ale ressaltar que os papéis atribuídos ao Estado variam de acordo com os desejos da sociedade</w:t>
      </w:r>
      <w:r w:rsidR="001677B9">
        <w:t>.</w:t>
      </w:r>
      <w:r>
        <w:t xml:space="preserve"> </w:t>
      </w:r>
      <w:r w:rsidR="001677B9">
        <w:t>V</w:t>
      </w:r>
      <w:r>
        <w:t>isto que ao que tudo indica o contrato social da Constituição de 1988</w:t>
      </w:r>
      <w:r w:rsidR="001677B9">
        <w:t>, de um Estado fornecedor de saúde, educação e seguros públicos, permanece vigente, se torna necessário a discussão d</w:t>
      </w:r>
      <w:r w:rsidR="00123A44">
        <w:t>a</w:t>
      </w:r>
      <w:r w:rsidR="001677B9">
        <w:t xml:space="preserve"> redução d</w:t>
      </w:r>
      <w:r w:rsidR="00FB05D3">
        <w:t>as</w:t>
      </w:r>
      <w:r w:rsidR="001677B9">
        <w:t xml:space="preserve"> desigualdades sociais não apenas do lado do </w:t>
      </w:r>
      <w:r w:rsidR="00FB05D3">
        <w:t>gasto,</w:t>
      </w:r>
      <w:r w:rsidR="001677B9">
        <w:t xml:space="preserve"> mas também no que se refere a receita, a qual deve ser arrecadada de forma a não prejudicar a eficiência da alocação dos recursos </w:t>
      </w:r>
      <w:r w:rsidR="00891D7C">
        <w:t>econômicos</w:t>
      </w:r>
      <w:r w:rsidR="001677B9">
        <w:t xml:space="preserve"> e</w:t>
      </w:r>
      <w:r w:rsidR="00123A44">
        <w:t xml:space="preserve"> a</w:t>
      </w:r>
      <w:r w:rsidR="001677B9">
        <w:t xml:space="preserve"> não promover concentração de renda. </w:t>
      </w:r>
    </w:p>
    <w:p w14:paraId="5DA5FDCA" w14:textId="5A9B0795" w:rsidR="00C06F50" w:rsidRPr="00BD0223" w:rsidRDefault="00C117F2" w:rsidP="00C117F2">
      <w:pPr>
        <w:pStyle w:val="TIT2"/>
      </w:pPr>
      <w:bookmarkStart w:id="2" w:name="_Toc55329606"/>
      <w:r w:rsidRPr="00BD0223">
        <w:rPr>
          <w:caps w:val="0"/>
        </w:rPr>
        <w:lastRenderedPageBreak/>
        <w:t>TEORIA DAS FINANÇAS PÚBLICAS</w:t>
      </w:r>
      <w:bookmarkEnd w:id="2"/>
    </w:p>
    <w:p w14:paraId="30F82D39" w14:textId="211432A0" w:rsidR="007E224E" w:rsidRDefault="00C06F50" w:rsidP="007E224E">
      <w:pPr>
        <w:pStyle w:val="TNORMAL"/>
      </w:pPr>
      <w:r w:rsidRPr="00BD0223">
        <w:t xml:space="preserve">De acordo com </w:t>
      </w:r>
      <w:r w:rsidR="001677B9">
        <w:t xml:space="preserve">(GIAMBIAGI e ALÉM, </w:t>
      </w:r>
      <w:r w:rsidRPr="00BD0223">
        <w:t>2016)</w:t>
      </w:r>
      <w:r w:rsidR="00E22BA1">
        <w:t xml:space="preserve">, o </w:t>
      </w:r>
      <w:r w:rsidRPr="00BD0223">
        <w:t xml:space="preserve">governo ao escolher a forma de incidência tributária sobre sua população deve </w:t>
      </w:r>
      <w:r w:rsidR="00E22BA1">
        <w:t>respeitar quatro princípios: 1. e</w:t>
      </w:r>
      <w:r w:rsidRPr="00BD0223">
        <w:t>quidade</w:t>
      </w:r>
      <w:r w:rsidR="00E22BA1">
        <w:t>:</w:t>
      </w:r>
      <w:r w:rsidR="00593E80" w:rsidRPr="00BD0223">
        <w:t xml:space="preserve"> </w:t>
      </w:r>
      <w:r w:rsidRPr="00BD0223">
        <w:t>a tributação deve ser incidente sobre todos os membros de uma sociedade</w:t>
      </w:r>
      <w:r w:rsidR="00123A44">
        <w:t>,</w:t>
      </w:r>
      <w:r w:rsidR="00E22BA1">
        <w:t xml:space="preserve"> 2. p</w:t>
      </w:r>
      <w:r w:rsidRPr="00BD0223">
        <w:t>rogressividade</w:t>
      </w:r>
      <w:r w:rsidR="00E22BA1">
        <w:t>:</w:t>
      </w:r>
      <w:r w:rsidR="00593E80" w:rsidRPr="00BD0223">
        <w:t xml:space="preserve"> </w:t>
      </w:r>
      <w:r w:rsidRPr="00BD0223">
        <w:t>a parte da população com melhor condição financeira deve arcar com a maior parte dos impostos</w:t>
      </w:r>
      <w:r w:rsidR="00123A44">
        <w:t>,</w:t>
      </w:r>
      <w:r w:rsidR="00E22BA1">
        <w:t xml:space="preserve"> 3. n</w:t>
      </w:r>
      <w:r w:rsidRPr="00BD0223">
        <w:t>eutralidade</w:t>
      </w:r>
      <w:r w:rsidR="00E22BA1">
        <w:t>:</w:t>
      </w:r>
      <w:r w:rsidR="00593E80" w:rsidRPr="00BD0223">
        <w:t xml:space="preserve"> </w:t>
      </w:r>
      <w:r w:rsidRPr="00BD0223">
        <w:t xml:space="preserve">os impostos não devem gerar </w:t>
      </w:r>
      <w:r w:rsidR="00204E1D" w:rsidRPr="00BD0223">
        <w:t xml:space="preserve">ineficiência na alocação </w:t>
      </w:r>
      <w:r w:rsidRPr="00BD0223">
        <w:t>econ</w:t>
      </w:r>
      <w:r w:rsidR="00E22BA1">
        <w:t>ômica</w:t>
      </w:r>
      <w:r w:rsidR="00123A44">
        <w:t>,</w:t>
      </w:r>
      <w:r w:rsidR="00E22BA1">
        <w:t xml:space="preserve"> e 4</w:t>
      </w:r>
      <w:r w:rsidR="00123A44">
        <w:t>.</w:t>
      </w:r>
      <w:r w:rsidR="00E22BA1">
        <w:t xml:space="preserve"> s</w:t>
      </w:r>
      <w:r w:rsidRPr="00BD0223">
        <w:t>implicidade</w:t>
      </w:r>
      <w:r w:rsidR="00E22BA1">
        <w:t>:</w:t>
      </w:r>
      <w:r w:rsidR="00593E80" w:rsidRPr="00BD0223">
        <w:t xml:space="preserve"> </w:t>
      </w:r>
      <w:r w:rsidRPr="00BD0223">
        <w:t>a estrutura tributária deve ser de fácil arrecadação por parte do governo evitando</w:t>
      </w:r>
      <w:r w:rsidR="00E22BA1">
        <w:t xml:space="preserve"> ao </w:t>
      </w:r>
      <w:r w:rsidRPr="00BD0223">
        <w:t>máximo fraudes e de simples compreensão por parte dos integrantes d</w:t>
      </w:r>
      <w:r w:rsidR="00494D01" w:rsidRPr="00BD0223">
        <w:t>o sistema econômico</w:t>
      </w:r>
      <w:r w:rsidRPr="00BD0223">
        <w:t xml:space="preserve">. </w:t>
      </w:r>
      <w:r w:rsidR="00943C5F">
        <w:t>(OLIVEIRA, 2017) realiza uma análise dos sistemas tributários mundiais, afirmando de desde a década de 1970 tem-se beneficiado mais os princípios da neutralidade e simplicidade, em detrimento da equidade e da progressividade. No caso brasileiro, (OLIVEIRA, 2017) ressalta que o país pouco avançou em rumo a um sistema tributário progressivo e equitativo, e o conflito distributivo fez com que se opta-se por tributos que não atendessem os princípios de neutralidade e simplicidade, a fim de financiar as diversas demandas da sociedade</w:t>
      </w:r>
      <w:r w:rsidR="00884548">
        <w:t xml:space="preserve"> e de setores específicos</w:t>
      </w:r>
      <w:r w:rsidR="00943C5F">
        <w:t xml:space="preserve">. </w:t>
      </w:r>
    </w:p>
    <w:p w14:paraId="76B16BFF" w14:textId="2AC5DFA1" w:rsidR="001677B9" w:rsidRPr="00BD0223" w:rsidRDefault="00943C5F" w:rsidP="007E224E">
      <w:pPr>
        <w:pStyle w:val="TNORMAL"/>
      </w:pPr>
      <w:r>
        <w:t xml:space="preserve">Em relação a </w:t>
      </w:r>
      <w:r w:rsidR="007E224E">
        <w:t>neutralidade</w:t>
      </w:r>
      <w:r>
        <w:t xml:space="preserve"> se torna necessário classificar o que seria um imposto não neutro ou não ineficiente, já que o exemplo pode não ser trivial como no caso de um imposto simples, </w:t>
      </w:r>
      <w:r w:rsidR="007E224E">
        <w:t>equitativo e progressivo. Tomando como base um imposto que incide sobre operações financeiras de qualquer natureza, tal tributo é ineficiente e não neutro, isso porque os impostos incidem em cada etapa da produção, supondo que o setor de insumos intermediários venda um produto a 50 reais mais 10% ou 5 reais de impostos</w:t>
      </w:r>
      <w:r w:rsidR="00884548">
        <w:t>,</w:t>
      </w:r>
      <w:r w:rsidR="007E224E">
        <w:t xml:space="preserve"> isso representa um custo para o comprador de 55 reais, agora supondo que esse comprador irá agregar mais 15 reais ao produto</w:t>
      </w:r>
      <w:r w:rsidR="00884548">
        <w:t>,</w:t>
      </w:r>
      <w:r w:rsidR="007E224E">
        <w:t xml:space="preserve"> o consumidor irá pagar pelo mesmo 77 reais. O preço do produto sem impostos seria de 65 reais, com um imposto de 10% incidente sobre cada operação o valor vai a 77 devido a cumulatividade de tributos, caso fosse adotado um IVA que gerasse 5 reais de crédito </w:t>
      </w:r>
      <w:r w:rsidR="00884548">
        <w:t xml:space="preserve">ao último integrante da cadeia o preço do produto ao consumidor final seria então de 71,5 e o imposto corresponderia a exatamente a 10% do valor agregado ao produto. (OLIVEIRA, 2017), argumenta que o atual desenho da tributação sobre o consumo no Brasil, dividida em três impostos; ISS, ICMS e IPI, favorece situações como as descritas anteriormente, apesar de serem tributos geradores de crédito, </w:t>
      </w:r>
      <w:r w:rsidR="00123A44">
        <w:t>a cadeia produtiva</w:t>
      </w:r>
      <w:r w:rsidR="00884548">
        <w:t xml:space="preserve"> de petróleo e gás</w:t>
      </w:r>
      <w:r w:rsidR="00123A44">
        <w:t>, por exemplo</w:t>
      </w:r>
      <w:r w:rsidR="009F26E7">
        <w:t>,</w:t>
      </w:r>
      <w:r w:rsidR="00884548">
        <w:t xml:space="preserve"> possui incidências de ISS na extração de petróleo, a qual não gera crédito para a cobrança de ICMS nas etapas posteriores, sendo assim ocorre cumulatividade de tributos. </w:t>
      </w:r>
    </w:p>
    <w:p w14:paraId="1A9F3A95" w14:textId="0345F947" w:rsidR="00CE6340" w:rsidRPr="00BD0223" w:rsidRDefault="00C06F50" w:rsidP="00C117F2">
      <w:pPr>
        <w:pStyle w:val="TNORMAL"/>
      </w:pPr>
      <w:r w:rsidRPr="00BD0223">
        <w:lastRenderedPageBreak/>
        <w:t>Outros conceitos</w:t>
      </w:r>
      <w:r w:rsidR="00204E1D" w:rsidRPr="00BD0223">
        <w:t xml:space="preserve"> </w:t>
      </w:r>
      <w:r w:rsidRPr="00BD0223">
        <w:t>são importantes para operacionalização de um sistema tributário justo e eficiente</w:t>
      </w:r>
      <w:r w:rsidR="00E22BA1">
        <w:t xml:space="preserve">. </w:t>
      </w:r>
      <w:r w:rsidR="00884548">
        <w:t>(</w:t>
      </w:r>
      <w:r w:rsidR="00336D5F" w:rsidRPr="00BD0223">
        <w:t>G</w:t>
      </w:r>
      <w:r w:rsidR="00884548">
        <w:t xml:space="preserve">IAMBIAGI e ALÉM, </w:t>
      </w:r>
      <w:r w:rsidRPr="00BD0223">
        <w:t>2016) cita o princípio do benefício, levando-se em consideração esse aspecto</w:t>
      </w:r>
      <w:r w:rsidR="00884548">
        <w:t>,</w:t>
      </w:r>
      <w:r w:rsidRPr="00BD0223">
        <w:t xml:space="preserve"> no caso do ICMS sobre os combustíveis o argumento seria de que a arrecadação de tal imposto deveria ser direcionada o máximo possível para a manutenção de estradas. Outro princípio importante de acordo com </w:t>
      </w:r>
      <w:r w:rsidR="00336D5F" w:rsidRPr="00BD0223">
        <w:t>Giambiagi (</w:t>
      </w:r>
      <w:r w:rsidRPr="00BD0223">
        <w:t xml:space="preserve">2016) é referente a capacidade de pagamento de cada indivíduo, no caso específico da tributação sobre o consumo seria tributar mais bens de luxo, </w:t>
      </w:r>
      <w:r w:rsidR="000F23A2" w:rsidRPr="00BD0223">
        <w:t>demandados em quantidades maiores</w:t>
      </w:r>
      <w:r w:rsidRPr="00BD0223">
        <w:t xml:space="preserve"> por pessoas com alto poder aquisitivo, onerando o mínimo possível bens essenciais, os quais são demandados pela parte da população com renda mais baixa.</w:t>
      </w:r>
    </w:p>
    <w:p w14:paraId="28244277" w14:textId="09FA1F91" w:rsidR="00C06F50" w:rsidRPr="00BD0223" w:rsidRDefault="00494D01" w:rsidP="00C117F2">
      <w:pPr>
        <w:pStyle w:val="TNORMAL"/>
      </w:pPr>
      <w:r w:rsidRPr="00BD0223">
        <w:t>Concluindo</w:t>
      </w:r>
      <w:r w:rsidR="000F23A2" w:rsidRPr="00BD0223">
        <w:t xml:space="preserve">, </w:t>
      </w:r>
      <w:r w:rsidR="00C06F50" w:rsidRPr="00BD0223">
        <w:t xml:space="preserve">economistas e formuladores de políticas públicas frequentemente enfrentam dilemas e </w:t>
      </w:r>
      <w:r w:rsidR="00C06F50" w:rsidRPr="00BD0223">
        <w:rPr>
          <w:i/>
          <w:iCs/>
        </w:rPr>
        <w:t>tradeoffs</w:t>
      </w:r>
      <w:r w:rsidR="00C06F50" w:rsidRPr="00BD0223">
        <w:t xml:space="preserve"> </w:t>
      </w:r>
      <w:r w:rsidR="000F23A2" w:rsidRPr="00BD0223">
        <w:t>quando decidem realizar medidas as quais objetivam a construção de um</w:t>
      </w:r>
      <w:r w:rsidR="00C06F50" w:rsidRPr="00BD0223">
        <w:t xml:space="preserve"> sistema tributário ideal. A Teoria das Finanças Públicas ajuda na compreensão dos elementos que fazem com que a estrutura de impostos não gere grandes distorções n</w:t>
      </w:r>
      <w:r w:rsidRPr="00BD0223">
        <w:t>o sistema econômico</w:t>
      </w:r>
      <w:r w:rsidR="00C06F50" w:rsidRPr="00BD0223">
        <w:t xml:space="preserve">, porém como </w:t>
      </w:r>
      <w:r w:rsidR="00DE40A5" w:rsidRPr="00BD0223">
        <w:t>o</w:t>
      </w:r>
      <w:r w:rsidR="00C06F50" w:rsidRPr="00BD0223">
        <w:t xml:space="preserve"> atual </w:t>
      </w:r>
      <w:r w:rsidR="00DE40A5" w:rsidRPr="00BD0223">
        <w:t>momento</w:t>
      </w:r>
      <w:r w:rsidR="00C06F50" w:rsidRPr="00BD0223">
        <w:t xml:space="preserve"> fiscal dos estados brasileiros não </w:t>
      </w:r>
      <w:r w:rsidR="003C31FB" w:rsidRPr="00BD0223">
        <w:t>está em</w:t>
      </w:r>
      <w:r w:rsidR="00C06F50" w:rsidRPr="00BD0223">
        <w:t xml:space="preserve"> uma situação favorável, se torna difícil combinar todos os elementos da teoria e coloc</w:t>
      </w:r>
      <w:r w:rsidR="00E22BA1">
        <w:t>á</w:t>
      </w:r>
      <w:r w:rsidR="00C06F50" w:rsidRPr="00BD0223">
        <w:t xml:space="preserve">-los </w:t>
      </w:r>
      <w:r w:rsidRPr="00BD0223">
        <w:t>em</w:t>
      </w:r>
      <w:r w:rsidR="00C06F50" w:rsidRPr="00BD0223">
        <w:t xml:space="preserve"> prática.</w:t>
      </w:r>
    </w:p>
    <w:p w14:paraId="3417F924" w14:textId="0F7A0605" w:rsidR="000F23A2" w:rsidRPr="00BD0223" w:rsidRDefault="00C117F2" w:rsidP="00C117F2">
      <w:pPr>
        <w:pStyle w:val="TIT2"/>
      </w:pPr>
      <w:bookmarkStart w:id="3" w:name="_Toc55329607"/>
      <w:r w:rsidRPr="00BD0223">
        <w:rPr>
          <w:caps w:val="0"/>
        </w:rPr>
        <w:t>TEORIA DA TRIBUTAÇÃO ÓTIMA</w:t>
      </w:r>
      <w:bookmarkEnd w:id="3"/>
    </w:p>
    <w:p w14:paraId="4E6FEAB6" w14:textId="7BE511D1" w:rsidR="00351C23" w:rsidRPr="00BD0223" w:rsidRDefault="000F23A2" w:rsidP="00C117F2">
      <w:pPr>
        <w:pStyle w:val="TNORMAL"/>
      </w:pPr>
      <w:r w:rsidRPr="00BD0223">
        <w:t xml:space="preserve">Como foi citado no início do </w:t>
      </w:r>
      <w:r w:rsidR="00C93C97" w:rsidRPr="00BD0223">
        <w:t>trabalho</w:t>
      </w:r>
      <w:r w:rsidRPr="00BD0223">
        <w:t xml:space="preserve"> os primeiros estudos relacionados a tributação começaram com Adam Smith em sua obra clássica </w:t>
      </w:r>
      <w:r w:rsidRPr="00BD0223">
        <w:rPr>
          <w:i/>
          <w:iCs/>
        </w:rPr>
        <w:t>A Riqueza das Nações</w:t>
      </w:r>
      <w:r w:rsidRPr="00BD0223">
        <w:t>, onde o autor cita os princípios que devem estar presentes na tributação, tal análise se assemelha com a Teoria das Finanças Pública</w:t>
      </w:r>
      <w:r w:rsidR="009F6869" w:rsidRPr="00BD0223">
        <w:t>s</w:t>
      </w:r>
      <w:r w:rsidR="00351C23" w:rsidRPr="00BD0223">
        <w:t>. Pode-se dizer que a Teoria da Tributação Ótima se concentra na promoção da eficiência, objetivando criar uma estrutura tributária que gere uma maior arrecadação possível para o governo interferindo o mínimo possível no sistema econômico</w:t>
      </w:r>
      <w:r w:rsidR="00DE40A5" w:rsidRPr="00BD0223">
        <w:t>.</w:t>
      </w:r>
      <w:r w:rsidR="00351C23" w:rsidRPr="00BD0223">
        <w:t xml:space="preserve"> </w:t>
      </w:r>
      <w:r w:rsidR="00DE40A5" w:rsidRPr="00BD0223">
        <w:t>E</w:t>
      </w:r>
      <w:r w:rsidR="00351C23" w:rsidRPr="00BD0223">
        <w:t>studos mais recentes se concentraram em juntar os conceitos de eficiência com equidade</w:t>
      </w:r>
      <w:r w:rsidRPr="00BD0223">
        <w:t xml:space="preserve">. </w:t>
      </w:r>
    </w:p>
    <w:p w14:paraId="7E0570F7" w14:textId="298B4159" w:rsidR="00CE6340" w:rsidRPr="00BD0223" w:rsidRDefault="000F23A2" w:rsidP="00C117F2">
      <w:pPr>
        <w:pStyle w:val="TNORMAL"/>
      </w:pPr>
      <w:r w:rsidRPr="00BD0223">
        <w:t>A Teoria da Tributação Ótima se baseia</w:t>
      </w:r>
      <w:r w:rsidR="00351C23" w:rsidRPr="00BD0223">
        <w:t xml:space="preserve"> originalmente</w:t>
      </w:r>
      <w:r w:rsidRPr="00BD0223">
        <w:t xml:space="preserve"> em dois </w:t>
      </w:r>
      <w:r w:rsidR="00351C23" w:rsidRPr="00BD0223">
        <w:t>elementos principais</w:t>
      </w:r>
      <w:r w:rsidRPr="00BD0223">
        <w:t>, os quais devem reger uma estrutura tributária</w:t>
      </w:r>
      <w:r w:rsidR="00C93C97" w:rsidRPr="00BD0223">
        <w:t>,</w:t>
      </w:r>
      <w:r w:rsidRPr="00BD0223">
        <w:t xml:space="preserve"> retirados da obra de Adam Smith (</w:t>
      </w:r>
      <w:r w:rsidR="00210536">
        <w:t xml:space="preserve">BIDERMAN e </w:t>
      </w:r>
      <w:r w:rsidRPr="00BD0223">
        <w:t>AVARTE, 2004)</w:t>
      </w:r>
      <w:r w:rsidR="00494D01" w:rsidRPr="00BD0223">
        <w:t>:</w:t>
      </w:r>
      <w:r w:rsidRPr="00BD0223">
        <w:t xml:space="preserve"> a capacidade de pagamento de cada indivíduo</w:t>
      </w:r>
      <w:r w:rsidR="001C3AEF" w:rsidRPr="00BD0223">
        <w:t xml:space="preserve"> deve ser levada em consideração quando se toma a decisão de como montar o sistema tributário, deve haver</w:t>
      </w:r>
      <w:r w:rsidRPr="00BD0223">
        <w:t xml:space="preserve"> </w:t>
      </w:r>
      <w:r w:rsidR="001C3AEF" w:rsidRPr="00BD0223">
        <w:t>o</w:t>
      </w:r>
      <w:r w:rsidRPr="00BD0223">
        <w:t xml:space="preserve"> menor custo possível sobre o contribuinte não excedendo os benefícios gerados para o governo. Para isso a teoria analisa o equilíbrio no sentido de Pareto que </w:t>
      </w:r>
      <w:r w:rsidR="00DE40A5" w:rsidRPr="00BD0223">
        <w:t>pressupõe</w:t>
      </w:r>
      <w:r w:rsidRPr="00BD0223">
        <w:t xml:space="preserve"> não ser possível alterar </w:t>
      </w:r>
      <w:r w:rsidRPr="00BD0223">
        <w:lastRenderedPageBreak/>
        <w:t>alocação dos recursos da economia aumentando assim o bem-estar de um grupo sem prejudicar outros grupos (</w:t>
      </w:r>
      <w:r w:rsidR="00210536">
        <w:t xml:space="preserve">BIDERMAN e </w:t>
      </w:r>
      <w:r w:rsidRPr="00BD0223">
        <w:t>AVARTE, 2004).</w:t>
      </w:r>
    </w:p>
    <w:p w14:paraId="0ADEF970" w14:textId="028C2121" w:rsidR="00C93C97" w:rsidRPr="00BD0223" w:rsidRDefault="000F23A2" w:rsidP="00C117F2">
      <w:pPr>
        <w:pStyle w:val="TNORMAL"/>
      </w:pPr>
      <w:r w:rsidRPr="00BD0223">
        <w:t>O modelo mais simples</w:t>
      </w:r>
      <w:r w:rsidR="00351C23" w:rsidRPr="00BD0223">
        <w:t xml:space="preserve"> de estudo da tributação ótima das mercadorias</w:t>
      </w:r>
      <w:r w:rsidRPr="00BD0223">
        <w:t xml:space="preserve"> (</w:t>
      </w:r>
      <w:r w:rsidR="00210536">
        <w:t xml:space="preserve">BIDERMAN e </w:t>
      </w:r>
      <w:r w:rsidRPr="00BD0223">
        <w:t xml:space="preserve">AVARTE, 2004) supõe que o imposto é inteiramente </w:t>
      </w:r>
      <w:r w:rsidR="00351C23" w:rsidRPr="00BD0223">
        <w:t>re</w:t>
      </w:r>
      <w:r w:rsidRPr="00BD0223">
        <w:t>passado para os consumidores, a partir disso deriva-se uma função de utilidade e uma restrição orçamentária por parte do governo. Ramsey um economista do início do século XX acrescentou o que foi conhecido como a Regra de Ramsey, no estudo tem-se uma economia composta por um indivíduo onde o objetivo é introduzir um sistema de alíquotas que maximizem a função de utilidade do modelo clássico sujeita a restrição da receita do governo (</w:t>
      </w:r>
      <w:r w:rsidR="00210536">
        <w:t xml:space="preserve">BIDERMAN e </w:t>
      </w:r>
      <w:r w:rsidRPr="00BD0223">
        <w:t xml:space="preserve">AVARTE, 2004). Outro aspecto constatado por Ramsey diz respeito a Regra do Inverso da Elasticidade, </w:t>
      </w:r>
      <w:r w:rsidR="00C67110" w:rsidRPr="00BD0223">
        <w:t>a qual afirma que o</w:t>
      </w:r>
      <w:r w:rsidRPr="00BD0223">
        <w:t xml:space="preserve"> imposto de um determinado produto deve ser inversamente proporcional à sua elasticidade-preço da demanda se o objetivo</w:t>
      </w:r>
      <w:r w:rsidR="001C3AEF" w:rsidRPr="00BD0223">
        <w:t xml:space="preserve"> final</w:t>
      </w:r>
      <w:r w:rsidRPr="00BD0223">
        <w:t xml:space="preserve"> for gerar mais eficiência na arrecadação do governo.</w:t>
      </w:r>
      <w:r w:rsidR="00210536">
        <w:t xml:space="preserve"> Explicando de modo prático, desse ponto de vista produtos em que a demanda não é tão sensível a um aumento no preço de acordo com Ramsey devem possuir maior incidência de impostos, visto que a arrecadação não diminuirá devido a necessidade do produto e o consumo não se alterará o que terá como resultado um nível de influência menor sobre os investimentos na oferta do setor.</w:t>
      </w:r>
    </w:p>
    <w:p w14:paraId="0F382280" w14:textId="315D31C6" w:rsidR="00CE6340" w:rsidRPr="00BD0223" w:rsidRDefault="000F23A2" w:rsidP="00C117F2">
      <w:pPr>
        <w:pStyle w:val="TNORMAL"/>
      </w:pPr>
      <w:r w:rsidRPr="00BD0223">
        <w:t>Diamond e Mirrlees derivaram outra regra a partir das análises de Ramsey combinando o conceito da eficiência que já estava presente no modelo com o princípio da equidade. Diferente dos modelos anteriores esse modelo pressupõe uma economia com indivíduos</w:t>
      </w:r>
      <w:r w:rsidR="00351C23" w:rsidRPr="00BD0223">
        <w:t xml:space="preserve"> </w:t>
      </w:r>
      <w:r w:rsidR="00210536" w:rsidRPr="00BD0223">
        <w:t xml:space="preserve">de </w:t>
      </w:r>
      <w:r w:rsidR="00210536">
        <w:t>diferentes</w:t>
      </w:r>
      <w:r w:rsidR="00351C23" w:rsidRPr="00BD0223">
        <w:t xml:space="preserve"> características</w:t>
      </w:r>
      <w:r w:rsidR="00C93C97" w:rsidRPr="00BD0223">
        <w:t>, os quais possuem determinada aversão a desigualdade social</w:t>
      </w:r>
      <w:r w:rsidR="00CE6340" w:rsidRPr="00BD0223">
        <w:t xml:space="preserve"> </w:t>
      </w:r>
      <w:r w:rsidRPr="00BD0223">
        <w:t>(</w:t>
      </w:r>
      <w:r w:rsidR="00210536">
        <w:t xml:space="preserve">BIDERMAN e </w:t>
      </w:r>
      <w:r w:rsidRPr="00BD0223">
        <w:t xml:space="preserve">AVARTE, 2004). </w:t>
      </w:r>
      <w:r w:rsidR="00351C23" w:rsidRPr="00BD0223">
        <w:t>Diamond e Mirrlees</w:t>
      </w:r>
      <w:r w:rsidRPr="00BD0223">
        <w:t xml:space="preserve"> chega</w:t>
      </w:r>
      <w:r w:rsidR="00351C23" w:rsidRPr="00BD0223">
        <w:t>m</w:t>
      </w:r>
      <w:r w:rsidRPr="00BD0223">
        <w:t xml:space="preserve"> a duas conclusões principais em relação </w:t>
      </w:r>
      <w:r w:rsidR="009F6869" w:rsidRPr="00BD0223">
        <w:t>à</w:t>
      </w:r>
      <w:r w:rsidRPr="00BD0223">
        <w:t xml:space="preserve"> demanda agregada por um produto</w:t>
      </w:r>
      <w:r w:rsidR="00351C23" w:rsidRPr="00BD0223">
        <w:t>:</w:t>
      </w:r>
      <w:r w:rsidRPr="00BD0223">
        <w:t xml:space="preserve"> diminui quando o mesmo é consumido por pessoas cuja utilidade marginal social da renda é alta, é menor quanto mais for demandado por indivíduos com</w:t>
      </w:r>
      <w:r w:rsidR="001C3AEF" w:rsidRPr="00BD0223">
        <w:t xml:space="preserve"> significativa</w:t>
      </w:r>
      <w:r w:rsidRPr="00BD0223">
        <w:t xml:space="preserve"> propensão marginal a consumir (</w:t>
      </w:r>
      <w:r w:rsidR="00210536">
        <w:t xml:space="preserve">BIDERMAN e </w:t>
      </w:r>
      <w:r w:rsidRPr="00BD0223">
        <w:t>AVARTE, 2004).</w:t>
      </w:r>
    </w:p>
    <w:p w14:paraId="676DAD93" w14:textId="146D3D4E" w:rsidR="00C67110" w:rsidRDefault="000F23A2" w:rsidP="00C117F2">
      <w:pPr>
        <w:pStyle w:val="TNORMAL"/>
      </w:pPr>
      <w:r w:rsidRPr="00BD0223">
        <w:t>Portanto a Teoria da Tributação Ótima, principalmente no que diz respeito a tributação sobre o consumo</w:t>
      </w:r>
      <w:r w:rsidR="004A00E8" w:rsidRPr="00BD0223">
        <w:t>,</w:t>
      </w:r>
      <w:r w:rsidRPr="00BD0223">
        <w:t xml:space="preserve"> vai de encontro </w:t>
      </w:r>
      <w:r w:rsidR="00351C23" w:rsidRPr="00BD0223">
        <w:t>à</w:t>
      </w:r>
      <w:r w:rsidRPr="00BD0223">
        <w:t>s conclusões e dilemas referentes a Teoria das Finanças Públicas. Estudos mais recentes tentam analisar a tributação do consumo na presença do imposto de renda, porém o trade-off continua o mesmo, como gerar maior eficiência a um sistema tributário sem prejudicar a equidade.</w:t>
      </w:r>
    </w:p>
    <w:p w14:paraId="3DD597D4" w14:textId="462E6639" w:rsidR="008936D6" w:rsidRDefault="008936D6" w:rsidP="00C117F2">
      <w:pPr>
        <w:pStyle w:val="TNORMAL"/>
      </w:pPr>
    </w:p>
    <w:p w14:paraId="24E0D8C4" w14:textId="08A4393D" w:rsidR="003105AA" w:rsidRDefault="00C117F2" w:rsidP="004F409C">
      <w:pPr>
        <w:pStyle w:val="TIT1"/>
        <w:jc w:val="center"/>
        <w:rPr>
          <w:caps w:val="0"/>
        </w:rPr>
      </w:pPr>
      <w:bookmarkStart w:id="4" w:name="_Toc55329608"/>
      <w:r w:rsidRPr="00BD0223">
        <w:rPr>
          <w:caps w:val="0"/>
        </w:rPr>
        <w:lastRenderedPageBreak/>
        <w:t>HISTÓRICO E CARACTERIZAÇÃO DO I</w:t>
      </w:r>
      <w:r w:rsidR="002F6E9D">
        <w:rPr>
          <w:caps w:val="0"/>
        </w:rPr>
        <w:t>CMS I</w:t>
      </w:r>
      <w:r w:rsidRPr="00BD0223">
        <w:rPr>
          <w:caps w:val="0"/>
        </w:rPr>
        <w:t>NCIDENTE NOS COMBUSTÍVEIS NO BRASIL</w:t>
      </w:r>
      <w:bookmarkEnd w:id="4"/>
    </w:p>
    <w:p w14:paraId="1F348E49" w14:textId="3BFA6758" w:rsidR="00210536" w:rsidRPr="00210536" w:rsidRDefault="00210536" w:rsidP="00210536">
      <w:pPr>
        <w:pStyle w:val="TNORMAL"/>
      </w:pPr>
      <w:r>
        <w:t>O presente capítulo possui o objetivo de traçar um panorama histórico da tributação sobre o consumo em geral e sobre os combustíveis líquidos. No caso brasileiro tal an</w:t>
      </w:r>
      <w:r w:rsidR="00605EEF">
        <w:t>álise é importante, pois os eventos históricos de ganhos e perda de autonomia dos entes federativos sobre as decisões de tributação e arrecadação sempre se alternam devido a eventos de ordem econômica e política os quais tendem a favorecer entes em detrimentos de outros dependendo do momento histórico que se estuda.</w:t>
      </w:r>
    </w:p>
    <w:p w14:paraId="60E8A08E" w14:textId="0CE13D45" w:rsidR="00CC51C7" w:rsidRPr="009F26E7" w:rsidRDefault="007953BA" w:rsidP="00C117F2">
      <w:pPr>
        <w:pStyle w:val="TIT2"/>
      </w:pPr>
      <w:bookmarkStart w:id="5" w:name="_Toc55329609"/>
      <w:r w:rsidRPr="009F26E7">
        <w:rPr>
          <w:caps w:val="0"/>
        </w:rPr>
        <w:t xml:space="preserve">INSTITUIÇÃO E </w:t>
      </w:r>
      <w:r w:rsidR="00C117F2" w:rsidRPr="009F26E7">
        <w:rPr>
          <w:caps w:val="0"/>
        </w:rPr>
        <w:t xml:space="preserve">EVOLUÇÃO DO </w:t>
      </w:r>
      <w:r w:rsidR="002F6E9D" w:rsidRPr="009F26E7">
        <w:rPr>
          <w:caps w:val="0"/>
        </w:rPr>
        <w:t>ICMS</w:t>
      </w:r>
      <w:bookmarkEnd w:id="5"/>
    </w:p>
    <w:p w14:paraId="3AC29EF5" w14:textId="3880FC97" w:rsidR="00E77ED2" w:rsidRDefault="007072C3" w:rsidP="00C117F2">
      <w:pPr>
        <w:pStyle w:val="TNORMAL"/>
      </w:pPr>
      <w:r w:rsidRPr="00BD0223">
        <w:t>A reforma tributária de 1966</w:t>
      </w:r>
      <w:r w:rsidR="00D8324A" w:rsidRPr="00BD0223">
        <w:t>,</w:t>
      </w:r>
      <w:r w:rsidR="00A54E85" w:rsidRPr="00BD0223">
        <w:t xml:space="preserve"> introduzida durante o período militar no Brasil</w:t>
      </w:r>
      <w:r w:rsidR="00D8324A" w:rsidRPr="00BD0223">
        <w:t>,</w:t>
      </w:r>
      <w:r w:rsidRPr="00BD0223">
        <w:t xml:space="preserve"> representou um </w:t>
      </w:r>
      <w:r w:rsidR="00542F3F" w:rsidRPr="00BD0223">
        <w:t>avanço considerável</w:t>
      </w:r>
      <w:r w:rsidRPr="00BD0223">
        <w:t xml:space="preserve"> na criação de regras tributárias modernas para época</w:t>
      </w:r>
      <w:r w:rsidR="00605EEF">
        <w:t>, que iam em direção a uma melhor distribuição de incidências sobre bases econômicas relacionadas ao consumo, renda e a produção (OLIVEIRA, 2017)</w:t>
      </w:r>
      <w:r w:rsidR="00E77ED2">
        <w:t>.</w:t>
      </w:r>
      <w:r w:rsidR="00201EC7">
        <w:t xml:space="preserve"> </w:t>
      </w:r>
      <w:r w:rsidR="00E77ED2">
        <w:t>O</w:t>
      </w:r>
      <w:r w:rsidR="00201EC7">
        <w:t>correu desde então</w:t>
      </w:r>
      <w:r w:rsidRPr="00BD0223">
        <w:t xml:space="preserve"> </w:t>
      </w:r>
      <w:r w:rsidR="00201EC7">
        <w:t>o</w:t>
      </w:r>
      <w:r w:rsidRPr="00BD0223">
        <w:t xml:space="preserve"> estabelecimento de </w:t>
      </w:r>
      <w:r w:rsidR="00A54E85" w:rsidRPr="00BD0223">
        <w:t>diretrizes</w:t>
      </w:r>
      <w:r w:rsidR="00201EC7">
        <w:t xml:space="preserve"> mais claras</w:t>
      </w:r>
      <w:r w:rsidRPr="00BD0223">
        <w:t xml:space="preserve"> para</w:t>
      </w:r>
      <w:r w:rsidR="00131DFD" w:rsidRPr="00BD0223">
        <w:t xml:space="preserve"> </w:t>
      </w:r>
      <w:r w:rsidRPr="00BD0223">
        <w:t>atuação e arrecadação dos estados e municípios</w:t>
      </w:r>
      <w:r w:rsidR="0035642E" w:rsidRPr="00BD0223">
        <w:t>,</w:t>
      </w:r>
      <w:r w:rsidRPr="00BD0223">
        <w:t xml:space="preserve"> assim como a tentativa de retirar distorções tributárias definindo impostos de natureza fiscal</w:t>
      </w:r>
      <w:r w:rsidR="00605EEF">
        <w:t>; relacionad</w:t>
      </w:r>
      <w:r w:rsidR="00201EC7">
        <w:t>as a arrecadação</w:t>
      </w:r>
      <w:r w:rsidR="00E77ED2">
        <w:t>,</w:t>
      </w:r>
      <w:r w:rsidRPr="00BD0223">
        <w:t xml:space="preserve"> e pa</w:t>
      </w:r>
      <w:r w:rsidR="00201EC7">
        <w:t>rafiscal; relativo ao uso do sistema tributário como indutor de crescimento econômico</w:t>
      </w:r>
      <w:r w:rsidRPr="00BD0223">
        <w:t xml:space="preserve">. </w:t>
      </w:r>
    </w:p>
    <w:p w14:paraId="5764611E" w14:textId="06116B76" w:rsidR="00B64E20" w:rsidRPr="00BD0223" w:rsidRDefault="00CC51C7" w:rsidP="00C117F2">
      <w:pPr>
        <w:pStyle w:val="TNORMAL"/>
      </w:pPr>
      <w:r w:rsidRPr="00BD0223">
        <w:t xml:space="preserve">O ICMS foi introduzido </w:t>
      </w:r>
      <w:r w:rsidR="007072C3" w:rsidRPr="00BD0223">
        <w:t>n</w:t>
      </w:r>
      <w:r w:rsidR="00E77ED2">
        <w:t>o contexto da reforma tributária de 1966</w:t>
      </w:r>
      <w:r w:rsidR="00226D2E" w:rsidRPr="00BD0223">
        <w:t>,</w:t>
      </w:r>
      <w:r w:rsidR="007072C3" w:rsidRPr="00BD0223">
        <w:t xml:space="preserve"> inicialmente</w:t>
      </w:r>
      <w:r w:rsidRPr="00BD0223">
        <w:t xml:space="preserve"> sob o nome de ICM (Imposto Sobre Circulação de Mercadorias)</w:t>
      </w:r>
      <w:r w:rsidR="006A0D5E" w:rsidRPr="00BD0223">
        <w:t>,</w:t>
      </w:r>
      <w:r w:rsidRPr="00BD0223">
        <w:t xml:space="preserve"> que na época substituiu o </w:t>
      </w:r>
      <w:r w:rsidR="00201EC7" w:rsidRPr="00BD0223">
        <w:t>então imposto</w:t>
      </w:r>
      <w:r w:rsidR="00093E18" w:rsidRPr="00BD0223">
        <w:t xml:space="preserve"> sobre</w:t>
      </w:r>
      <w:r w:rsidRPr="00BD0223">
        <w:t xml:space="preserve"> </w:t>
      </w:r>
      <w:r w:rsidR="006E4C25" w:rsidRPr="00BD0223">
        <w:t>Vendas e Consignações</w:t>
      </w:r>
      <w:r w:rsidRPr="00BD0223">
        <w:t xml:space="preserve">, </w:t>
      </w:r>
      <w:r w:rsidRPr="00201EC7">
        <w:t>o qual possuía características de tributação cumulativa e gerava diversas distorções em determinadas cadeias produtivas</w:t>
      </w:r>
      <w:r w:rsidR="00201EC7">
        <w:t xml:space="preserve"> (O</w:t>
      </w:r>
      <w:r w:rsidR="00F23458">
        <w:t>LIVEIRA</w:t>
      </w:r>
      <w:r w:rsidR="00201EC7">
        <w:t>, 2017)</w:t>
      </w:r>
      <w:r w:rsidRPr="00BD0223">
        <w:t>.</w:t>
      </w:r>
      <w:r w:rsidR="00C0239C" w:rsidRPr="00BD0223">
        <w:t xml:space="preserve"> O poder de definição das alíquotas de ICM ficou a cargo inicialmente do governo federal</w:t>
      </w:r>
      <w:r w:rsidR="00B64E20" w:rsidRPr="00BD0223">
        <w:t xml:space="preserve"> que definia uma alíquota única para o país</w:t>
      </w:r>
      <w:r w:rsidR="00C0239C" w:rsidRPr="00BD0223">
        <w:t>, embora a responsabilidade de arrecadação fosse dos estados e os mesmos deveriam repassar 20% d</w:t>
      </w:r>
      <w:r w:rsidR="00093E18" w:rsidRPr="00BD0223">
        <w:t>os recursos</w:t>
      </w:r>
      <w:r w:rsidR="00C0239C" w:rsidRPr="00BD0223">
        <w:t xml:space="preserve"> aos municípios.</w:t>
      </w:r>
    </w:p>
    <w:p w14:paraId="40EEAD91" w14:textId="74901062" w:rsidR="00C0239C" w:rsidRPr="00BD0223" w:rsidRDefault="00B64E20" w:rsidP="00C117F2">
      <w:pPr>
        <w:pStyle w:val="TNORMAL"/>
      </w:pPr>
      <w:r w:rsidRPr="00BD0223">
        <w:t xml:space="preserve">Durante a década de </w:t>
      </w:r>
      <w:r w:rsidR="006E4C25" w:rsidRPr="00BD0223">
        <w:t>19</w:t>
      </w:r>
      <w:r w:rsidRPr="00BD0223">
        <w:t xml:space="preserve">70 com o fim do </w:t>
      </w:r>
      <w:r w:rsidR="00635AB6" w:rsidRPr="00BD0223">
        <w:t>“</w:t>
      </w:r>
      <w:r w:rsidRPr="00BD0223">
        <w:t>milagre econômico</w:t>
      </w:r>
      <w:r w:rsidR="00635AB6" w:rsidRPr="00BD0223">
        <w:t>”</w:t>
      </w:r>
      <w:r w:rsidRPr="00BD0223">
        <w:t xml:space="preserve"> e as elevadas isenções fiscais concedidas pelo governo federal, os déficits orçamentários a nível estadual começaram a se elevar e a discussão em torno do ICM estava dentro do debate. Foi o momento em que ficou claro o caráter centralizador do sistema tributário da época, isenções de ICM eram constantemente feitas pelo governo federal a fim de estimular certos setores</w:t>
      </w:r>
      <w:r w:rsidR="00093E18" w:rsidRPr="00BD0223">
        <w:t>,</w:t>
      </w:r>
      <w:r w:rsidRPr="00BD0223">
        <w:t xml:space="preserve"> </w:t>
      </w:r>
      <w:r w:rsidR="00284D06" w:rsidRPr="00BD0223">
        <w:t>consequentemente afetando a</w:t>
      </w:r>
      <w:r w:rsidRPr="00BD0223">
        <w:t xml:space="preserve"> arrecadação dos entes federativos</w:t>
      </w:r>
      <w:r w:rsidR="00F23458">
        <w:t xml:space="preserve"> (PAZ, 2008)</w:t>
      </w:r>
      <w:r w:rsidRPr="00BD0223">
        <w:t xml:space="preserve">. A partir de 1977/1978 o governo </w:t>
      </w:r>
      <w:r w:rsidRPr="00BD0223">
        <w:lastRenderedPageBreak/>
        <w:t>federal passou a absorver as isenções relativas ao ICM e também aumento</w:t>
      </w:r>
      <w:r w:rsidR="00426DE8" w:rsidRPr="00BD0223">
        <w:t>u</w:t>
      </w:r>
      <w:r w:rsidRPr="00BD0223">
        <w:t xml:space="preserve"> o percentual de </w:t>
      </w:r>
      <w:r w:rsidR="00426DE8" w:rsidRPr="00BD0223">
        <w:t>transferências transmitidas através do Fundo de Participação dos Estados e Municípios</w:t>
      </w:r>
      <w:r w:rsidRPr="00BD0223">
        <w:t xml:space="preserve">. </w:t>
      </w:r>
    </w:p>
    <w:p w14:paraId="56025E3F" w14:textId="3C46EA66" w:rsidR="004A00E8" w:rsidRPr="00BD0223" w:rsidRDefault="00B64E20" w:rsidP="00C117F2">
      <w:pPr>
        <w:pStyle w:val="TNORMAL"/>
      </w:pPr>
      <w:r w:rsidRPr="00BD0223">
        <w:t xml:space="preserve">Com a </w:t>
      </w:r>
      <w:r w:rsidR="00426DE8" w:rsidRPr="00BD0223">
        <w:t>C</w:t>
      </w:r>
      <w:r w:rsidRPr="00BD0223">
        <w:t>onstituição de</w:t>
      </w:r>
      <w:r w:rsidR="00426DE8" w:rsidRPr="00BD0223">
        <w:t xml:space="preserve"> 1988 ficou clara a tentativa de descentralização </w:t>
      </w:r>
      <w:r w:rsidR="00F538C3" w:rsidRPr="00BD0223">
        <w:t>das</w:t>
      </w:r>
      <w:r w:rsidR="00426DE8" w:rsidRPr="00BD0223">
        <w:t xml:space="preserve"> decisões do sistema tributário</w:t>
      </w:r>
      <w:r w:rsidR="00F23458">
        <w:t xml:space="preserve"> (OLIVEIRA, 2017)</w:t>
      </w:r>
      <w:r w:rsidR="00426DE8" w:rsidRPr="00BD0223">
        <w:t xml:space="preserve">. </w:t>
      </w:r>
      <w:r w:rsidR="00426DE8" w:rsidRPr="00201EC7">
        <w:t>O I</w:t>
      </w:r>
      <w:r w:rsidR="00201EC7" w:rsidRPr="00201EC7">
        <w:t>mposto Sobre Circulação de Mercadorias</w:t>
      </w:r>
      <w:r w:rsidR="00426DE8" w:rsidRPr="00201EC7">
        <w:t xml:space="preserve"> passou a ser chamado como é atualmente Imposto </w:t>
      </w:r>
      <w:r w:rsidR="00FF2038" w:rsidRPr="00201EC7">
        <w:t>s</w:t>
      </w:r>
      <w:r w:rsidR="00426DE8" w:rsidRPr="00201EC7">
        <w:t>obre</w:t>
      </w:r>
      <w:r w:rsidR="00FF2038" w:rsidRPr="00201EC7">
        <w:t xml:space="preserve"> </w:t>
      </w:r>
      <w:r w:rsidR="00891D7C" w:rsidRPr="00891D7C">
        <w:rPr>
          <w:rFonts w:cs="Times New Roman"/>
          <w:color w:val="202124"/>
          <w:shd w:val="clear" w:color="auto" w:fill="FFFFFF"/>
        </w:rPr>
        <w:t>Operações relativas à Circulação de Mercadorias e sobre Prestações de Serviços de Transporte Interestadual, Intermunicipal e de Comunicação</w:t>
      </w:r>
      <w:r w:rsidR="00201EC7" w:rsidRPr="00201EC7">
        <w:t xml:space="preserve">, por ter incorporado </w:t>
      </w:r>
      <w:r w:rsidR="00426DE8" w:rsidRPr="00201EC7">
        <w:t xml:space="preserve">outros impostos </w:t>
      </w:r>
      <w:r w:rsidR="00504E04" w:rsidRPr="00201EC7">
        <w:t>sobre o consumo de produtos específicos</w:t>
      </w:r>
      <w:r w:rsidR="00201EC7">
        <w:t>, a exemplo o Imposto Único Sobre Combustíveis Líquidos</w:t>
      </w:r>
      <w:r w:rsidR="00504E04" w:rsidRPr="00201EC7">
        <w:t>.</w:t>
      </w:r>
      <w:r w:rsidR="00A10DAA" w:rsidRPr="00201EC7">
        <w:t xml:space="preserve"> </w:t>
      </w:r>
      <w:r w:rsidR="0092203E" w:rsidRPr="00201EC7">
        <w:t>N</w:t>
      </w:r>
      <w:r w:rsidR="00A10DAA" w:rsidRPr="00201EC7">
        <w:t xml:space="preserve">esse contexto </w:t>
      </w:r>
      <w:r w:rsidR="00A20F8D" w:rsidRPr="00201EC7">
        <w:t>f</w:t>
      </w:r>
      <w:r w:rsidR="00504E04" w:rsidRPr="00201EC7">
        <w:t xml:space="preserve">icou determinado que o </w:t>
      </w:r>
      <w:r w:rsidR="00891D7C">
        <w:t>ICMS</w:t>
      </w:r>
      <w:r w:rsidR="00504E04" w:rsidRPr="00201EC7">
        <w:t xml:space="preserve"> </w:t>
      </w:r>
      <w:r w:rsidR="00504E04" w:rsidRPr="00BD0223">
        <w:t xml:space="preserve">seria de responsabilidade dos estados no que </w:t>
      </w:r>
      <w:r w:rsidR="009A3F0F" w:rsidRPr="00BD0223">
        <w:t>se referia</w:t>
      </w:r>
      <w:r w:rsidR="00504E04" w:rsidRPr="00BD0223">
        <w:t xml:space="preserve"> </w:t>
      </w:r>
      <w:r w:rsidR="009A3F0F" w:rsidRPr="00BD0223">
        <w:t>à</w:t>
      </w:r>
      <w:r w:rsidR="00504E04" w:rsidRPr="00BD0223">
        <w:t xml:space="preserve"> arrecadação, e os mesmo possuiriam certa autonomia em relação </w:t>
      </w:r>
      <w:r w:rsidR="009838EE" w:rsidRPr="00BD0223">
        <w:t>à</w:t>
      </w:r>
      <w:r w:rsidR="00504E04" w:rsidRPr="00BD0223">
        <w:t xml:space="preserve"> política de alíquotas</w:t>
      </w:r>
      <w:r w:rsidR="00F538C3" w:rsidRPr="00BD0223">
        <w:t xml:space="preserve">, devendo respeitar as regras </w:t>
      </w:r>
      <w:r w:rsidR="00284D06" w:rsidRPr="00BD0223">
        <w:t>que seriam i</w:t>
      </w:r>
      <w:r w:rsidR="009A3F0F" w:rsidRPr="00BD0223">
        <w:t>nstituídas</w:t>
      </w:r>
      <w:r w:rsidR="00284D06" w:rsidRPr="00BD0223">
        <w:t xml:space="preserve"> pelo</w:t>
      </w:r>
      <w:r w:rsidR="00F538C3" w:rsidRPr="00BD0223">
        <w:t xml:space="preserve"> </w:t>
      </w:r>
      <w:r w:rsidR="00F538C3" w:rsidRPr="00201EC7">
        <w:t>C</w:t>
      </w:r>
      <w:r w:rsidR="00F23458">
        <w:t>ONFAZ</w:t>
      </w:r>
      <w:r w:rsidR="00284D06" w:rsidRPr="00201EC7">
        <w:t xml:space="preserve"> (Conselho Nacional de Política Fazendária</w:t>
      </w:r>
      <w:r w:rsidR="00284D06" w:rsidRPr="00BD0223">
        <w:t>)</w:t>
      </w:r>
      <w:r w:rsidR="00201EC7">
        <w:t>, conselho este criado justamente para administrar o conflito interestadual em relação a impostos e políticas de desenvolvimento regional</w:t>
      </w:r>
      <w:r w:rsidR="00093E18" w:rsidRPr="00BD0223">
        <w:t xml:space="preserve">. </w:t>
      </w:r>
      <w:r w:rsidR="00F538C3" w:rsidRPr="00BD0223">
        <w:t xml:space="preserve">Outro aspecto importante </w:t>
      </w:r>
      <w:r w:rsidR="009A3F0F" w:rsidRPr="00BD0223">
        <w:t>introduzido</w:t>
      </w:r>
      <w:r w:rsidR="00F538C3" w:rsidRPr="00BD0223">
        <w:t xml:space="preserve"> pela constituinte</w:t>
      </w:r>
      <w:r w:rsidR="00201EC7">
        <w:t xml:space="preserve"> e em administrações posteriores,</w:t>
      </w:r>
      <w:r w:rsidR="00F538C3" w:rsidRPr="00BD0223">
        <w:t xml:space="preserve"> diz</w:t>
      </w:r>
      <w:r w:rsidR="009A3F0F" w:rsidRPr="00BD0223">
        <w:t>ia</w:t>
      </w:r>
      <w:r w:rsidR="00F538C3" w:rsidRPr="00BD0223">
        <w:t xml:space="preserve"> respeito a obrigação de destinação de parcelas pré-determinadas de recursos </w:t>
      </w:r>
      <w:r w:rsidR="0035642E" w:rsidRPr="00BD0223">
        <w:t>provenientes d</w:t>
      </w:r>
      <w:r w:rsidR="00F538C3" w:rsidRPr="00BD0223">
        <w:t>os impostos: ICMS</w:t>
      </w:r>
      <w:r w:rsidR="0035642E" w:rsidRPr="00BD0223">
        <w:t xml:space="preserve"> </w:t>
      </w:r>
      <w:r w:rsidR="00284D06" w:rsidRPr="00BD0223">
        <w:t>(imposto estadual)</w:t>
      </w:r>
      <w:r w:rsidR="00F538C3" w:rsidRPr="00BD0223">
        <w:t xml:space="preserve"> e ISS</w:t>
      </w:r>
      <w:r w:rsidR="0035642E" w:rsidRPr="00BD0223">
        <w:t xml:space="preserve"> </w:t>
      </w:r>
      <w:r w:rsidR="00284D06" w:rsidRPr="00BD0223">
        <w:t>(</w:t>
      </w:r>
      <w:r w:rsidR="0035642E" w:rsidRPr="00BD0223">
        <w:t>i</w:t>
      </w:r>
      <w:r w:rsidR="00284D06" w:rsidRPr="00BD0223">
        <w:t>mposto municipal)</w:t>
      </w:r>
      <w:r w:rsidR="00F538C3" w:rsidRPr="00BD0223">
        <w:t xml:space="preserve">, às áreas </w:t>
      </w:r>
      <w:r w:rsidR="00F538C3" w:rsidRPr="00201EC7">
        <w:t xml:space="preserve">de saúde </w:t>
      </w:r>
      <w:r w:rsidR="00F538C3" w:rsidRPr="00BD0223">
        <w:t xml:space="preserve">e educação. </w:t>
      </w:r>
    </w:p>
    <w:p w14:paraId="01374993" w14:textId="07890A91" w:rsidR="0092203E" w:rsidRPr="00BD0223" w:rsidRDefault="004A00E8" w:rsidP="00C117F2">
      <w:pPr>
        <w:pStyle w:val="TNORMAL"/>
      </w:pPr>
      <w:r w:rsidRPr="00BD0223">
        <w:t>Como resultado da Constituição de 1988 o governo federal perdeu</w:t>
      </w:r>
      <w:r w:rsidR="00093E18" w:rsidRPr="00BD0223">
        <w:t xml:space="preserve"> influência</w:t>
      </w:r>
      <w:r w:rsidRPr="00BD0223">
        <w:t xml:space="preserve"> nas decisões</w:t>
      </w:r>
      <w:r w:rsidR="00093E18" w:rsidRPr="00BD0223">
        <w:t xml:space="preserve"> </w:t>
      </w:r>
      <w:r w:rsidRPr="00BD0223">
        <w:t>relacionadas</w:t>
      </w:r>
      <w:r w:rsidR="00093E18" w:rsidRPr="00BD0223">
        <w:t xml:space="preserve"> </w:t>
      </w:r>
      <w:r w:rsidRPr="00BD0223">
        <w:t>à</w:t>
      </w:r>
      <w:r w:rsidR="00093E18" w:rsidRPr="00BD0223">
        <w:t xml:space="preserve"> política de alíquotas de ICMS e ISS, </w:t>
      </w:r>
      <w:r w:rsidRPr="00BD0223">
        <w:t>o que fez o mesmo intensificar</w:t>
      </w:r>
      <w:r w:rsidR="00093E18" w:rsidRPr="00BD0223">
        <w:t xml:space="preserve"> o uso de contribuições sociais como o P</w:t>
      </w:r>
      <w:r w:rsidR="00F23458">
        <w:t>IS</w:t>
      </w:r>
      <w:r w:rsidRPr="00BD0223">
        <w:t xml:space="preserve"> e o</w:t>
      </w:r>
      <w:r w:rsidR="00093E18" w:rsidRPr="00BD0223">
        <w:t xml:space="preserve"> C</w:t>
      </w:r>
      <w:r w:rsidR="00F23458">
        <w:t>OFINS</w:t>
      </w:r>
      <w:r w:rsidR="00093E18" w:rsidRPr="00BD0223">
        <w:t xml:space="preserve">, </w:t>
      </w:r>
      <w:r w:rsidRPr="00BD0223">
        <w:t>mantendo</w:t>
      </w:r>
      <w:r w:rsidR="00093E18" w:rsidRPr="00BD0223">
        <w:t xml:space="preserve"> assim a maior parte da carga tributária </w:t>
      </w:r>
      <w:r w:rsidRPr="00BD0223">
        <w:t>sobre sua responsabilidade</w:t>
      </w:r>
      <w:r w:rsidR="00F23458">
        <w:t xml:space="preserve"> (OLIVEIRA, 2017)</w:t>
      </w:r>
      <w:r w:rsidR="006E165E" w:rsidRPr="00BD0223">
        <w:t>. O</w:t>
      </w:r>
      <w:r w:rsidR="00A54E85" w:rsidRPr="00BD0223">
        <w:t xml:space="preserve"> presidente </w:t>
      </w:r>
      <w:r w:rsidR="006E165E" w:rsidRPr="00BD0223">
        <w:t>da república,</w:t>
      </w:r>
      <w:r w:rsidR="00093E18" w:rsidRPr="00BD0223">
        <w:t xml:space="preserve"> no entanto não possu</w:t>
      </w:r>
      <w:r w:rsidR="00A54E85" w:rsidRPr="00BD0223">
        <w:t>iria</w:t>
      </w:r>
      <w:r w:rsidR="00093E18" w:rsidRPr="00BD0223">
        <w:t xml:space="preserve"> autonomia para a utilização dos recursos</w:t>
      </w:r>
      <w:r w:rsidR="006E165E" w:rsidRPr="00BD0223">
        <w:t xml:space="preserve"> das contribuições</w:t>
      </w:r>
      <w:r w:rsidR="00A54E85" w:rsidRPr="00BD0223">
        <w:t>,</w:t>
      </w:r>
      <w:r w:rsidR="00093E18" w:rsidRPr="00BD0223">
        <w:t xml:space="preserve"> que devido as regras da constituinte deveriam ser destinad</w:t>
      </w:r>
      <w:r w:rsidR="00A54E85" w:rsidRPr="00BD0223">
        <w:t>o</w:t>
      </w:r>
      <w:r w:rsidR="00093E18" w:rsidRPr="00BD0223">
        <w:t>s a determinadas áreas como a seguridade social</w:t>
      </w:r>
      <w:r w:rsidR="006E165E" w:rsidRPr="00BD0223">
        <w:t>. Isso gerou problemas para diversos governos que</w:t>
      </w:r>
      <w:r w:rsidR="00FF2038" w:rsidRPr="00BD0223">
        <w:t xml:space="preserve"> desde a implantação do Plano Real</w:t>
      </w:r>
      <w:r w:rsidR="00570A34" w:rsidRPr="00BD0223">
        <w:t>,</w:t>
      </w:r>
      <w:r w:rsidR="00FF2038" w:rsidRPr="00BD0223">
        <w:t xml:space="preserve"> </w:t>
      </w:r>
      <w:r w:rsidR="00570A34" w:rsidRPr="00BD0223">
        <w:t>quando</w:t>
      </w:r>
      <w:r w:rsidR="00FF2038" w:rsidRPr="00BD0223">
        <w:t xml:space="preserve"> foi criado </w:t>
      </w:r>
      <w:r w:rsidR="0070384D" w:rsidRPr="00BD0223">
        <w:t xml:space="preserve">o </w:t>
      </w:r>
      <w:r w:rsidR="00FF2038" w:rsidRPr="00BD0223">
        <w:t xml:space="preserve">Fundo Social de Emergência, </w:t>
      </w:r>
      <w:r w:rsidR="006E165E" w:rsidRPr="00BD0223">
        <w:t>começaram</w:t>
      </w:r>
      <w:r w:rsidR="0035642E" w:rsidRPr="00BD0223">
        <w:t xml:space="preserve"> a</w:t>
      </w:r>
      <w:r w:rsidR="006E165E" w:rsidRPr="00BD0223">
        <w:t xml:space="preserve"> utilizar</w:t>
      </w:r>
      <w:r w:rsidR="00FF2038" w:rsidRPr="00BD0223">
        <w:t xml:space="preserve"> artifícios para desvincularem receitas da União</w:t>
      </w:r>
      <w:r w:rsidR="006E165E" w:rsidRPr="00BD0223">
        <w:t>,</w:t>
      </w:r>
      <w:r w:rsidR="00FF2038" w:rsidRPr="00BD0223">
        <w:t xml:space="preserve"> principalmente para fins de políticas </w:t>
      </w:r>
      <w:r w:rsidR="009A61E7" w:rsidRPr="00BD0223">
        <w:t xml:space="preserve">voltadas a geração </w:t>
      </w:r>
      <w:r w:rsidR="00FF2038" w:rsidRPr="00BD0223">
        <w:t>de superávit</w:t>
      </w:r>
      <w:r w:rsidR="00A54E85" w:rsidRPr="00BD0223">
        <w:t>s</w:t>
      </w:r>
      <w:r w:rsidR="00FF2038" w:rsidRPr="00BD0223">
        <w:t xml:space="preserve"> primário</w:t>
      </w:r>
      <w:r w:rsidR="009A61E7" w:rsidRPr="00BD0223">
        <w:t>s</w:t>
      </w:r>
      <w:r w:rsidR="00FF2038" w:rsidRPr="00BD0223">
        <w:t>.</w:t>
      </w:r>
    </w:p>
    <w:p w14:paraId="5C4FD357" w14:textId="33D06B48" w:rsidR="00CE6340" w:rsidRPr="00BD0223" w:rsidRDefault="0092203E" w:rsidP="00C117F2">
      <w:pPr>
        <w:pStyle w:val="TNORMAL"/>
      </w:pPr>
      <w:r w:rsidRPr="00BD0223">
        <w:t>Em relação a partilha</w:t>
      </w:r>
      <w:r w:rsidR="00362787" w:rsidRPr="00BD0223">
        <w:t xml:space="preserve"> do ICMS</w:t>
      </w:r>
      <w:r w:rsidRPr="00BD0223">
        <w:t xml:space="preserve"> entre municíp</w:t>
      </w:r>
      <w:r w:rsidR="00362787" w:rsidRPr="00BD0223">
        <w:t>ios e estados</w:t>
      </w:r>
      <w:r w:rsidR="009E4F44">
        <w:t xml:space="preserve"> </w:t>
      </w:r>
      <w:r w:rsidR="00362787" w:rsidRPr="00BD0223">
        <w:t>f</w:t>
      </w:r>
      <w:r w:rsidR="00504E04" w:rsidRPr="00BD0223">
        <w:t>icou definido</w:t>
      </w:r>
      <w:r w:rsidR="00362787" w:rsidRPr="00BD0223">
        <w:t xml:space="preserve"> pela Constituição de 1988</w:t>
      </w:r>
      <w:r w:rsidR="00504E04" w:rsidRPr="00BD0223">
        <w:t xml:space="preserve"> que 75% da arrecadação iria para os estados e 25% para os municípios, colocando como regra na </w:t>
      </w:r>
      <w:r w:rsidR="004C674A" w:rsidRPr="00BD0223">
        <w:t>C</w:t>
      </w:r>
      <w:r w:rsidR="00504E04" w:rsidRPr="00BD0223">
        <w:t xml:space="preserve">onstituição que no mínimo 75% da parcela referente aos municípios deveria ser destinado </w:t>
      </w:r>
      <w:r w:rsidR="00DE0650">
        <w:t>segundo o local de geração do imposto</w:t>
      </w:r>
      <w:r w:rsidR="00504E04" w:rsidRPr="00BD0223">
        <w:t>, o</w:t>
      </w:r>
      <w:r w:rsidR="00013603" w:rsidRPr="00BD0223">
        <w:t xml:space="preserve"> restante dos recursos destinados aos municípios deveriam</w:t>
      </w:r>
      <w:r w:rsidR="00504E04" w:rsidRPr="00BD0223">
        <w:t xml:space="preserve"> ser regulamentados por lei estadual complementar</w:t>
      </w:r>
      <w:r w:rsidR="00F23458">
        <w:t>,</w:t>
      </w:r>
      <w:r w:rsidR="009E4F44">
        <w:t xml:space="preserve"> </w:t>
      </w:r>
      <w:r w:rsidR="00F23458" w:rsidRPr="00F23458">
        <w:t>a</w:t>
      </w:r>
      <w:r w:rsidR="00504E04" w:rsidRPr="00F23458">
        <w:t xml:space="preserve"> maioria </w:t>
      </w:r>
      <w:r w:rsidR="00013603" w:rsidRPr="00F23458">
        <w:t>dos estados optou por dividir igualmente entre todos os municípios</w:t>
      </w:r>
      <w:r w:rsidR="00201EC7" w:rsidRPr="00F23458">
        <w:t xml:space="preserve">, </w:t>
      </w:r>
      <w:r w:rsidR="00F23458" w:rsidRPr="00F23458">
        <w:t xml:space="preserve">o estado de Minas Gerais leva em consideração aspectos demográficos e sociais para a destinação desses recursos </w:t>
      </w:r>
      <w:r w:rsidR="00013603" w:rsidRPr="00BD0223">
        <w:t xml:space="preserve">. O </w:t>
      </w:r>
      <w:r w:rsidR="009E4F44">
        <w:t>S</w:t>
      </w:r>
      <w:r w:rsidR="00013603" w:rsidRPr="00BD0223">
        <w:t xml:space="preserve">enado </w:t>
      </w:r>
      <w:r w:rsidR="009E4F44">
        <w:t>F</w:t>
      </w:r>
      <w:r w:rsidR="00013603" w:rsidRPr="00BD0223">
        <w:t xml:space="preserve">ederal ficou responsável pela instituição de regras </w:t>
      </w:r>
      <w:r w:rsidR="00A54E85" w:rsidRPr="00BD0223">
        <w:t>relativas as políticas do</w:t>
      </w:r>
      <w:r w:rsidR="004C674A" w:rsidRPr="00BD0223">
        <w:t>s</w:t>
      </w:r>
      <w:r w:rsidR="00A54E85" w:rsidRPr="00BD0223">
        <w:t xml:space="preserve"> estado</w:t>
      </w:r>
      <w:r w:rsidR="004C674A" w:rsidRPr="00BD0223">
        <w:t>s</w:t>
      </w:r>
      <w:r w:rsidR="00A54E85" w:rsidRPr="00BD0223">
        <w:t xml:space="preserve"> </w:t>
      </w:r>
      <w:r w:rsidR="009A3F0F" w:rsidRPr="00BD0223">
        <w:lastRenderedPageBreak/>
        <w:t>relacionadas</w:t>
      </w:r>
      <w:r w:rsidR="00A54E85" w:rsidRPr="00BD0223">
        <w:t xml:space="preserve"> ao ICMS</w:t>
      </w:r>
      <w:r w:rsidR="00013603" w:rsidRPr="00BD0223">
        <w:t>, como definição de alíquotas máximas e mínimas. Ao C</w:t>
      </w:r>
      <w:r w:rsidR="00F23458">
        <w:t>ONFAZ</w:t>
      </w:r>
      <w:r w:rsidR="00013603" w:rsidRPr="00BD0223">
        <w:t xml:space="preserve"> (</w:t>
      </w:r>
      <w:r w:rsidR="00E07795" w:rsidRPr="00BD0223">
        <w:t>Conselho Nacional</w:t>
      </w:r>
      <w:r w:rsidR="00013603" w:rsidRPr="00BD0223">
        <w:t xml:space="preserve"> de Política Fazendária) ficaria a responsabilidade de fiscalizar se os estados estavam atuando de acordo com </w:t>
      </w:r>
      <w:r w:rsidR="00222608" w:rsidRPr="00BD0223">
        <w:t xml:space="preserve">os parâmetros estabelecidos pelo </w:t>
      </w:r>
      <w:r w:rsidR="009E4F44">
        <w:t>S</w:t>
      </w:r>
      <w:r w:rsidR="00222608" w:rsidRPr="00BD0223">
        <w:t>enado,</w:t>
      </w:r>
      <w:r w:rsidR="00FB000B" w:rsidRPr="00BD0223">
        <w:t xml:space="preserve"> tal conselho passou a ter uma</w:t>
      </w:r>
      <w:r w:rsidR="004C674A" w:rsidRPr="00BD0223">
        <w:t xml:space="preserve"> composição formada pelos</w:t>
      </w:r>
      <w:r w:rsidR="00222608" w:rsidRPr="00BD0223">
        <w:t xml:space="preserve"> secretários de fazenda dos entes federativos juntamente com o Ministro da Fazenda</w:t>
      </w:r>
      <w:r w:rsidR="0035642E" w:rsidRPr="00BD0223">
        <w:t>. A</w:t>
      </w:r>
      <w:r w:rsidR="00222608" w:rsidRPr="00BD0223">
        <w:t xml:space="preserve"> partir da Constituição de 1988</w:t>
      </w:r>
      <w:r w:rsidR="004C674A" w:rsidRPr="00BD0223">
        <w:t xml:space="preserve"> ficou definido que</w:t>
      </w:r>
      <w:r w:rsidR="00222608" w:rsidRPr="00BD0223">
        <w:t xml:space="preserve"> toda decisão estadual em relação ao ICMS que </w:t>
      </w:r>
      <w:r w:rsidR="00226D2E" w:rsidRPr="00BD0223">
        <w:t>não est</w:t>
      </w:r>
      <w:r w:rsidR="004C674A" w:rsidRPr="00BD0223">
        <w:t>ivesse</w:t>
      </w:r>
      <w:r w:rsidR="00226D2E" w:rsidRPr="00BD0223">
        <w:t xml:space="preserve"> regulamentada ou prevista em lei </w:t>
      </w:r>
      <w:r w:rsidR="00222608" w:rsidRPr="00BD0223">
        <w:t>deve</w:t>
      </w:r>
      <w:r w:rsidR="004C674A" w:rsidRPr="00BD0223">
        <w:t>ria</w:t>
      </w:r>
      <w:r w:rsidR="00222608" w:rsidRPr="00BD0223">
        <w:t xml:space="preserve"> ser aprovada pelo colegiado</w:t>
      </w:r>
      <w:r w:rsidR="0035642E" w:rsidRPr="00BD0223">
        <w:t xml:space="preserve"> do C</w:t>
      </w:r>
      <w:r w:rsidR="00FA1FCD">
        <w:t>ONFAZ</w:t>
      </w:r>
      <w:r w:rsidR="00222608" w:rsidRPr="00BD0223">
        <w:t>.</w:t>
      </w:r>
    </w:p>
    <w:p w14:paraId="6BF77FB9" w14:textId="124B72DB" w:rsidR="00CE6340" w:rsidRPr="00BD0223" w:rsidRDefault="00C117F2" w:rsidP="00C117F2">
      <w:pPr>
        <w:pStyle w:val="TIT2"/>
      </w:pPr>
      <w:bookmarkStart w:id="6" w:name="_Toc55329610"/>
      <w:r w:rsidRPr="00BD0223">
        <w:rPr>
          <w:caps w:val="0"/>
        </w:rPr>
        <w:t xml:space="preserve">CARACTERIZAÇÃO DO </w:t>
      </w:r>
      <w:r w:rsidR="009E4F44">
        <w:rPr>
          <w:caps w:val="0"/>
        </w:rPr>
        <w:t>ICMS</w:t>
      </w:r>
      <w:bookmarkEnd w:id="6"/>
    </w:p>
    <w:p w14:paraId="1885969B" w14:textId="52C96BDF" w:rsidR="00CE6340" w:rsidRPr="00BD0223" w:rsidRDefault="00CC51C7" w:rsidP="00C117F2">
      <w:pPr>
        <w:pStyle w:val="TNORMAL"/>
      </w:pPr>
      <w:r w:rsidRPr="00BD0223">
        <w:t>O ICM</w:t>
      </w:r>
      <w:r w:rsidR="00FF3563" w:rsidRPr="00BD0223">
        <w:t>, como era denominado na sua origem</w:t>
      </w:r>
      <w:r w:rsidR="00284D06" w:rsidRPr="00BD0223">
        <w:t>,</w:t>
      </w:r>
      <w:r w:rsidR="00206403" w:rsidRPr="00BD0223">
        <w:t xml:space="preserve"> de característica </w:t>
      </w:r>
      <w:r w:rsidR="00EA54A8">
        <w:t>A</w:t>
      </w:r>
      <w:r w:rsidR="00206403" w:rsidRPr="00BD0223">
        <w:rPr>
          <w:i/>
          <w:iCs/>
        </w:rPr>
        <w:t>d</w:t>
      </w:r>
      <w:r w:rsidR="00EA54A8">
        <w:rPr>
          <w:i/>
          <w:iCs/>
        </w:rPr>
        <w:t xml:space="preserve"> </w:t>
      </w:r>
      <w:r w:rsidR="00206403" w:rsidRPr="00BD0223">
        <w:rPr>
          <w:i/>
          <w:iCs/>
        </w:rPr>
        <w:t>valore</w:t>
      </w:r>
      <w:r w:rsidR="00EA54A8">
        <w:rPr>
          <w:i/>
          <w:iCs/>
        </w:rPr>
        <w:t>m</w:t>
      </w:r>
      <w:r w:rsidR="009E4F44">
        <w:rPr>
          <w:i/>
          <w:iCs/>
        </w:rPr>
        <w:t xml:space="preserve"> </w:t>
      </w:r>
      <w:r w:rsidR="00206403" w:rsidRPr="00BD0223">
        <w:t>(incide sobre uma porcentagem do faturamento)</w:t>
      </w:r>
      <w:r w:rsidR="00FF3563" w:rsidRPr="00BD0223">
        <w:t xml:space="preserve">, </w:t>
      </w:r>
      <w:r w:rsidRPr="00BD0223">
        <w:t>compreendeu um avanço considerável para</w:t>
      </w:r>
      <w:r w:rsidR="006E165E" w:rsidRPr="00BD0223">
        <w:t xml:space="preserve"> a</w:t>
      </w:r>
      <w:r w:rsidRPr="00BD0223">
        <w:t xml:space="preserve"> época</w:t>
      </w:r>
      <w:r w:rsidR="00284D06" w:rsidRPr="00BD0223">
        <w:t xml:space="preserve"> </w:t>
      </w:r>
      <w:r w:rsidR="00BA63C9" w:rsidRPr="00BD0223">
        <w:t>em que foi adotado no Brasil</w:t>
      </w:r>
      <w:r w:rsidRPr="00BD0223">
        <w:t xml:space="preserve">, </w:t>
      </w:r>
      <w:r w:rsidR="00BA63C9" w:rsidRPr="00BD0223">
        <w:t>sendo</w:t>
      </w:r>
      <w:r w:rsidRPr="00BD0223">
        <w:t xml:space="preserve"> </w:t>
      </w:r>
      <w:r w:rsidR="00222608" w:rsidRPr="00BD0223">
        <w:t>o primeiro imposto do tipo</w:t>
      </w:r>
      <w:r w:rsidRPr="00BD0223">
        <w:t xml:space="preserve"> IVA</w:t>
      </w:r>
      <w:r w:rsidR="009E1F4E" w:rsidRPr="00BD0223">
        <w:t xml:space="preserve"> (Imposto Sobre Valor Adicionado)</w:t>
      </w:r>
      <w:r w:rsidR="00222608" w:rsidRPr="00BD0223">
        <w:t xml:space="preserve"> adotado</w:t>
      </w:r>
      <w:r w:rsidRPr="00BD0223">
        <w:t xml:space="preserve"> </w:t>
      </w:r>
      <w:r w:rsidR="009E1F4E" w:rsidRPr="00BD0223">
        <w:t>a nível subnacional</w:t>
      </w:r>
      <w:r w:rsidR="00222608" w:rsidRPr="00BD0223">
        <w:t xml:space="preserve"> na história das finanças públicas mundia</w:t>
      </w:r>
      <w:r w:rsidR="009A61E7" w:rsidRPr="00BD0223">
        <w:t>l</w:t>
      </w:r>
      <w:r w:rsidR="009E1F4E" w:rsidRPr="00BD0223">
        <w:t xml:space="preserve">, mantendo o mesmo objetivo do antigo </w:t>
      </w:r>
      <w:r w:rsidR="00222608" w:rsidRPr="00BD0223">
        <w:t xml:space="preserve">Imposto sobre Vendas e Consignações de servir como principal fonte de arrecadação </w:t>
      </w:r>
      <w:r w:rsidR="00D26E2D" w:rsidRPr="00BD0223">
        <w:t>dos</w:t>
      </w:r>
      <w:r w:rsidR="00222608" w:rsidRPr="00BD0223">
        <w:t xml:space="preserve"> estados brasileiros</w:t>
      </w:r>
      <w:r w:rsidR="00FA1FCD">
        <w:t xml:space="preserve"> (OLIVEIRA, 2017)</w:t>
      </w:r>
      <w:r w:rsidR="00222608" w:rsidRPr="00BD0223">
        <w:t>.</w:t>
      </w:r>
      <w:r w:rsidR="007072C3" w:rsidRPr="00BD0223">
        <w:t xml:space="preserve"> </w:t>
      </w:r>
      <w:r w:rsidR="00FF3563" w:rsidRPr="00BD0223">
        <w:t xml:space="preserve">A lógica do imposto sobre </w:t>
      </w:r>
      <w:r w:rsidR="0070384D" w:rsidRPr="00BD0223">
        <w:t xml:space="preserve">o </w:t>
      </w:r>
      <w:r w:rsidR="00FF3563" w:rsidRPr="00BD0223">
        <w:t>valor adicionado é retirar a cumulatividade do sistema tributário</w:t>
      </w:r>
      <w:r w:rsidR="00BA63C9" w:rsidRPr="00BD0223">
        <w:t>.</w:t>
      </w:r>
      <w:r w:rsidR="00FF3563" w:rsidRPr="00BD0223">
        <w:t xml:space="preserve"> </w:t>
      </w:r>
      <w:r w:rsidR="00BA63C9" w:rsidRPr="00BD0223">
        <w:t>N</w:t>
      </w:r>
      <w:r w:rsidR="00FF3563" w:rsidRPr="00BD0223">
        <w:t>o</w:t>
      </w:r>
      <w:r w:rsidR="0070384D" w:rsidRPr="00BD0223">
        <w:t>s pa</w:t>
      </w:r>
      <w:r w:rsidR="00243252" w:rsidRPr="00BD0223">
        <w:t>íses desenvolvidos o método mais comum de recolhimento do imposto é o método da nota-crédito</w:t>
      </w:r>
      <w:r w:rsidR="00FF3563" w:rsidRPr="00BD0223">
        <w:t xml:space="preserve">, no qual o pagamento do imposto em determinada etapa produtiva corresponde ao valor da alíquota do IVA, gerando um crédito </w:t>
      </w:r>
      <w:r w:rsidR="00BA63C9" w:rsidRPr="00BD0223">
        <w:t>à</w:t>
      </w:r>
      <w:r w:rsidR="00FF3563" w:rsidRPr="00BD0223">
        <w:t xml:space="preserve"> empresa</w:t>
      </w:r>
      <w:r w:rsidR="00BA63C9" w:rsidRPr="00BD0223">
        <w:t>,</w:t>
      </w:r>
      <w:r w:rsidR="00FF3563" w:rsidRPr="00BD0223">
        <w:t xml:space="preserve"> relacionado ao imposto pago</w:t>
      </w:r>
      <w:r w:rsidR="006E165E" w:rsidRPr="00BD0223">
        <w:t xml:space="preserve"> por etapas produtivas anteriores</w:t>
      </w:r>
      <w:r w:rsidR="00FF3563" w:rsidRPr="00BD0223">
        <w:t>, resultando assim em diminuição de distorções e não cumulatividade</w:t>
      </w:r>
      <w:r w:rsidR="00FA1FCD">
        <w:t xml:space="preserve"> (GIAMBIAGI E ALÉM, 2016)</w:t>
      </w:r>
      <w:r w:rsidR="00FF3563" w:rsidRPr="00BD0223">
        <w:t>.</w:t>
      </w:r>
    </w:p>
    <w:p w14:paraId="42FB04FF" w14:textId="2A5D3A29" w:rsidR="00CE6340" w:rsidRPr="00BD0223" w:rsidRDefault="00FF3563" w:rsidP="00C117F2">
      <w:pPr>
        <w:pStyle w:val="TNORMAL"/>
      </w:pPr>
      <w:r w:rsidRPr="00BD0223">
        <w:t xml:space="preserve">Em relação </w:t>
      </w:r>
      <w:r w:rsidR="00E07795" w:rsidRPr="00BD0223">
        <w:t>à</w:t>
      </w:r>
      <w:r w:rsidRPr="00BD0223">
        <w:t xml:space="preserve"> base de incidência do ICMS, na sua origem ele foi criado como um IVA-</w:t>
      </w:r>
      <w:r w:rsidR="009949A6" w:rsidRPr="00BD0223">
        <w:t>Produto</w:t>
      </w:r>
      <w:r w:rsidRPr="00BD0223">
        <w:t>, cuja denominação é de um imposto sobre o valor adicionado que incide sobre tod</w:t>
      </w:r>
      <w:r w:rsidR="00570A34" w:rsidRPr="00BD0223">
        <w:t>a</w:t>
      </w:r>
      <w:r w:rsidRPr="00BD0223">
        <w:t xml:space="preserve">s </w:t>
      </w:r>
      <w:r w:rsidR="009949A6" w:rsidRPr="00BD0223">
        <w:t>as despesas</w:t>
      </w:r>
      <w:r w:rsidRPr="00BD0223">
        <w:t xml:space="preserve"> de uma economia</w:t>
      </w:r>
      <w:r w:rsidR="009949A6" w:rsidRPr="00BD0223">
        <w:t xml:space="preserve"> exceto as despesas d</w:t>
      </w:r>
      <w:r w:rsidR="00763D12" w:rsidRPr="00BD0223">
        <w:t>o</w:t>
      </w:r>
      <w:r w:rsidR="009949A6" w:rsidRPr="00BD0223">
        <w:t xml:space="preserve"> governo, no entanto ao longo dos anos o imposto foi se transformando em uma espécie de IVA-Consumo</w:t>
      </w:r>
      <w:r w:rsidRPr="00BD0223">
        <w:t xml:space="preserve"> </w:t>
      </w:r>
      <w:r w:rsidR="009949A6" w:rsidRPr="00BD0223">
        <w:t>bastante distorcido. O IVA-Consumo na Europa</w:t>
      </w:r>
      <w:r w:rsidR="00BA63C9" w:rsidRPr="00BD0223">
        <w:t>,</w:t>
      </w:r>
      <w:r w:rsidR="009949A6" w:rsidRPr="00BD0223">
        <w:t xml:space="preserve"> onde foi bem implementado</w:t>
      </w:r>
      <w:r w:rsidR="00BA63C9" w:rsidRPr="00BD0223">
        <w:t>,</w:t>
      </w:r>
      <w:r w:rsidR="009949A6" w:rsidRPr="00BD0223">
        <w:t xml:space="preserve"> possui a ideia de tributar todas as despesas de uma economia exceto as despesas governamentais e os </w:t>
      </w:r>
      <w:r w:rsidR="00243252" w:rsidRPr="00BD0223">
        <w:t>investimentos</w:t>
      </w:r>
      <w:r w:rsidR="00BA63C9" w:rsidRPr="00BD0223">
        <w:t>. N</w:t>
      </w:r>
      <w:r w:rsidR="009949A6" w:rsidRPr="00BD0223">
        <w:t>o caso brasileiro</w:t>
      </w:r>
      <w:r w:rsidR="009A3F0F" w:rsidRPr="00BD0223">
        <w:t>,</w:t>
      </w:r>
      <w:r w:rsidR="009949A6" w:rsidRPr="00BD0223">
        <w:t xml:space="preserve"> o ICMS possui características tanto de um IVA-Consumo quanto de um IVA-Produto, isso ocorre </w:t>
      </w:r>
      <w:r w:rsidR="00570A34" w:rsidRPr="00BD0223">
        <w:t>devido a</w:t>
      </w:r>
      <w:r w:rsidR="009949A6" w:rsidRPr="00BD0223">
        <w:t xml:space="preserve"> isenções seletivas</w:t>
      </w:r>
      <w:r w:rsidR="004A00E8" w:rsidRPr="00BD0223">
        <w:t xml:space="preserve"> concedidas</w:t>
      </w:r>
      <w:r w:rsidR="009949A6" w:rsidRPr="00BD0223">
        <w:t xml:space="preserve"> ao longo</w:t>
      </w:r>
      <w:r w:rsidR="004A00E8" w:rsidRPr="00BD0223">
        <w:t xml:space="preserve"> de determinadas</w:t>
      </w:r>
      <w:r w:rsidR="009949A6" w:rsidRPr="00BD0223">
        <w:t xml:space="preserve"> cadeias produtivas, muitas das quais geram cumulatividade</w:t>
      </w:r>
      <w:r w:rsidR="0005288C" w:rsidRPr="00BD0223">
        <w:t>. Esse contexto gerou um sistema de tributação de ICMS baseado no IVA-Produto para alguns setores</w:t>
      </w:r>
      <w:r w:rsidR="0035642E" w:rsidRPr="00BD0223">
        <w:t>,</w:t>
      </w:r>
      <w:r w:rsidR="0005288C" w:rsidRPr="00BD0223">
        <w:t xml:space="preserve"> e </w:t>
      </w:r>
      <w:r w:rsidR="003D2662" w:rsidRPr="00BD0223">
        <w:t xml:space="preserve">em </w:t>
      </w:r>
      <w:r w:rsidR="0005288C" w:rsidRPr="00BD0223">
        <w:t>um IVA-Consumo de difícil compreensão para outros setores</w:t>
      </w:r>
      <w:r w:rsidR="00F23458">
        <w:t xml:space="preserve"> (GIAMBIAGI e ALÉM, 2016)</w:t>
      </w:r>
      <w:r w:rsidR="00763D12" w:rsidRPr="00BD0223">
        <w:t>.</w:t>
      </w:r>
    </w:p>
    <w:p w14:paraId="38D2E98E" w14:textId="1BC59C24" w:rsidR="00CE6340" w:rsidRPr="00BD0223" w:rsidRDefault="0005288C" w:rsidP="00C117F2">
      <w:pPr>
        <w:pStyle w:val="TNORMAL"/>
      </w:pPr>
      <w:r w:rsidRPr="00BD0223">
        <w:lastRenderedPageBreak/>
        <w:t>O ICMS no Brasil, ao contrário do que recomenda a literatura internacional foi adotado</w:t>
      </w:r>
      <w:r w:rsidR="00226D2E" w:rsidRPr="00BD0223">
        <w:t>,</w:t>
      </w:r>
      <w:r w:rsidR="00373E77" w:rsidRPr="00BD0223">
        <w:t xml:space="preserve"> no que se refere </w:t>
      </w:r>
      <w:r w:rsidR="00FB77EA" w:rsidRPr="00BD0223">
        <w:t>às</w:t>
      </w:r>
      <w:r w:rsidR="00373E77" w:rsidRPr="00BD0223">
        <w:t xml:space="preserve"> transações dentro do território nacional</w:t>
      </w:r>
      <w:r w:rsidR="00226D2E" w:rsidRPr="00BD0223">
        <w:t>,</w:t>
      </w:r>
      <w:r w:rsidRPr="00BD0223">
        <w:t xml:space="preserve"> sobre o princípio de origem, </w:t>
      </w:r>
      <w:r w:rsidR="000674A6" w:rsidRPr="00BD0223">
        <w:t>ou seja,</w:t>
      </w:r>
      <w:r w:rsidRPr="00BD0223">
        <w:t xml:space="preserve"> o imposto é recolhido onde ocorre a geração do bem ou serviço e não onde ocorre o consumo dos mesmos</w:t>
      </w:r>
      <w:r w:rsidR="000674A6" w:rsidRPr="00BD0223">
        <w:t xml:space="preserve">. Esse aspecto foi um dos </w:t>
      </w:r>
      <w:r w:rsidR="009838EE" w:rsidRPr="00BD0223">
        <w:t>causadores</w:t>
      </w:r>
      <w:r w:rsidR="000674A6" w:rsidRPr="00BD0223">
        <w:t xml:space="preserve"> da guerra fiscal entre os estados na tentativa de atrair empresas </w:t>
      </w:r>
      <w:r w:rsidR="00E07795" w:rsidRPr="00BD0223">
        <w:t>para</w:t>
      </w:r>
      <w:r w:rsidR="000674A6" w:rsidRPr="00BD0223">
        <w:t xml:space="preserve"> seus territórios</w:t>
      </w:r>
      <w:r w:rsidR="004A00E8" w:rsidRPr="00BD0223">
        <w:t>.</w:t>
      </w:r>
      <w:r w:rsidR="000674A6" w:rsidRPr="00BD0223">
        <w:t xml:space="preserve"> </w:t>
      </w:r>
      <w:r w:rsidR="004A00E8" w:rsidRPr="00BD0223">
        <w:t>M</w:t>
      </w:r>
      <w:r w:rsidR="000674A6" w:rsidRPr="00BD0223">
        <w:t>esmo que a Constituição de 1988 tenha delegado que qualquer isenção deveria ser aprovada por colegiado nas reuniões do Co</w:t>
      </w:r>
      <w:r w:rsidR="00E07795" w:rsidRPr="00BD0223">
        <w:t>nselho Nacional</w:t>
      </w:r>
      <w:r w:rsidR="000674A6" w:rsidRPr="00BD0223">
        <w:t xml:space="preserve"> de Política Fazendária</w:t>
      </w:r>
      <w:r w:rsidR="004A00E8" w:rsidRPr="00BD0223">
        <w:t>,</w:t>
      </w:r>
      <w:r w:rsidR="000674A6" w:rsidRPr="00BD0223">
        <w:t xml:space="preserve"> </w:t>
      </w:r>
      <w:r w:rsidR="004A00E8" w:rsidRPr="00BD0223">
        <w:t>t</w:t>
      </w:r>
      <w:r w:rsidR="000674A6" w:rsidRPr="00BD0223">
        <w:t>anto estados quanto municípios conseguiram adotar maneiras de conceder benefícios relacionados ao ICMS</w:t>
      </w:r>
      <w:r w:rsidR="00BA63C9" w:rsidRPr="00BD0223">
        <w:t xml:space="preserve"> sem que </w:t>
      </w:r>
      <w:r w:rsidR="000674A6" w:rsidRPr="00BD0223">
        <w:t xml:space="preserve">tivessem que passar pela aprovação do </w:t>
      </w:r>
      <w:r w:rsidR="00BA63C9" w:rsidRPr="00BD0223">
        <w:t>Confaz</w:t>
      </w:r>
      <w:r w:rsidR="006E165E" w:rsidRPr="00BD0223">
        <w:t>,</w:t>
      </w:r>
      <w:r w:rsidR="000674A6" w:rsidRPr="00BD0223">
        <w:t xml:space="preserve"> </w:t>
      </w:r>
      <w:r w:rsidR="00FB000B" w:rsidRPr="00BD0223">
        <w:t>alterando a</w:t>
      </w:r>
      <w:r w:rsidR="0054749D" w:rsidRPr="00BD0223">
        <w:t xml:space="preserve"> base de incidência do imposto ou criando fundos de restituição do mesmo.</w:t>
      </w:r>
    </w:p>
    <w:p w14:paraId="18E0AAB0" w14:textId="167CDF85" w:rsidR="00CE6340" w:rsidRPr="00BD0223" w:rsidRDefault="002A70E2" w:rsidP="00C117F2">
      <w:pPr>
        <w:pStyle w:val="TNORMAL"/>
      </w:pPr>
      <w:r w:rsidRPr="00BD0223">
        <w:t>Em relação a</w:t>
      </w:r>
      <w:r w:rsidR="009838EE" w:rsidRPr="00BD0223">
        <w:t>s</w:t>
      </w:r>
      <w:r w:rsidRPr="00BD0223">
        <w:t xml:space="preserve"> transaç</w:t>
      </w:r>
      <w:r w:rsidR="009838EE" w:rsidRPr="00BD0223">
        <w:t>ões</w:t>
      </w:r>
      <w:r w:rsidRPr="00BD0223">
        <w:t xml:space="preserve"> de bens ou serviços dentro de um mesmo estado ficou definido que</w:t>
      </w:r>
      <w:r w:rsidR="00763D12" w:rsidRPr="00BD0223">
        <w:t xml:space="preserve"> a</w:t>
      </w:r>
      <w:r w:rsidRPr="00BD0223">
        <w:t xml:space="preserve"> alíquota estadual</w:t>
      </w:r>
      <w:r w:rsidR="00226D2E" w:rsidRPr="00BD0223">
        <w:t>,</w:t>
      </w:r>
      <w:r w:rsidRPr="00BD0223">
        <w:t xml:space="preserve"> seja geral ou seletiva d</w:t>
      </w:r>
      <w:r w:rsidR="00373E77" w:rsidRPr="00BD0223">
        <w:t>e acordo com</w:t>
      </w:r>
      <w:r w:rsidRPr="00BD0223">
        <w:t xml:space="preserve"> produto</w:t>
      </w:r>
      <w:r w:rsidR="00226D2E" w:rsidRPr="00BD0223">
        <w:t>,</w:t>
      </w:r>
      <w:r w:rsidR="00373E77" w:rsidRPr="00BD0223">
        <w:t xml:space="preserve"> seria de responsabilidade do ente da federação onde aquele produto se originou. </w:t>
      </w:r>
      <w:r w:rsidR="009838EE" w:rsidRPr="00BD0223">
        <w:t>No tocante</w:t>
      </w:r>
      <w:r w:rsidR="00373E77" w:rsidRPr="00BD0223">
        <w:t xml:space="preserve"> a distribuição para os municípios de origem do bem ou serviço continuou prevalecendo o princípio da origem como determinado pela Constituição de 1988</w:t>
      </w:r>
      <w:r w:rsidR="00F23458">
        <w:t>.</w:t>
      </w:r>
      <w:r w:rsidR="00373E77" w:rsidRPr="00BD0223">
        <w:t xml:space="preserve"> </w:t>
      </w:r>
      <w:r w:rsidR="00F23458">
        <w:t>R</w:t>
      </w:r>
      <w:r w:rsidR="00373E77" w:rsidRPr="00BD0223">
        <w:t>efere</w:t>
      </w:r>
      <w:r w:rsidR="00F23458">
        <w:t>nte</w:t>
      </w:r>
      <w:r w:rsidR="00373E77" w:rsidRPr="00BD0223">
        <w:t xml:space="preserve"> </w:t>
      </w:r>
      <w:r w:rsidR="00F23458" w:rsidRPr="00BD0223">
        <w:t xml:space="preserve">as transações interestaduais </w:t>
      </w:r>
      <w:r w:rsidR="00F23458">
        <w:t>também se mantiveram</w:t>
      </w:r>
      <w:r w:rsidR="00373E77" w:rsidRPr="00BD0223">
        <w:t xml:space="preserve"> o princípio de origem</w:t>
      </w:r>
      <w:r w:rsidR="00E07795" w:rsidRPr="00BD0223">
        <w:t>,</w:t>
      </w:r>
      <w:r w:rsidR="00373E77" w:rsidRPr="00BD0223">
        <w:t xml:space="preserve"> porém caso o ICMS do </w:t>
      </w:r>
      <w:r w:rsidR="00FB77EA" w:rsidRPr="00BD0223">
        <w:t>e</w:t>
      </w:r>
      <w:r w:rsidR="00373E77" w:rsidRPr="00BD0223">
        <w:t>stado de destino do bem ou serviço foss</w:t>
      </w:r>
      <w:r w:rsidR="00FB77EA" w:rsidRPr="00BD0223">
        <w:t xml:space="preserve">e maior do que </w:t>
      </w:r>
      <w:r w:rsidR="00E07795" w:rsidRPr="00BD0223">
        <w:t>a</w:t>
      </w:r>
      <w:r w:rsidR="00373E77" w:rsidRPr="00BD0223">
        <w:t xml:space="preserve"> </w:t>
      </w:r>
      <w:r w:rsidR="00FB77EA" w:rsidRPr="00BD0223">
        <w:t>alíquota do estado de origem</w:t>
      </w:r>
      <w:r w:rsidR="00BA63C9" w:rsidRPr="00BD0223">
        <w:t>,</w:t>
      </w:r>
      <w:r w:rsidR="00FB77EA" w:rsidRPr="00BD0223">
        <w:t xml:space="preserve"> </w:t>
      </w:r>
      <w:r w:rsidR="00BA63C9" w:rsidRPr="00BD0223">
        <w:t>determinou-se</w:t>
      </w:r>
      <w:r w:rsidR="00FB77EA" w:rsidRPr="00BD0223">
        <w:t xml:space="preserve"> que a diferença deveria ser direcionada ao local onde </w:t>
      </w:r>
      <w:r w:rsidR="00763D12" w:rsidRPr="00BD0223">
        <w:t>haveria ocorrido o consumo</w:t>
      </w:r>
      <w:r w:rsidR="00BA63C9" w:rsidRPr="00BD0223">
        <w:t>. Todo esse contexto</w:t>
      </w:r>
      <w:r w:rsidR="00FB77EA" w:rsidRPr="00BD0223">
        <w:t xml:space="preserve"> ger</w:t>
      </w:r>
      <w:r w:rsidR="00BA63C9" w:rsidRPr="00BD0223">
        <w:t>ou</w:t>
      </w:r>
      <w:r w:rsidR="00FB77EA" w:rsidRPr="00BD0223">
        <w:t xml:space="preserve"> uma série de regras</w:t>
      </w:r>
      <w:r w:rsidR="00BA63C9" w:rsidRPr="00BD0223">
        <w:t xml:space="preserve"> </w:t>
      </w:r>
      <w:r w:rsidR="0054749D" w:rsidRPr="00BD0223">
        <w:t>que as empresas</w:t>
      </w:r>
      <w:r w:rsidR="00BA63C9" w:rsidRPr="00BD0223">
        <w:t xml:space="preserve"> são obrigadas a cumprir</w:t>
      </w:r>
      <w:r w:rsidR="00FB77EA" w:rsidRPr="00BD0223">
        <w:t xml:space="preserve"> na hora de declarar o destino do produto, </w:t>
      </w:r>
      <w:r w:rsidR="0054749D" w:rsidRPr="00BD0223">
        <w:t>o que ocorre de forma semelhante com os</w:t>
      </w:r>
      <w:r w:rsidR="00FB77EA" w:rsidRPr="00BD0223">
        <w:t xml:space="preserve"> governos estaduais</w:t>
      </w:r>
      <w:r w:rsidR="0054749D" w:rsidRPr="00BD0223">
        <w:t>, os quais</w:t>
      </w:r>
      <w:r w:rsidR="00FB77EA" w:rsidRPr="00BD0223">
        <w:t xml:space="preserve"> devem constantemente estar </w:t>
      </w:r>
      <w:r w:rsidR="00FB000B" w:rsidRPr="00BD0223">
        <w:t>re</w:t>
      </w:r>
      <w:r w:rsidR="00FB77EA" w:rsidRPr="00BD0223">
        <w:t>passando créditos referentes</w:t>
      </w:r>
      <w:r w:rsidR="00763D12" w:rsidRPr="00BD0223">
        <w:t xml:space="preserve"> a</w:t>
      </w:r>
      <w:r w:rsidR="0054749D" w:rsidRPr="00BD0223">
        <w:t xml:space="preserve">s </w:t>
      </w:r>
      <w:r w:rsidR="00FB77EA" w:rsidRPr="00BD0223">
        <w:t>operações</w:t>
      </w:r>
      <w:r w:rsidR="0054749D" w:rsidRPr="00BD0223">
        <w:t xml:space="preserve"> tributadas pelo ICMS</w:t>
      </w:r>
      <w:r w:rsidR="00FB77EA" w:rsidRPr="00BD0223">
        <w:t xml:space="preserve"> para outros estado</w:t>
      </w:r>
      <w:r w:rsidR="00AF350C" w:rsidRPr="00BD0223">
        <w:t>s</w:t>
      </w:r>
      <w:r w:rsidR="00FB77EA" w:rsidRPr="00BD0223">
        <w:t>.</w:t>
      </w:r>
      <w:r w:rsidR="00373E77" w:rsidRPr="00BD0223">
        <w:t xml:space="preserve"> </w:t>
      </w:r>
    </w:p>
    <w:p w14:paraId="5CBFA9A3" w14:textId="083F0620" w:rsidR="00CE6340" w:rsidRPr="00BD0223" w:rsidRDefault="00346465" w:rsidP="00C117F2">
      <w:pPr>
        <w:pStyle w:val="TNORMAL"/>
      </w:pPr>
      <w:r w:rsidRPr="00BD0223">
        <w:t>A tributação do ICMS em relação as exportações</w:t>
      </w:r>
      <w:r w:rsidR="00C41EA2" w:rsidRPr="00BD0223">
        <w:t xml:space="preserve"> e</w:t>
      </w:r>
      <w:r w:rsidRPr="00BD0223">
        <w:t xml:space="preserve"> importações foi motivo de bastante controvérsia ao longo dos anos posteriores </w:t>
      </w:r>
      <w:r w:rsidR="00D26E2D" w:rsidRPr="00BD0223">
        <w:t>à</w:t>
      </w:r>
      <w:r w:rsidRPr="00BD0223">
        <w:t xml:space="preserve"> Constituição</w:t>
      </w:r>
      <w:r w:rsidR="00D26E2D" w:rsidRPr="00BD0223">
        <w:t xml:space="preserve"> de 1988</w:t>
      </w:r>
      <w:r w:rsidRPr="00BD0223">
        <w:t>, justamente porque se adotado sobre o princípio de origem como ficou determinado, oneraria exportações e desoneraria importações o que claramente não é benéfico a economia de um país</w:t>
      </w:r>
      <w:r w:rsidR="00FA1FCD">
        <w:t xml:space="preserve"> (PAZ, 2008)</w:t>
      </w:r>
      <w:r w:rsidRPr="00BD0223">
        <w:t xml:space="preserve">. </w:t>
      </w:r>
      <w:r w:rsidR="008449D8" w:rsidRPr="00BD0223">
        <w:t>Até a implementação da Lei Kandir</w:t>
      </w:r>
      <w:r w:rsidR="00FB000B" w:rsidRPr="00BD0223">
        <w:t>,</w:t>
      </w:r>
      <w:r w:rsidR="008449D8" w:rsidRPr="00BD0223">
        <w:t xml:space="preserve"> </w:t>
      </w:r>
      <w:r w:rsidR="008449D8" w:rsidRPr="007953BA">
        <w:t>exportações</w:t>
      </w:r>
      <w:r w:rsidR="00FB000B" w:rsidRPr="007953BA">
        <w:t xml:space="preserve"> não</w:t>
      </w:r>
      <w:r w:rsidR="008449D8" w:rsidRPr="007953BA">
        <w:t xml:space="preserve"> recebiam </w:t>
      </w:r>
      <w:r w:rsidR="008449D8" w:rsidRPr="00BD0223">
        <w:t>desonerações de ICMS em setores de produtos primários ou semielaborados, a partir da lei todos os setores passaram a receber isenções</w:t>
      </w:r>
      <w:r w:rsidR="00BA63C9" w:rsidRPr="00BD0223">
        <w:t>. C</w:t>
      </w:r>
      <w:r w:rsidR="00C41EA2" w:rsidRPr="00BD0223">
        <w:t>omo essa medida interferia na autonomia dos estados</w:t>
      </w:r>
      <w:r w:rsidR="00FE5C58" w:rsidRPr="00BD0223">
        <w:t>,</w:t>
      </w:r>
      <w:r w:rsidR="00C41EA2" w:rsidRPr="00BD0223">
        <w:t xml:space="preserve"> </w:t>
      </w:r>
      <w:r w:rsidR="00FE5C58" w:rsidRPr="00BD0223">
        <w:t>foi conferido</w:t>
      </w:r>
      <w:r w:rsidR="00C41EA2" w:rsidRPr="00BD0223">
        <w:t xml:space="preserve"> a União o dever de absorver e restituir as isenções fiscais</w:t>
      </w:r>
      <w:r w:rsidR="00FE5C58" w:rsidRPr="00BD0223">
        <w:t xml:space="preserve"> de ICMS</w:t>
      </w:r>
      <w:r w:rsidR="00C41EA2" w:rsidRPr="00BD0223">
        <w:t xml:space="preserve"> sobre as </w:t>
      </w:r>
      <w:r w:rsidR="00C41EA2" w:rsidRPr="00FA1FCD">
        <w:t>exportações</w:t>
      </w:r>
      <w:r w:rsidR="00FE5C58" w:rsidRPr="00FA1FCD">
        <w:t xml:space="preserve"> através do Fundo d</w:t>
      </w:r>
      <w:r w:rsidR="00FA1FCD" w:rsidRPr="00FA1FCD">
        <w:t>e Compensação da Lei Kandir</w:t>
      </w:r>
      <w:r w:rsidR="008449D8" w:rsidRPr="00BD0223">
        <w:t>. No caso das importações ficou definido que as mesmas</w:t>
      </w:r>
      <w:r w:rsidR="00C41EA2" w:rsidRPr="00BD0223">
        <w:t xml:space="preserve"> seriam taxadas e arrecadadas de acordo com </w:t>
      </w:r>
      <w:r w:rsidR="00FE5C58" w:rsidRPr="00BD0223">
        <w:t>a alíquota de</w:t>
      </w:r>
      <w:r w:rsidR="00C41EA2" w:rsidRPr="00BD0223">
        <w:t xml:space="preserve"> ICMS do estado de destino.</w:t>
      </w:r>
    </w:p>
    <w:p w14:paraId="0EBA4877" w14:textId="522A00A6" w:rsidR="00CE6340" w:rsidRPr="00BD0223" w:rsidRDefault="008449D8" w:rsidP="00C117F2">
      <w:pPr>
        <w:pStyle w:val="TNORMAL"/>
      </w:pPr>
      <w:r w:rsidRPr="00BD0223">
        <w:t>A evolução e as distorções do Imposto sobre</w:t>
      </w:r>
      <w:r w:rsidR="00AF350C" w:rsidRPr="00BD0223">
        <w:t xml:space="preserve"> Operações relativas à</w:t>
      </w:r>
      <w:r w:rsidRPr="00BD0223">
        <w:t xml:space="preserve"> Circulação de Mercadorias e Prestação de Serviços no Brasil claramente o afastaram dos aspectos que caracterizam um imposto sobre valor adicionado ideal tal como é nas nações desenvolvidas</w:t>
      </w:r>
      <w:r w:rsidR="00BA63C9" w:rsidRPr="00BD0223">
        <w:t>.</w:t>
      </w:r>
      <w:r w:rsidRPr="00BD0223">
        <w:t xml:space="preserve"> </w:t>
      </w:r>
      <w:r w:rsidR="00BA63C9" w:rsidRPr="00BD0223">
        <w:t>O</w:t>
      </w:r>
      <w:r w:rsidRPr="00BD0223">
        <w:t xml:space="preserve"> caráter hibrido no que se refere o princ</w:t>
      </w:r>
      <w:r w:rsidR="00611B88" w:rsidRPr="00BD0223">
        <w:t>ípio de origem e destino</w:t>
      </w:r>
      <w:r w:rsidR="002E170E" w:rsidRPr="00BD0223">
        <w:t>,</w:t>
      </w:r>
      <w:r w:rsidR="00611B88" w:rsidRPr="00BD0223">
        <w:t xml:space="preserve"> e </w:t>
      </w:r>
      <w:r w:rsidR="00763D12" w:rsidRPr="00BD0223">
        <w:t xml:space="preserve">a </w:t>
      </w:r>
      <w:r w:rsidR="00611B88" w:rsidRPr="00BD0223">
        <w:t xml:space="preserve">não definição de um IVA </w:t>
      </w:r>
      <w:r w:rsidR="00611B88" w:rsidRPr="00BD0223">
        <w:lastRenderedPageBreak/>
        <w:t>do tipo Renda ou Consumo</w:t>
      </w:r>
      <w:r w:rsidR="002E170E" w:rsidRPr="00BD0223">
        <w:t>,</w:t>
      </w:r>
      <w:r w:rsidR="00611B88" w:rsidRPr="00BD0223">
        <w:t xml:space="preserve"> foram questões que contribuíram para</w:t>
      </w:r>
      <w:r w:rsidR="00BA63C9" w:rsidRPr="00BD0223">
        <w:t xml:space="preserve"> </w:t>
      </w:r>
      <w:r w:rsidR="00DC5766" w:rsidRPr="00BD0223">
        <w:t>tornar o ICMS um imposto de difícil compreensão.</w:t>
      </w:r>
      <w:r w:rsidR="00611B88" w:rsidRPr="00BD0223">
        <w:t xml:space="preserve"> </w:t>
      </w:r>
      <w:r w:rsidR="00DC5766" w:rsidRPr="00BD0223">
        <w:t xml:space="preserve">Todo esse contexto </w:t>
      </w:r>
      <w:r w:rsidR="00611B88" w:rsidRPr="00BD0223">
        <w:t>gerou um excesso de burocracia e muitas vezes erros na interpretação das regras tributárias por parte de especialistas contábeis</w:t>
      </w:r>
      <w:r w:rsidR="00DC5766" w:rsidRPr="00BD0223">
        <w:t>, isso resultou em dificuldades por parte das empresas de se integrarem na economia nacional eficientemente</w:t>
      </w:r>
      <w:r w:rsidR="00611B88" w:rsidRPr="00BD0223">
        <w:t xml:space="preserve">. Atualmente </w:t>
      </w:r>
      <w:r w:rsidR="00FE5C58" w:rsidRPr="00BD0223">
        <w:t>a política relacionada ao</w:t>
      </w:r>
      <w:r w:rsidR="00611B88" w:rsidRPr="00BD0223">
        <w:t xml:space="preserve"> ICMS poss</w:t>
      </w:r>
      <w:r w:rsidR="00FE5C58" w:rsidRPr="00BD0223">
        <w:t>ui diversos objetivos</w:t>
      </w:r>
      <w:r w:rsidR="00611B88" w:rsidRPr="00BD0223">
        <w:t xml:space="preserve"> dependendo do </w:t>
      </w:r>
      <w:r w:rsidR="00FE5C58" w:rsidRPr="00BD0223">
        <w:t>local</w:t>
      </w:r>
      <w:r w:rsidR="00611B88" w:rsidRPr="00BD0223">
        <w:t xml:space="preserve"> o</w:t>
      </w:r>
      <w:r w:rsidR="00FE5C58" w:rsidRPr="00BD0223">
        <w:t>nde a</w:t>
      </w:r>
      <w:r w:rsidR="00611B88" w:rsidRPr="00BD0223">
        <w:t xml:space="preserve"> mesm</w:t>
      </w:r>
      <w:r w:rsidR="00FE5C58" w:rsidRPr="00BD0223">
        <w:t>a</w:t>
      </w:r>
      <w:r w:rsidR="00611B88" w:rsidRPr="00BD0223">
        <w:t xml:space="preserve"> é aplicad</w:t>
      </w:r>
      <w:r w:rsidR="00FE5C58" w:rsidRPr="00BD0223">
        <w:t>a</w:t>
      </w:r>
      <w:r w:rsidR="00611B88" w:rsidRPr="00BD0223">
        <w:t xml:space="preserve">, podendo </w:t>
      </w:r>
      <w:r w:rsidR="00FE5C58" w:rsidRPr="00BD0223">
        <w:t>possuir características</w:t>
      </w:r>
      <w:r w:rsidR="00611B88" w:rsidRPr="00BD0223">
        <w:t xml:space="preserve"> tanto</w:t>
      </w:r>
      <w:r w:rsidR="00FE5C58" w:rsidRPr="00BD0223">
        <w:t xml:space="preserve"> de um imposto</w:t>
      </w:r>
      <w:r w:rsidR="00611B88" w:rsidRPr="00BD0223">
        <w:t xml:space="preserve"> fiscal</w:t>
      </w:r>
      <w:r w:rsidR="00FA1FCD">
        <w:t>; com objetivo de arrecadação de recursos,</w:t>
      </w:r>
      <w:r w:rsidR="00611B88" w:rsidRPr="00BD0223">
        <w:t xml:space="preserve"> quanto </w:t>
      </w:r>
      <w:r w:rsidR="00611B88" w:rsidRPr="00FA1FCD">
        <w:t>parafiscal</w:t>
      </w:r>
      <w:r w:rsidR="00FA1FCD" w:rsidRPr="00FA1FCD">
        <w:t>; indutor de desenvolvimento regional</w:t>
      </w:r>
      <w:r w:rsidR="00611B88" w:rsidRPr="007953BA">
        <w:rPr>
          <w:color w:val="FF0000"/>
        </w:rPr>
        <w:t>.</w:t>
      </w:r>
    </w:p>
    <w:p w14:paraId="44C1094F" w14:textId="07D54F61" w:rsidR="008449D8" w:rsidRPr="00FA1FCD" w:rsidRDefault="00C117F2" w:rsidP="00C117F2">
      <w:pPr>
        <w:pStyle w:val="TIT2"/>
      </w:pPr>
      <w:bookmarkStart w:id="7" w:name="_Toc55329611"/>
      <w:r w:rsidRPr="00FA1FCD">
        <w:rPr>
          <w:caps w:val="0"/>
        </w:rPr>
        <w:t>O</w:t>
      </w:r>
      <w:r w:rsidR="007953BA" w:rsidRPr="00FA1FCD">
        <w:rPr>
          <w:caps w:val="0"/>
        </w:rPr>
        <w:t xml:space="preserve"> ICMS E A </w:t>
      </w:r>
      <w:r w:rsidRPr="00FA1FCD">
        <w:rPr>
          <w:caps w:val="0"/>
        </w:rPr>
        <w:t>TRIBUTAÇÃO SOBRE OS COMBUSTÍVEIS</w:t>
      </w:r>
      <w:bookmarkEnd w:id="7"/>
    </w:p>
    <w:p w14:paraId="6D0FD63D" w14:textId="311CCEE1" w:rsidR="00D06090" w:rsidRPr="00BD0223" w:rsidRDefault="00F72D7F" w:rsidP="00C117F2">
      <w:pPr>
        <w:pStyle w:val="TNORMAL"/>
      </w:pPr>
      <w:r w:rsidRPr="00BD0223">
        <w:t>Atualmente uma das maiores queixas da sociedade brasileira se refere a carga tributária excessiva no que diz respeito ao consumo</w:t>
      </w:r>
      <w:r w:rsidR="003D2662" w:rsidRPr="00BD0223">
        <w:t xml:space="preserve"> de bens e serviços,</w:t>
      </w:r>
      <w:r w:rsidRPr="00BD0223">
        <w:t xml:space="preserve"> tal crítica é mais visível em relação aos combustíveis como etanol, gás de cozinha, gasolina, diesel</w:t>
      </w:r>
      <w:r w:rsidR="00D26E2D" w:rsidRPr="00BD0223">
        <w:t>,</w:t>
      </w:r>
      <w:r w:rsidRPr="00BD0223">
        <w:t xml:space="preserve"> dentre outros. Realmente no histórico da política de preços desses produtos os impostos geralmente sempre ocuparam parcela significativa do preço</w:t>
      </w:r>
      <w:r w:rsidR="00050F84" w:rsidRPr="00BD0223">
        <w:t xml:space="preserve">, </w:t>
      </w:r>
      <w:r w:rsidRPr="00BD0223">
        <w:t>por isso para se fazer a análise da tributação do setor é necessário associar o aspecto tributári</w:t>
      </w:r>
      <w:r w:rsidR="00E07795" w:rsidRPr="00BD0223">
        <w:t>o</w:t>
      </w:r>
      <w:r w:rsidRPr="00BD0223">
        <w:t xml:space="preserve"> a política de preços</w:t>
      </w:r>
      <w:r w:rsidR="00D06090" w:rsidRPr="00BD0223">
        <w:t>.</w:t>
      </w:r>
    </w:p>
    <w:p w14:paraId="7B8E83D0" w14:textId="673911D5" w:rsidR="004872A2" w:rsidRPr="00BD0223" w:rsidRDefault="00D06090" w:rsidP="00C117F2">
      <w:pPr>
        <w:pStyle w:val="TNORMAL"/>
      </w:pPr>
      <w:r w:rsidRPr="00BD0223">
        <w:t>A primeira fase do setor de derivados do petróleo no Brasil teve início em 1938, quando foi instituída a nacionalização de toda a área de refino, seja de processamento de petróleo nacional ou internacional</w:t>
      </w:r>
      <w:r w:rsidR="00050F84" w:rsidRPr="00BD0223">
        <w:t>,</w:t>
      </w:r>
      <w:r w:rsidRPr="00BD0223">
        <w:t xml:space="preserve"> fic</w:t>
      </w:r>
      <w:r w:rsidR="00050F84" w:rsidRPr="00BD0223">
        <w:t>ando</w:t>
      </w:r>
      <w:r w:rsidRPr="00BD0223">
        <w:t xml:space="preserve"> definido que a União controlaria todas as etapas da cadeia produtiva</w:t>
      </w:r>
      <w:r w:rsidR="00FA1FCD">
        <w:t xml:space="preserve"> (</w:t>
      </w:r>
      <w:r w:rsidR="00FA1FCD" w:rsidRPr="00BD0223">
        <w:rPr>
          <w:shd w:val="clear" w:color="auto" w:fill="FFFFFF"/>
        </w:rPr>
        <w:t>SCHECHTMAN</w:t>
      </w:r>
      <w:r w:rsidR="00FA1FCD">
        <w:rPr>
          <w:shd w:val="clear" w:color="auto" w:fill="FFFFFF"/>
        </w:rPr>
        <w:t>, CUNHA, SILVEIRA e NASCIMENTO, 2001)</w:t>
      </w:r>
      <w:r w:rsidRPr="00BD0223">
        <w:t>. Aos estados de início foi concedida a autonomia de instituir e alterar impostos e taxas estaduais, o que limitava a política de preços por parte do governo federal, já que a tributação estadual era a que possuía uma parcela mais significativa nos preços dos combustíveis. A partir de 1940 retirou-se impostos estaduais da cadeia produtiva de petróleo e gás</w:t>
      </w:r>
      <w:r w:rsidR="00C41EA2" w:rsidRPr="00BD0223">
        <w:t>,</w:t>
      </w:r>
      <w:r w:rsidRPr="00BD0223">
        <w:t xml:space="preserve"> e instituiu-se o IUCL</w:t>
      </w:r>
      <w:r w:rsidR="004872A2" w:rsidRPr="00BD0223">
        <w:t xml:space="preserve"> </w:t>
      </w:r>
      <w:r w:rsidRPr="00BD0223">
        <w:t xml:space="preserve">(Imposto Único sobre Combustíveis e </w:t>
      </w:r>
      <w:r w:rsidR="004872A2" w:rsidRPr="00BD0223">
        <w:t>L</w:t>
      </w:r>
      <w:r w:rsidRPr="00BD0223">
        <w:t>ubrificantes</w:t>
      </w:r>
      <w:r w:rsidR="004872A2" w:rsidRPr="00BD0223">
        <w:t xml:space="preserve">), que era de característica </w:t>
      </w:r>
      <w:r w:rsidR="00EA54A8">
        <w:t>A</w:t>
      </w:r>
      <w:r w:rsidR="004872A2" w:rsidRPr="00BD0223">
        <w:rPr>
          <w:i/>
          <w:iCs/>
        </w:rPr>
        <w:t>d</w:t>
      </w:r>
      <w:r w:rsidR="00EA54A8">
        <w:rPr>
          <w:i/>
          <w:iCs/>
        </w:rPr>
        <w:t xml:space="preserve"> </w:t>
      </w:r>
      <w:r w:rsidR="004872A2" w:rsidRPr="00BD0223">
        <w:rPr>
          <w:i/>
          <w:iCs/>
        </w:rPr>
        <w:t>valore</w:t>
      </w:r>
      <w:r w:rsidR="00EA54A8">
        <w:rPr>
          <w:i/>
          <w:iCs/>
        </w:rPr>
        <w:t>m</w:t>
      </w:r>
      <w:r w:rsidR="004872A2" w:rsidRPr="00BD0223">
        <w:t xml:space="preserve"> e incidia apenas sobre o faturamento da refinaria, tal imposto era de competência da União e os estados passaram a não ter permissão para tributar a cadeia produtiva de petróleo</w:t>
      </w:r>
      <w:r w:rsidR="00FA1FCD">
        <w:t xml:space="preserve"> (CAVALCANTI, 2006</w:t>
      </w:r>
      <w:r w:rsidR="00EA54A8">
        <w:t>).</w:t>
      </w:r>
      <w:r w:rsidR="004872A2" w:rsidRPr="00BD0223">
        <w:t xml:space="preserve"> Os preços eram fixados por um órgão governamental</w:t>
      </w:r>
      <w:r w:rsidR="009855B2" w:rsidRPr="00BD0223">
        <w:t>,</w:t>
      </w:r>
      <w:r w:rsidR="004872A2" w:rsidRPr="00BD0223">
        <w:t xml:space="preserve"> CNP</w:t>
      </w:r>
      <w:r w:rsidR="00050F84" w:rsidRPr="00BD0223">
        <w:t xml:space="preserve"> </w:t>
      </w:r>
      <w:r w:rsidR="00E07795" w:rsidRPr="00BD0223">
        <w:t>(Conselho Nacional do Petróleo)</w:t>
      </w:r>
      <w:r w:rsidR="009855B2" w:rsidRPr="00BD0223">
        <w:t>,</w:t>
      </w:r>
      <w:r w:rsidR="004872A2" w:rsidRPr="00BD0223">
        <w:t xml:space="preserve"> que </w:t>
      </w:r>
      <w:r w:rsidR="00E07795" w:rsidRPr="00BD0223">
        <w:t>calculava os valores</w:t>
      </w:r>
      <w:r w:rsidR="004872A2" w:rsidRPr="00BD0223">
        <w:t xml:space="preserve"> a partir de um índice de preços médio dos derivados internacionais a</w:t>
      </w:r>
      <w:r w:rsidR="00E07795" w:rsidRPr="00BD0223">
        <w:t>dicionando</w:t>
      </w:r>
      <w:r w:rsidR="004872A2" w:rsidRPr="00BD0223">
        <w:t xml:space="preserve"> o IUCL, acrescentado a isso tinha-se a</w:t>
      </w:r>
      <w:r w:rsidR="002E170E" w:rsidRPr="00BD0223">
        <w:t>s</w:t>
      </w:r>
      <w:r w:rsidR="004872A2" w:rsidRPr="00BD0223">
        <w:t xml:space="preserve"> marge</w:t>
      </w:r>
      <w:r w:rsidR="002E170E" w:rsidRPr="00BD0223">
        <w:t>ns</w:t>
      </w:r>
      <w:r w:rsidR="004872A2" w:rsidRPr="00BD0223">
        <w:t xml:space="preserve"> de distribuição e revenda que </w:t>
      </w:r>
      <w:r w:rsidR="00424C77" w:rsidRPr="00BD0223">
        <w:t xml:space="preserve">junto </w:t>
      </w:r>
      <w:r w:rsidR="004872A2" w:rsidRPr="00BD0223">
        <w:t>aos custos de transporte das diversas etapas da cadeia resultava no preço final ao consumidor.</w:t>
      </w:r>
    </w:p>
    <w:p w14:paraId="341CB572" w14:textId="421B37BD" w:rsidR="007A0511" w:rsidRPr="00BD0223" w:rsidRDefault="00670619" w:rsidP="00C117F2">
      <w:pPr>
        <w:pStyle w:val="TNORMAL"/>
      </w:pPr>
      <w:r w:rsidRPr="00BD0223">
        <w:lastRenderedPageBreak/>
        <w:t>Nas décadas posteriores a 1940 várias foram as mudanças realizadas tanto no que diz respeito a estrutura de preços dos combustíveis quanto no que se refere a cadeia produtiva de petróleo e gás. A partir de 1953 foi instituído o monopólio da União no que se referia as operações de exploração, produção, refino e importação de petróleo e derivados</w:t>
      </w:r>
      <w:r w:rsidR="00424C77" w:rsidRPr="00BD0223">
        <w:t>,</w:t>
      </w:r>
      <w:r w:rsidRPr="00BD0223">
        <w:t xml:space="preserve"> e oficializou-se a criação da Petrobras S.A que seria a responsável p</w:t>
      </w:r>
      <w:r w:rsidR="00C41EA2" w:rsidRPr="00BD0223">
        <w:t>or todas essas etapas produtivas</w:t>
      </w:r>
      <w:r w:rsidRPr="00BD0223">
        <w:t>. A política de preços não sofreu muitas alterações em relação aos anos anteriores, no entanto como a infraestrutura necessária para o setor não estava consolidada, o governo brasileiro começou a adotar subsídios cruzados em determinadas regiões para compensar a diferença entre os custos de transporte</w:t>
      </w:r>
      <w:r w:rsidR="00FE5C58" w:rsidRPr="00BD0223">
        <w:t>,</w:t>
      </w:r>
      <w:r w:rsidR="007A0511" w:rsidRPr="00BD0223">
        <w:t xml:space="preserve"> com</w:t>
      </w:r>
      <w:r w:rsidR="00763D12" w:rsidRPr="00BD0223">
        <w:t xml:space="preserve"> o</w:t>
      </w:r>
      <w:r w:rsidR="007A0511" w:rsidRPr="00BD0223">
        <w:t xml:space="preserve"> objetivo de diminuir as disparidades de preços entre estados e municípios</w:t>
      </w:r>
      <w:r w:rsidR="00FA1FCD">
        <w:t xml:space="preserve"> (</w:t>
      </w:r>
      <w:r w:rsidR="00FA1FCD" w:rsidRPr="00BD0223">
        <w:rPr>
          <w:shd w:val="clear" w:color="auto" w:fill="FFFFFF"/>
        </w:rPr>
        <w:t>SCHECHTMAN</w:t>
      </w:r>
      <w:r w:rsidR="00FA1FCD">
        <w:rPr>
          <w:shd w:val="clear" w:color="auto" w:fill="FFFFFF"/>
        </w:rPr>
        <w:t>, CUNHA, SILVEIRA e NASCIMENTO, 2001)</w:t>
      </w:r>
      <w:r w:rsidR="00DC5766" w:rsidRPr="00BD0223">
        <w:t>.</w:t>
      </w:r>
      <w:r w:rsidR="007A0511" w:rsidRPr="00BD0223">
        <w:t xml:space="preserve"> </w:t>
      </w:r>
      <w:r w:rsidR="00DC5766" w:rsidRPr="00BD0223">
        <w:t>A política</w:t>
      </w:r>
      <w:r w:rsidR="007A0511" w:rsidRPr="00BD0223">
        <w:t xml:space="preserve"> </w:t>
      </w:r>
      <w:r w:rsidR="00DC5766" w:rsidRPr="00BD0223">
        <w:t>de subsídios cruzados se intensificou</w:t>
      </w:r>
      <w:r w:rsidR="007A0511" w:rsidRPr="00BD0223">
        <w:t xml:space="preserve"> durante as décadas de 1960 e 1970 quando os governo</w:t>
      </w:r>
      <w:r w:rsidR="00424C77" w:rsidRPr="00BD0223">
        <w:t>s</w:t>
      </w:r>
      <w:r w:rsidR="007A0511" w:rsidRPr="00BD0223">
        <w:t xml:space="preserve"> passaram a não só objetivar a redução da diferença entre os preços, como determinaram muitas vezes a unificação dos preços dos combustíveis em todo o território nacional</w:t>
      </w:r>
      <w:r w:rsidR="00FA1FCD">
        <w:t xml:space="preserve"> (CAVALCANTI, 2006)</w:t>
      </w:r>
      <w:r w:rsidR="007A0511" w:rsidRPr="00BD0223">
        <w:t>.</w:t>
      </w:r>
    </w:p>
    <w:p w14:paraId="561A3473" w14:textId="1E3723EF" w:rsidR="00647689" w:rsidRPr="00BD0223" w:rsidRDefault="007A0511" w:rsidP="00C117F2">
      <w:pPr>
        <w:pStyle w:val="TNORMAL"/>
      </w:pPr>
      <w:r w:rsidRPr="00BD0223">
        <w:t>Com a reforma tributária de 1966</w:t>
      </w:r>
      <w:r w:rsidR="00670619" w:rsidRPr="00BD0223">
        <w:t xml:space="preserve"> </w:t>
      </w:r>
      <w:r w:rsidRPr="00BD0223">
        <w:t xml:space="preserve">várias mudanças foram introduzidas e uma delas foi a criação do ICM (Imposto Sobre Circulação de Mercadorias), no entanto a União não abdicou do IUCL e não deu permissão aos estados para tributar a cadeia produtiva de Petróleo e Gás, apenas </w:t>
      </w:r>
      <w:r w:rsidR="007C7905" w:rsidRPr="00BD0223">
        <w:t>algumas taxas e parte da arrecadação do imposto sobre o consumo eram destinados aos estados</w:t>
      </w:r>
      <w:r w:rsidR="00383D31" w:rsidRPr="00BD0223">
        <w:t>,</w:t>
      </w:r>
      <w:r w:rsidR="007C7905" w:rsidRPr="00BD0223">
        <w:t xml:space="preserve"> porém ainda </w:t>
      </w:r>
      <w:r w:rsidR="0070384D" w:rsidRPr="00BD0223">
        <w:t>as</w:t>
      </w:r>
      <w:r w:rsidR="007C7905" w:rsidRPr="00BD0223">
        <w:t>sim a arrecadação era de responsabilidade da União e a mesma determinava onde os recursos deveriam ser aplicados. Em 1964</w:t>
      </w:r>
      <w:r w:rsidR="00DC5766" w:rsidRPr="00BD0223">
        <w:t>,</w:t>
      </w:r>
      <w:r w:rsidR="007C7905" w:rsidRPr="00BD0223">
        <w:t xml:space="preserve"> quando a Petrobras já atendia 70% de todo o mercado de derivados</w:t>
      </w:r>
      <w:r w:rsidR="00DC5766" w:rsidRPr="00BD0223">
        <w:t>,</w:t>
      </w:r>
      <w:r w:rsidR="007C7905" w:rsidRPr="00BD0223">
        <w:t xml:space="preserve"> o IUCL passou a incidir sobre o preço antes de chegar à refinaria</w:t>
      </w:r>
      <w:r w:rsidR="00FA1FCD">
        <w:t xml:space="preserve"> (CAVALCANTI, 2006)</w:t>
      </w:r>
      <w:r w:rsidR="0070384D" w:rsidRPr="00BD0223">
        <w:t>.</w:t>
      </w:r>
      <w:r w:rsidR="007C7905" w:rsidRPr="00BD0223">
        <w:t xml:space="preserve"> </w:t>
      </w:r>
      <w:r w:rsidR="0070384D" w:rsidRPr="00BD0223">
        <w:t>A</w:t>
      </w:r>
      <w:r w:rsidR="007C7905" w:rsidRPr="00BD0223">
        <w:t xml:space="preserve"> partir de 1982 quando o governo federal já se via em uma difícil situação fiscal</w:t>
      </w:r>
      <w:r w:rsidR="00424C77" w:rsidRPr="00BD0223">
        <w:t>,</w:t>
      </w:r>
      <w:r w:rsidR="007C7905" w:rsidRPr="00BD0223">
        <w:t xml:space="preserve"> as contribuições do Finsocial e do PIS/Pasep começaram a incidir sobre o faturamento d</w:t>
      </w:r>
      <w:r w:rsidR="002E170E" w:rsidRPr="00BD0223">
        <w:t>o setor de refinamento de petróleo</w:t>
      </w:r>
      <w:r w:rsidR="007C7905" w:rsidRPr="00BD0223">
        <w:t>. Em 1983 já no período de abertura política e decadência do regime militar</w:t>
      </w:r>
      <w:r w:rsidR="002E170E" w:rsidRPr="00BD0223">
        <w:t>,</w:t>
      </w:r>
      <w:r w:rsidR="007C7905" w:rsidRPr="00BD0223">
        <w:t xml:space="preserve"> </w:t>
      </w:r>
      <w:r w:rsidR="002E170E" w:rsidRPr="00BD0223">
        <w:t>o qual</w:t>
      </w:r>
      <w:r w:rsidR="007C7905" w:rsidRPr="00BD0223">
        <w:t xml:space="preserve"> não possuía popularidade para tomar medidas</w:t>
      </w:r>
      <w:r w:rsidR="00E72AEC" w:rsidRPr="00BD0223">
        <w:t xml:space="preserve"> centralizadoras</w:t>
      </w:r>
      <w:r w:rsidR="00FF6E05" w:rsidRPr="00BD0223">
        <w:t>, foi determinado a destinação de 60% dos recursos provenientes do IUCL aos estados e municípios que também passavam por graves problemas fiscais. Vale ressaltar que a participação dos entes federativos na arrecadação de tributos provenientes da cadeia produtiva de petróleo e gás não fo</w:t>
      </w:r>
      <w:r w:rsidR="00424C77" w:rsidRPr="00BD0223">
        <w:t>i</w:t>
      </w:r>
      <w:r w:rsidR="00FF6E05" w:rsidRPr="00BD0223">
        <w:t xml:space="preserve"> possível</w:t>
      </w:r>
      <w:r w:rsidR="00424C77" w:rsidRPr="00BD0223">
        <w:t xml:space="preserve"> antes</w:t>
      </w:r>
      <w:r w:rsidR="00FF6E05" w:rsidRPr="00BD0223">
        <w:t xml:space="preserve"> por diversos fatores</w:t>
      </w:r>
      <w:r w:rsidR="00DC5766" w:rsidRPr="00BD0223">
        <w:t>,</w:t>
      </w:r>
      <w:r w:rsidR="00FF6E05" w:rsidRPr="00BD0223">
        <w:t xml:space="preserve"> dentre eles pode-se citar</w:t>
      </w:r>
      <w:r w:rsidR="00DC5766" w:rsidRPr="00BD0223">
        <w:t>:</w:t>
      </w:r>
      <w:r w:rsidR="00FF6E05" w:rsidRPr="00BD0223">
        <w:t xml:space="preserve"> a concepção da maioria dos governos entre 1938 e 1980 </w:t>
      </w:r>
      <w:r w:rsidR="00D26E2D" w:rsidRPr="00BD0223">
        <w:t xml:space="preserve">de </w:t>
      </w:r>
      <w:r w:rsidR="00FF6E05" w:rsidRPr="00BD0223">
        <w:t xml:space="preserve">que o setor era estratégico e deveria </w:t>
      </w:r>
      <w:r w:rsidR="00151E89" w:rsidRPr="00BD0223">
        <w:t>ser controlado de forma ativa pelo</w:t>
      </w:r>
      <w:r w:rsidR="00FF6E05" w:rsidRPr="00BD0223">
        <w:t xml:space="preserve"> governo federal</w:t>
      </w:r>
      <w:r w:rsidR="00383D31" w:rsidRPr="00BD0223">
        <w:t>,</w:t>
      </w:r>
      <w:r w:rsidR="00647689" w:rsidRPr="00BD0223">
        <w:t xml:space="preserve"> e </w:t>
      </w:r>
      <w:r w:rsidR="00FF6E05" w:rsidRPr="00BD0223">
        <w:t>o fato de tais governos apresentarem características altamente centralizadoras concedendo pouca autonomia aos entes da federação</w:t>
      </w:r>
      <w:r w:rsidR="00647689" w:rsidRPr="00BD0223">
        <w:t>. Com a crise da dívida externa e</w:t>
      </w:r>
      <w:r w:rsidR="00DC5766" w:rsidRPr="00BD0223">
        <w:t xml:space="preserve"> o</w:t>
      </w:r>
      <w:r w:rsidR="00647689" w:rsidRPr="00BD0223">
        <w:t xml:space="preserve"> aumento da inflação</w:t>
      </w:r>
      <w:r w:rsidR="00FB000B" w:rsidRPr="00BD0223">
        <w:t>,</w:t>
      </w:r>
      <w:r w:rsidR="00647689" w:rsidRPr="00BD0223">
        <w:t xml:space="preserve"> o governo central do período militar foi perdendo popularidade</w:t>
      </w:r>
      <w:r w:rsidR="00E72AEC" w:rsidRPr="00BD0223">
        <w:t xml:space="preserve"> e consequentemente começou a</w:t>
      </w:r>
      <w:r w:rsidR="00647689" w:rsidRPr="00BD0223">
        <w:t xml:space="preserve"> ceder </w:t>
      </w:r>
      <w:r w:rsidR="00DE0650">
        <w:t>à</w:t>
      </w:r>
      <w:r w:rsidR="00763D12" w:rsidRPr="00BD0223">
        <w:t>s</w:t>
      </w:r>
      <w:r w:rsidR="00647689" w:rsidRPr="00BD0223">
        <w:t xml:space="preserve"> demandas dos estados e municípios.</w:t>
      </w:r>
    </w:p>
    <w:p w14:paraId="082EF6A9" w14:textId="714DC6A7" w:rsidR="009A0F72" w:rsidRPr="00BD0223" w:rsidRDefault="00647689" w:rsidP="00C117F2">
      <w:pPr>
        <w:pStyle w:val="TNORMAL"/>
      </w:pPr>
      <w:r w:rsidRPr="00BD0223">
        <w:lastRenderedPageBreak/>
        <w:t>A Constituição de 1988 mudou consideravelmente a dinâmica da tributação sobre combustíveis</w:t>
      </w:r>
      <w:r w:rsidR="006E73BA">
        <w:t xml:space="preserve"> (CAVALCANTI, 2006)</w:t>
      </w:r>
      <w:r w:rsidR="00DC5766" w:rsidRPr="00BD0223">
        <w:t>.</w:t>
      </w:r>
      <w:r w:rsidRPr="00BD0223">
        <w:t xml:space="preserve"> </w:t>
      </w:r>
      <w:r w:rsidR="00DC5766" w:rsidRPr="00BD0223">
        <w:t>A</w:t>
      </w:r>
      <w:r w:rsidRPr="00BD0223">
        <w:t xml:space="preserve"> principal </w:t>
      </w:r>
      <w:r w:rsidR="0072156F" w:rsidRPr="00BD0223">
        <w:t xml:space="preserve">questão relativa </w:t>
      </w:r>
      <w:r w:rsidR="00FB05D3" w:rsidRPr="00BD0223">
        <w:t>à</w:t>
      </w:r>
      <w:r w:rsidRPr="00BD0223">
        <w:t xml:space="preserve"> cadeia de </w:t>
      </w:r>
      <w:r w:rsidR="0072156F" w:rsidRPr="00BD0223">
        <w:t>p</w:t>
      </w:r>
      <w:r w:rsidRPr="00BD0223">
        <w:t xml:space="preserve">etróleo e </w:t>
      </w:r>
      <w:r w:rsidR="0072156F" w:rsidRPr="00BD0223">
        <w:t>g</w:t>
      </w:r>
      <w:r w:rsidRPr="00BD0223">
        <w:t>ás</w:t>
      </w:r>
      <w:r w:rsidR="009A0F72" w:rsidRPr="00BD0223">
        <w:t xml:space="preserve"> esteve relacionada com a extinção do IUCL</w:t>
      </w:r>
      <w:r w:rsidR="0072156F" w:rsidRPr="00BD0223">
        <w:t>, o qual</w:t>
      </w:r>
      <w:r w:rsidRPr="00BD0223">
        <w:t xml:space="preserve"> passou a ser acrescido </w:t>
      </w:r>
      <w:r w:rsidR="0072156F" w:rsidRPr="00BD0223">
        <w:t>à</w:t>
      </w:r>
      <w:r w:rsidRPr="00BD0223">
        <w:t xml:space="preserve"> base do então novo Imposto Sobre </w:t>
      </w:r>
      <w:r w:rsidR="00891D7C" w:rsidRPr="00891D7C">
        <w:rPr>
          <w:rFonts w:cs="Times New Roman"/>
          <w:color w:val="202124"/>
          <w:shd w:val="clear" w:color="auto" w:fill="FFFFFF"/>
        </w:rPr>
        <w:t>Operações relativas à Circulação de Mercadorias e sobre Prestações de Serviços de Transporte Interestadual, Intermunicipal e de Comunicação</w:t>
      </w:r>
      <w:r w:rsidR="00FB05D3">
        <w:rPr>
          <w:rFonts w:cs="Times New Roman"/>
          <w:color w:val="202124"/>
          <w:shd w:val="clear" w:color="auto" w:fill="FFFFFF"/>
        </w:rPr>
        <w:t>. T</w:t>
      </w:r>
      <w:r w:rsidR="00FB000B" w:rsidRPr="00BD0223">
        <w:t>al m</w:t>
      </w:r>
      <w:r w:rsidR="0072156F" w:rsidRPr="00BD0223">
        <w:t>udança</w:t>
      </w:r>
      <w:r w:rsidRPr="00BD0223">
        <w:t xml:space="preserve"> reflete a descentralização da tributação e a perda de participação da receita por parte da União</w:t>
      </w:r>
      <w:r w:rsidR="0072156F" w:rsidRPr="00BD0223">
        <w:t xml:space="preserve">, ambas consequências do ambiente político em torno da </w:t>
      </w:r>
      <w:r w:rsidR="00DE0650">
        <w:t>C</w:t>
      </w:r>
      <w:r w:rsidR="0072156F" w:rsidRPr="00BD0223">
        <w:t>onstituinte</w:t>
      </w:r>
      <w:r w:rsidR="00D8324A" w:rsidRPr="00BD0223">
        <w:t>.</w:t>
      </w:r>
      <w:r w:rsidRPr="00BD0223">
        <w:t xml:space="preserve"> </w:t>
      </w:r>
      <w:r w:rsidR="00D8324A" w:rsidRPr="00BD0223">
        <w:t>V</w:t>
      </w:r>
      <w:r w:rsidRPr="00BD0223">
        <w:t xml:space="preserve">ários impostos seletivos em determinados produtos, os quais possuíam </w:t>
      </w:r>
      <w:r w:rsidR="00E72AEC" w:rsidRPr="00BD0223">
        <w:t>elevado</w:t>
      </w:r>
      <w:r w:rsidRPr="00BD0223">
        <w:t xml:space="preserve"> potencial de arrecadação, foram passados para os </w:t>
      </w:r>
      <w:r w:rsidR="00424C77" w:rsidRPr="00BD0223">
        <w:t>e</w:t>
      </w:r>
      <w:r w:rsidRPr="00BD0223">
        <w:t>stados com a absorção d</w:t>
      </w:r>
      <w:r w:rsidR="00424C77" w:rsidRPr="00BD0223">
        <w:t>a</w:t>
      </w:r>
      <w:r w:rsidRPr="00BD0223">
        <w:t xml:space="preserve">s </w:t>
      </w:r>
      <w:r w:rsidR="00DE0650">
        <w:t xml:space="preserve">suas </w:t>
      </w:r>
      <w:r w:rsidRPr="00BD0223">
        <w:t>bases de tributação pelo ICMS</w:t>
      </w:r>
      <w:r w:rsidR="009A0F72" w:rsidRPr="00BD0223">
        <w:t>. Aos estados</w:t>
      </w:r>
      <w:r w:rsidR="000C4D6B" w:rsidRPr="00BD0223">
        <w:t>,</w:t>
      </w:r>
      <w:r w:rsidR="009A0F72" w:rsidRPr="00BD0223">
        <w:t xml:space="preserve"> apesar de definirem alíquotas únicas para transações internas e interestaduais, f</w:t>
      </w:r>
      <w:r w:rsidR="000C4D6B" w:rsidRPr="00BD0223">
        <w:t>icaria a responsabilidade sobre</w:t>
      </w:r>
      <w:r w:rsidR="009A0F72" w:rsidRPr="00BD0223">
        <w:t xml:space="preserve"> produtos que possuir</w:t>
      </w:r>
      <w:r w:rsidR="0072156F" w:rsidRPr="00BD0223">
        <w:t>i</w:t>
      </w:r>
      <w:r w:rsidR="009A0F72" w:rsidRPr="00BD0223">
        <w:t>am alíquotas seletivas como foi o caso dos combustíveis</w:t>
      </w:r>
      <w:r w:rsidR="00DE0650">
        <w:t>. D</w:t>
      </w:r>
      <w:r w:rsidR="009A0F72" w:rsidRPr="00BD0223">
        <w:t>esde então</w:t>
      </w:r>
      <w:r w:rsidR="00DE0650">
        <w:t>,</w:t>
      </w:r>
      <w:r w:rsidR="0072156F" w:rsidRPr="00BD0223">
        <w:t xml:space="preserve"> impostos incidentes sobre determinadas cestas de consumo se tornaram </w:t>
      </w:r>
      <w:r w:rsidR="00CE6340" w:rsidRPr="00BD0223">
        <w:t>importantes fontes</w:t>
      </w:r>
      <w:r w:rsidR="009A0F72" w:rsidRPr="00BD0223">
        <w:t xml:space="preserve"> de arrecadação do</w:t>
      </w:r>
      <w:r w:rsidR="00D8324A" w:rsidRPr="00BD0223">
        <w:t>s</w:t>
      </w:r>
      <w:r w:rsidR="009A0F72" w:rsidRPr="00BD0223">
        <w:t xml:space="preserve"> governo</w:t>
      </w:r>
      <w:r w:rsidR="00D8324A" w:rsidRPr="00BD0223">
        <w:t>s</w:t>
      </w:r>
      <w:r w:rsidR="009A0F72" w:rsidRPr="00BD0223">
        <w:t xml:space="preserve"> estadua</w:t>
      </w:r>
      <w:r w:rsidR="00D8324A" w:rsidRPr="00BD0223">
        <w:t>is</w:t>
      </w:r>
      <w:r w:rsidR="009A0F72" w:rsidRPr="00BD0223">
        <w:t>.</w:t>
      </w:r>
    </w:p>
    <w:p w14:paraId="1704DE55" w14:textId="6238779E" w:rsidR="002C30EE" w:rsidRPr="00BD0223" w:rsidRDefault="009A0F72" w:rsidP="00C117F2">
      <w:pPr>
        <w:pStyle w:val="TNORMAL"/>
      </w:pPr>
      <w:r w:rsidRPr="00BD0223">
        <w:t>De início a Constituição de 1988</w:t>
      </w:r>
      <w:r w:rsidR="00DC5766" w:rsidRPr="00BD0223">
        <w:t>,</w:t>
      </w:r>
      <w:r w:rsidR="00424C77" w:rsidRPr="00BD0223">
        <w:t xml:space="preserve"> </w:t>
      </w:r>
      <w:r w:rsidRPr="00BD0223">
        <w:t>no que se refere as operações de varejo para</w:t>
      </w:r>
      <w:r w:rsidR="00B74207" w:rsidRPr="00BD0223">
        <w:t xml:space="preserve"> combustíveis</w:t>
      </w:r>
      <w:r w:rsidR="00DC5766" w:rsidRPr="00BD0223">
        <w:t>,</w:t>
      </w:r>
      <w:r w:rsidR="00B74207" w:rsidRPr="00BD0223">
        <w:t xml:space="preserve"> institui</w:t>
      </w:r>
      <w:r w:rsidR="00192628" w:rsidRPr="00BD0223">
        <w:t>u</w:t>
      </w:r>
      <w:r w:rsidR="00B74207" w:rsidRPr="00BD0223">
        <w:t xml:space="preserve"> o então IVVC que era de competência municipal </w:t>
      </w:r>
      <w:r w:rsidR="00424C77" w:rsidRPr="00BD0223">
        <w:t xml:space="preserve">e não excludente ao </w:t>
      </w:r>
      <w:r w:rsidR="00311CFB" w:rsidRPr="00BD0223">
        <w:t>ICMS</w:t>
      </w:r>
      <w:r w:rsidR="002E170E" w:rsidRPr="00BD0223">
        <w:t xml:space="preserve">, </w:t>
      </w:r>
      <w:r w:rsidR="002E170E" w:rsidRPr="00FA1FCD">
        <w:t>a</w:t>
      </w:r>
      <w:r w:rsidR="00B74207" w:rsidRPr="00FA1FCD">
        <w:t xml:space="preserve"> partir de 199</w:t>
      </w:r>
      <w:r w:rsidR="00FA1FCD" w:rsidRPr="00FA1FCD">
        <w:t>6</w:t>
      </w:r>
      <w:r w:rsidR="00B74207" w:rsidRPr="00FA1FCD">
        <w:t xml:space="preserve"> </w:t>
      </w:r>
      <w:r w:rsidR="00965817" w:rsidRPr="00BD0223">
        <w:t>tal imposto</w:t>
      </w:r>
      <w:r w:rsidR="00151E89" w:rsidRPr="00BD0223">
        <w:t xml:space="preserve"> foi extinto com</w:t>
      </w:r>
      <w:r w:rsidR="00B74207" w:rsidRPr="00BD0223">
        <w:t xml:space="preserve"> objetivo principal de diminuir </w:t>
      </w:r>
      <w:r w:rsidR="00151E89" w:rsidRPr="00BD0223">
        <w:t xml:space="preserve">a </w:t>
      </w:r>
      <w:r w:rsidR="00B74207" w:rsidRPr="00BD0223">
        <w:t>cumulatividade</w:t>
      </w:r>
      <w:r w:rsidR="006E73BA">
        <w:t xml:space="preserve"> (</w:t>
      </w:r>
      <w:r w:rsidR="006E73BA" w:rsidRPr="00BD0223">
        <w:rPr>
          <w:shd w:val="clear" w:color="auto" w:fill="FFFFFF"/>
        </w:rPr>
        <w:t>SCHECHTMAN</w:t>
      </w:r>
      <w:r w:rsidR="006E73BA">
        <w:rPr>
          <w:shd w:val="clear" w:color="auto" w:fill="FFFFFF"/>
        </w:rPr>
        <w:t>, CUNHA, SILVEIRA e NASCIMENTO, 2001)</w:t>
      </w:r>
      <w:r w:rsidR="00B74207" w:rsidRPr="00BD0223">
        <w:t xml:space="preserve">. O método da nota-crédito </w:t>
      </w:r>
      <w:r w:rsidR="00D8324A" w:rsidRPr="00BD0223">
        <w:t>amplamente utilizado nos países desenvolvidos não foi adotado em todos os setores da economia brasileira</w:t>
      </w:r>
      <w:r w:rsidR="00BB6A01" w:rsidRPr="00BD0223">
        <w:t>,</w:t>
      </w:r>
      <w:r w:rsidR="0072156F" w:rsidRPr="00BD0223">
        <w:t xml:space="preserve"> </w:t>
      </w:r>
      <w:r w:rsidR="00BB6A01" w:rsidRPr="00BD0223">
        <w:t>n</w:t>
      </w:r>
      <w:r w:rsidR="0072156F" w:rsidRPr="00BD0223">
        <w:t>a ampla maioria d</w:t>
      </w:r>
      <w:r w:rsidR="00192628" w:rsidRPr="00BD0223">
        <w:t>a</w:t>
      </w:r>
      <w:r w:rsidR="00383D31" w:rsidRPr="00BD0223">
        <w:t>s</w:t>
      </w:r>
      <w:r w:rsidR="00B74207" w:rsidRPr="00BD0223">
        <w:t xml:space="preserve"> </w:t>
      </w:r>
      <w:r w:rsidR="00D8324A" w:rsidRPr="00BD0223">
        <w:t>cadeias produtivas</w:t>
      </w:r>
      <w:r w:rsidR="0072156F" w:rsidRPr="00BD0223">
        <w:t xml:space="preserve">, principalmente </w:t>
      </w:r>
      <w:r w:rsidR="00BB6A01" w:rsidRPr="00BD0223">
        <w:t>n</w:t>
      </w:r>
      <w:r w:rsidR="0072156F" w:rsidRPr="00BD0223">
        <w:t>as</w:t>
      </w:r>
      <w:r w:rsidR="00B74207" w:rsidRPr="00BD0223">
        <w:t xml:space="preserve"> mais complex</w:t>
      </w:r>
      <w:r w:rsidR="00D8324A" w:rsidRPr="00BD0223">
        <w:t>a</w:t>
      </w:r>
      <w:r w:rsidR="00B74207" w:rsidRPr="00BD0223">
        <w:t>s</w:t>
      </w:r>
      <w:r w:rsidR="00383D31" w:rsidRPr="00BD0223">
        <w:t xml:space="preserve"> como é a característica do setor de derivados do petróleo,</w:t>
      </w:r>
      <w:r w:rsidR="00B74207" w:rsidRPr="00BD0223">
        <w:t xml:space="preserve"> foi adotado </w:t>
      </w:r>
      <w:r w:rsidR="00311CFB" w:rsidRPr="00BD0223">
        <w:t>o</w:t>
      </w:r>
      <w:r w:rsidR="00B74207" w:rsidRPr="00BD0223">
        <w:t xml:space="preserve"> método da substituição tributária em que um dos agentes, no caso do setor petrolífero a refinaria, </w:t>
      </w:r>
      <w:r w:rsidR="00383D31" w:rsidRPr="00BD0223">
        <w:t>seria</w:t>
      </w:r>
      <w:r w:rsidR="00B74207" w:rsidRPr="00BD0223">
        <w:t xml:space="preserve"> o responsável pelo pagamento do ICMS de todas as etapas </w:t>
      </w:r>
      <w:r w:rsidR="00FB05D3" w:rsidRPr="00BD0223">
        <w:t>ex</w:t>
      </w:r>
      <w:r w:rsidR="00FB05D3">
        <w:t>-ante</w:t>
      </w:r>
      <w:r w:rsidR="00B74207" w:rsidRPr="00BD0223">
        <w:t xml:space="preserve"> e </w:t>
      </w:r>
      <w:r w:rsidR="00FB05D3" w:rsidRPr="00BD0223">
        <w:t>ex</w:t>
      </w:r>
      <w:r w:rsidR="00FB05D3">
        <w:t>-</w:t>
      </w:r>
      <w:r w:rsidR="00FB05D3" w:rsidRPr="00BD0223">
        <w:t>post</w:t>
      </w:r>
      <w:r w:rsidR="00BB6A01" w:rsidRPr="00BD0223">
        <w:t>, no que se refere à cadeia industrial de petróleo</w:t>
      </w:r>
      <w:r w:rsidR="00714B02" w:rsidRPr="00BD0223">
        <w:t xml:space="preserve"> o ICMS só incide a partir da refinaria sendo que na etapa de </w:t>
      </w:r>
      <w:r w:rsidR="009A777A" w:rsidRPr="00BD0223">
        <w:t>extração</w:t>
      </w:r>
      <w:r w:rsidR="00714B02" w:rsidRPr="00BD0223">
        <w:t xml:space="preserve"> ocorre a incidência do ISS</w:t>
      </w:r>
      <w:r w:rsidR="00DC5766" w:rsidRPr="00BD0223">
        <w:t>. O</w:t>
      </w:r>
      <w:r w:rsidR="00B74207" w:rsidRPr="00BD0223">
        <w:t xml:space="preserve"> Confaz passou a ter a função de fornecer as margens</w:t>
      </w:r>
      <w:r w:rsidR="00D8324A" w:rsidRPr="00BD0223">
        <w:t xml:space="preserve"> de lucratividade</w:t>
      </w:r>
      <w:r w:rsidR="00B74207" w:rsidRPr="00BD0223">
        <w:t xml:space="preserve"> médias tanto do atacado quanto do varejo de combustíveis para que assim a empresa que refina o produto p</w:t>
      </w:r>
      <w:r w:rsidR="00D8324A" w:rsidRPr="00BD0223">
        <w:t>udesse</w:t>
      </w:r>
      <w:r w:rsidR="00B74207" w:rsidRPr="00BD0223">
        <w:t xml:space="preserve"> calcular e </w:t>
      </w:r>
      <w:r w:rsidR="002C30EE" w:rsidRPr="00BD0223">
        <w:t>pagar o ICMS devido ao estado.</w:t>
      </w:r>
      <w:r w:rsidR="00151E89" w:rsidRPr="00BD0223">
        <w:t xml:space="preserve"> </w:t>
      </w:r>
      <w:r w:rsidR="00C83CF2" w:rsidRPr="00BD0223">
        <w:t>Outro ponto a se destacar refere-se aos casos específicos da gasolina e do diesel, os quais possuem tanto a tributação quanto a arrecadação de ICMS, aplicadas sobre o princípio de destino, características essa</w:t>
      </w:r>
      <w:r w:rsidR="00714B02" w:rsidRPr="00BD0223">
        <w:t>s</w:t>
      </w:r>
      <w:r w:rsidR="00C83CF2" w:rsidRPr="00BD0223">
        <w:t xml:space="preserve"> que os diferencia</w:t>
      </w:r>
      <w:r w:rsidR="007855D9" w:rsidRPr="00BD0223">
        <w:t>m</w:t>
      </w:r>
      <w:r w:rsidR="00C83CF2" w:rsidRPr="00BD0223">
        <w:t xml:space="preserve"> d</w:t>
      </w:r>
      <w:r w:rsidR="00714B02" w:rsidRPr="00BD0223">
        <w:t>e</w:t>
      </w:r>
      <w:r w:rsidR="00C83CF2" w:rsidRPr="00BD0223">
        <w:t xml:space="preserve"> outros produtos</w:t>
      </w:r>
      <w:r w:rsidR="002E170E" w:rsidRPr="00BD0223">
        <w:t xml:space="preserve"> comercializados em território brasileiro</w:t>
      </w:r>
      <w:r w:rsidR="00C83CF2" w:rsidRPr="00BD0223">
        <w:t>.</w:t>
      </w:r>
    </w:p>
    <w:p w14:paraId="6758A06E" w14:textId="4F6BB12C" w:rsidR="00C83CF2" w:rsidRPr="00BD0223" w:rsidRDefault="002C30EE" w:rsidP="00C117F2">
      <w:pPr>
        <w:pStyle w:val="TNORMAL"/>
      </w:pPr>
      <w:r w:rsidRPr="00BD0223">
        <w:t>Atualmente a tributação sobre combustíveis no Brasil apresenta diversos tributos e contribuições muitas das quais podem ser cumulativas ou não. O P</w:t>
      </w:r>
      <w:r w:rsidR="00882A47">
        <w:t>IS</w:t>
      </w:r>
      <w:r w:rsidRPr="00BD0223">
        <w:t xml:space="preserve"> e o </w:t>
      </w:r>
      <w:r w:rsidR="00192628" w:rsidRPr="00BD0223">
        <w:t>C</w:t>
      </w:r>
      <w:r w:rsidR="00882A47">
        <w:t>OFINS</w:t>
      </w:r>
      <w:r w:rsidRPr="00BD0223">
        <w:t xml:space="preserve"> por exemplo possuem incidência estendida do setor de refino até o varejo e apresentam características cumulativas. O ICMS apesar de não ser cumulativo possui pontos de encontro </w:t>
      </w:r>
      <w:r w:rsidR="00C82AC3" w:rsidRPr="00BD0223">
        <w:t>com o</w:t>
      </w:r>
      <w:r w:rsidRPr="00BD0223">
        <w:t xml:space="preserve"> ISS que incide sobre a extração do petróleo</w:t>
      </w:r>
      <w:r w:rsidR="00C83CF2" w:rsidRPr="00BD0223">
        <w:t>. D</w:t>
      </w:r>
      <w:r w:rsidR="00C82AC3" w:rsidRPr="00BD0223">
        <w:t>evido</w:t>
      </w:r>
      <w:r w:rsidR="00350324" w:rsidRPr="00BD0223">
        <w:t xml:space="preserve"> a</w:t>
      </w:r>
      <w:r w:rsidR="002E170E" w:rsidRPr="00BD0223">
        <w:t xml:space="preserve"> diversidade de impostos incidentes sobre a cadeia </w:t>
      </w:r>
      <w:r w:rsidR="002E170E" w:rsidRPr="00BD0223">
        <w:lastRenderedPageBreak/>
        <w:t>de petróleo</w:t>
      </w:r>
      <w:r w:rsidR="00C82AC3" w:rsidRPr="00BD0223">
        <w:t xml:space="preserve"> e o método d</w:t>
      </w:r>
      <w:r w:rsidR="00870E6B" w:rsidRPr="00BD0223">
        <w:t>a</w:t>
      </w:r>
      <w:r w:rsidR="00C82AC3" w:rsidRPr="00BD0223">
        <w:t xml:space="preserve"> substituição tributária</w:t>
      </w:r>
      <w:r w:rsidR="00311CFB" w:rsidRPr="00BD0223">
        <w:t>,</w:t>
      </w:r>
      <w:r w:rsidR="00C82AC3" w:rsidRPr="00BD0223">
        <w:t xml:space="preserve"> </w:t>
      </w:r>
      <w:r w:rsidR="00311CFB" w:rsidRPr="00BD0223">
        <w:t xml:space="preserve">a </w:t>
      </w:r>
      <w:r w:rsidR="00C82AC3" w:rsidRPr="00BD0223">
        <w:t>legislação</w:t>
      </w:r>
      <w:r w:rsidR="00311CFB" w:rsidRPr="00BD0223">
        <w:t xml:space="preserve"> se apresenta de forma</w:t>
      </w:r>
      <w:r w:rsidR="00C82AC3" w:rsidRPr="00BD0223">
        <w:t xml:space="preserve"> compl</w:t>
      </w:r>
      <w:r w:rsidR="00B72471">
        <w:t xml:space="preserve">exa </w:t>
      </w:r>
      <w:r w:rsidR="00C82AC3" w:rsidRPr="00BD0223">
        <w:t xml:space="preserve">no que se refere </w:t>
      </w:r>
      <w:r w:rsidR="002E170E" w:rsidRPr="00BD0223">
        <w:t>a relação entre fisco e contribuinte, gerando diversos conflitos entre as duas partes.</w:t>
      </w:r>
    </w:p>
    <w:p w14:paraId="204A265C" w14:textId="23D51875" w:rsidR="002F372D" w:rsidRPr="00BD0223" w:rsidRDefault="00C82AC3" w:rsidP="00C117F2">
      <w:pPr>
        <w:pStyle w:val="TNORMAL"/>
      </w:pPr>
      <w:r w:rsidRPr="00BD0223">
        <w:t>O ICMS sobre combustíveis no Brasil se tornou um instrumento importante tanto no que se refere a política fiscal quanto no que diz respeito a medidas parafiscais</w:t>
      </w:r>
      <w:r w:rsidR="0042199A" w:rsidRPr="00BD0223">
        <w:t>.</w:t>
      </w:r>
      <w:r w:rsidRPr="00BD0223">
        <w:t xml:space="preserve"> </w:t>
      </w:r>
      <w:r w:rsidR="0042199A" w:rsidRPr="00BD0223">
        <w:t>O</w:t>
      </w:r>
      <w:r w:rsidRPr="00BD0223">
        <w:t xml:space="preserve"> estado de São Paulo por exemplo recentemente aproveitando-se da medida do Senado Federal de diminuir o piso do ICMS incidente sobre o querosene de aviação diminuiu sua alíquota para 12%</w:t>
      </w:r>
      <w:r w:rsidR="00350324" w:rsidRPr="00BD0223">
        <w:t>, com o objetivo de incentivar a aviação regional</w:t>
      </w:r>
      <w:r w:rsidR="0042199A" w:rsidRPr="00BD0223">
        <w:t>. S</w:t>
      </w:r>
      <w:r w:rsidRPr="00BD0223">
        <w:t xml:space="preserve">indicatos patronais de revendedores e atacadistas de combustíveis sempre clamam por alíquotas menores aos governos estaduais, argumentando </w:t>
      </w:r>
      <w:r w:rsidR="0042199A" w:rsidRPr="00BD0223">
        <w:t>uma possível perda</w:t>
      </w:r>
      <w:r w:rsidRPr="00BD0223">
        <w:t xml:space="preserve"> de consumidores para outros estados</w:t>
      </w:r>
      <w:r w:rsidR="00CE6340" w:rsidRPr="00BD0223">
        <w:t xml:space="preserve"> </w:t>
      </w:r>
      <w:r w:rsidRPr="00BD0223">
        <w:t xml:space="preserve">diminuindo assim </w:t>
      </w:r>
      <w:r w:rsidR="0042199A" w:rsidRPr="00BD0223">
        <w:t>o</w:t>
      </w:r>
      <w:r w:rsidRPr="00BD0223">
        <w:t xml:space="preserve"> potencial d</w:t>
      </w:r>
      <w:r w:rsidR="00726239" w:rsidRPr="00BD0223">
        <w:t>a</w:t>
      </w:r>
      <w:r w:rsidRPr="00BD0223">
        <w:t xml:space="preserve"> arrecadação</w:t>
      </w:r>
      <w:r w:rsidR="00726239" w:rsidRPr="00BD0223">
        <w:t xml:space="preserve"> tributária</w:t>
      </w:r>
      <w:r w:rsidRPr="00BD0223">
        <w:t>. Tais discuss</w:t>
      </w:r>
      <w:r w:rsidR="00350324" w:rsidRPr="00BD0223">
        <w:t>ões</w:t>
      </w:r>
      <w:r w:rsidRPr="00BD0223">
        <w:t xml:space="preserve"> relacionadas a alíquotas elevadas e a guerra fiscal dos estados sempre aparecem durante reuniões do Confaz</w:t>
      </w:r>
      <w:r w:rsidR="007855D9" w:rsidRPr="00BD0223">
        <w:t>.</w:t>
      </w:r>
      <w:r w:rsidRPr="00BD0223">
        <w:t xml:space="preserve"> </w:t>
      </w:r>
      <w:r w:rsidR="007855D9" w:rsidRPr="00BD0223">
        <w:t>A</w:t>
      </w:r>
      <w:r w:rsidRPr="00BD0223">
        <w:t>tualmente</w:t>
      </w:r>
      <w:r w:rsidR="00870E6B" w:rsidRPr="00BD0223">
        <w:t>,</w:t>
      </w:r>
      <w:r w:rsidRPr="00BD0223">
        <w:t xml:space="preserve"> devido ao debate </w:t>
      </w:r>
      <w:r w:rsidR="004A0375" w:rsidRPr="00BD0223">
        <w:t>em torno de uma possível reforma tributária</w:t>
      </w:r>
      <w:r w:rsidR="00383D31" w:rsidRPr="00BD0223">
        <w:t>,</w:t>
      </w:r>
      <w:r w:rsidR="004A0375" w:rsidRPr="00BD0223">
        <w:t xml:space="preserve"> </w:t>
      </w:r>
      <w:r w:rsidR="007855D9" w:rsidRPr="00BD0223">
        <w:t>a possibilidade de mudanças desse contexto vem</w:t>
      </w:r>
      <w:r w:rsidR="004A0375" w:rsidRPr="00BD0223">
        <w:t xml:space="preserve"> ganhando espaço.</w:t>
      </w:r>
    </w:p>
    <w:p w14:paraId="34995DDC" w14:textId="5BA7A19D" w:rsidR="00540BA3" w:rsidRPr="00E77ED2" w:rsidRDefault="00C117F2" w:rsidP="00C117F2">
      <w:pPr>
        <w:pStyle w:val="TIT2"/>
      </w:pPr>
      <w:bookmarkStart w:id="8" w:name="_Toc55329612"/>
      <w:r w:rsidRPr="00E77ED2">
        <w:rPr>
          <w:caps w:val="0"/>
        </w:rPr>
        <w:t xml:space="preserve">A CADEIA PRODUTIVA DE PETRÓLEO E GÁS E </w:t>
      </w:r>
      <w:r w:rsidR="00E77ED2">
        <w:rPr>
          <w:caps w:val="0"/>
        </w:rPr>
        <w:t xml:space="preserve">A </w:t>
      </w:r>
      <w:r w:rsidRPr="00E77ED2">
        <w:rPr>
          <w:caps w:val="0"/>
        </w:rPr>
        <w:t>REFORMA TRIBUTÁRIA</w:t>
      </w:r>
      <w:bookmarkEnd w:id="8"/>
    </w:p>
    <w:p w14:paraId="337192A7" w14:textId="2BBE6A0F" w:rsidR="00742808" w:rsidRPr="00BD0223" w:rsidRDefault="00742808" w:rsidP="00C117F2">
      <w:pPr>
        <w:pStyle w:val="TNORMAL"/>
      </w:pPr>
      <w:r w:rsidRPr="00BD0223">
        <w:t xml:space="preserve">Embora a Constituição de 1988 tenha mudado </w:t>
      </w:r>
      <w:r w:rsidR="00714B02" w:rsidRPr="00BD0223">
        <w:t>diversas características</w:t>
      </w:r>
      <w:r w:rsidRPr="00BD0223">
        <w:t xml:space="preserve"> </w:t>
      </w:r>
      <w:r w:rsidR="00714B02" w:rsidRPr="00BD0223">
        <w:t>d</w:t>
      </w:r>
      <w:r w:rsidRPr="00BD0223">
        <w:t>o sistema tributário brasileiro</w:t>
      </w:r>
      <w:r w:rsidR="0042199A" w:rsidRPr="00BD0223">
        <w:t>,</w:t>
      </w:r>
      <w:r w:rsidRPr="00BD0223">
        <w:t xml:space="preserve"> e posteriormente a ela ter </w:t>
      </w:r>
      <w:r w:rsidR="0072156F" w:rsidRPr="00BD0223">
        <w:t>sido tomadas</w:t>
      </w:r>
      <w:r w:rsidRPr="00BD0223">
        <w:t xml:space="preserve"> di</w:t>
      </w:r>
      <w:r w:rsidR="009A777A" w:rsidRPr="00BD0223">
        <w:t>ferentes</w:t>
      </w:r>
      <w:r w:rsidRPr="00BD0223">
        <w:t xml:space="preserve"> medidas na área</w:t>
      </w:r>
      <w:r w:rsidR="0072156F" w:rsidRPr="00BD0223">
        <w:t>,</w:t>
      </w:r>
      <w:r w:rsidRPr="00BD0223">
        <w:t xml:space="preserve"> a nossa estrutura tributária atual se comparada </w:t>
      </w:r>
      <w:r w:rsidR="0042199A" w:rsidRPr="00BD0223">
        <w:t>à</w:t>
      </w:r>
      <w:r w:rsidRPr="00BD0223">
        <w:t xml:space="preserve"> que foi criada com a reforma tributária de 1966 não se alterou muito. Uma reforma da estrutura de impostos brasileira</w:t>
      </w:r>
      <w:r w:rsidR="009257FA" w:rsidRPr="00BD0223">
        <w:t xml:space="preserve"> sobre o consumo</w:t>
      </w:r>
      <w:r w:rsidRPr="00BD0223">
        <w:t xml:space="preserve"> sempre esteve em debate, ganhando ou perdendo forças em alguns momentos</w:t>
      </w:r>
      <w:r w:rsidR="009257FA" w:rsidRPr="00BD0223">
        <w:t>.</w:t>
      </w:r>
      <w:r w:rsidRPr="00BD0223">
        <w:t xml:space="preserve"> </w:t>
      </w:r>
      <w:r w:rsidR="009257FA" w:rsidRPr="00BD0223">
        <w:t>Os</w:t>
      </w:r>
      <w:r w:rsidRPr="00BD0223">
        <w:t xml:space="preserve"> grandes desafios para a realização d</w:t>
      </w:r>
      <w:r w:rsidR="009257FA" w:rsidRPr="00BD0223">
        <w:t>e uma mudança na estrutura de impostos se encontram</w:t>
      </w:r>
      <w:r w:rsidR="0042199A" w:rsidRPr="00BD0223">
        <w:t>:</w:t>
      </w:r>
      <w:r w:rsidRPr="00BD0223">
        <w:t xml:space="preserve"> </w:t>
      </w:r>
      <w:r w:rsidR="009257FA" w:rsidRPr="00BD0223">
        <w:t>n</w:t>
      </w:r>
      <w:r w:rsidRPr="00BD0223">
        <w:t>a possível perda de arrecadação dos estados</w:t>
      </w:r>
      <w:r w:rsidR="0042199A" w:rsidRPr="00BD0223">
        <w:t>,</w:t>
      </w:r>
      <w:r w:rsidR="009257FA" w:rsidRPr="00BD0223">
        <w:t xml:space="preserve"> e</w:t>
      </w:r>
      <w:r w:rsidR="00B87405" w:rsidRPr="00BD0223">
        <w:t xml:space="preserve"> </w:t>
      </w:r>
      <w:r w:rsidR="0072156F" w:rsidRPr="00BD0223">
        <w:t>ao</w:t>
      </w:r>
      <w:r w:rsidR="00B87405" w:rsidRPr="00BD0223">
        <w:t xml:space="preserve"> número</w:t>
      </w:r>
      <w:r w:rsidR="009257FA" w:rsidRPr="00BD0223">
        <w:t xml:space="preserve"> considerável</w:t>
      </w:r>
      <w:r w:rsidR="00B87405" w:rsidRPr="00BD0223">
        <w:t xml:space="preserve"> de </w:t>
      </w:r>
      <w:r w:rsidR="0072156F" w:rsidRPr="00BD0223">
        <w:t>regimes especiais setoriais que beneficiam grupos específicos, principalmente ligados aos prestadores de serviços.</w:t>
      </w:r>
    </w:p>
    <w:p w14:paraId="7A610530" w14:textId="2FF34924" w:rsidR="00B87405" w:rsidRPr="00BD0223" w:rsidRDefault="00B87405" w:rsidP="00C117F2">
      <w:pPr>
        <w:pStyle w:val="TNORMAL"/>
      </w:pPr>
      <w:r w:rsidRPr="00BD0223">
        <w:t>Atualmente há duas linhas de argumentação para modelos tributários a serem adotados no país. O ex-secretário de política econômica Marcos Cintr</w:t>
      </w:r>
      <w:r w:rsidR="001506A7" w:rsidRPr="00BD0223">
        <w:t>a lidera,</w:t>
      </w:r>
      <w:r w:rsidRPr="00BD0223">
        <w:t xml:space="preserve"> desde os anos de 1990</w:t>
      </w:r>
      <w:r w:rsidR="001506A7" w:rsidRPr="00BD0223">
        <w:t>,</w:t>
      </w:r>
      <w:r w:rsidRPr="00BD0223">
        <w:t xml:space="preserve"> um debate sobre a ideia de um imposto de alíquota nacional única sobre o crédito e o débito das operações financeiras</w:t>
      </w:r>
      <w:r w:rsidR="00E834B8" w:rsidRPr="00BD0223">
        <w:t xml:space="preserve">, o qual substituiria toda a tributação de renda, consumo, riqueza e </w:t>
      </w:r>
      <w:r w:rsidR="007855D9" w:rsidRPr="00BD0223">
        <w:t>patrimônio</w:t>
      </w:r>
      <w:r w:rsidR="00930F17">
        <w:t xml:space="preserve"> (SOUZA, 2020)</w:t>
      </w:r>
      <w:r w:rsidRPr="00BD0223">
        <w:t xml:space="preserve">. Tal medida ainda não possui um exemplar </w:t>
      </w:r>
      <w:r w:rsidR="00E834B8" w:rsidRPr="00BD0223">
        <w:t>idêntico</w:t>
      </w:r>
      <w:r w:rsidRPr="00BD0223">
        <w:t xml:space="preserve"> em </w:t>
      </w:r>
      <w:r w:rsidR="00C65C6C">
        <w:t>nenhuma país</w:t>
      </w:r>
      <w:r w:rsidRPr="00BD0223">
        <w:t xml:space="preserve">, porém levando em consideração que o setor petrolífero possui uma característica de forte tendência a se integrar verticalmente, uma reforma tributária nesse sentido provavelmente causaria um domínio de grandes empresas em todas as áreas desde a extração até o posto de </w:t>
      </w:r>
      <w:r w:rsidRPr="00BD0223">
        <w:lastRenderedPageBreak/>
        <w:t xml:space="preserve">combustível. Essa análise é compatível </w:t>
      </w:r>
      <w:r w:rsidR="00945B6C" w:rsidRPr="00BD0223">
        <w:t>devido a característica</w:t>
      </w:r>
      <w:r w:rsidRPr="00BD0223">
        <w:t xml:space="preserve"> cumulativ</w:t>
      </w:r>
      <w:r w:rsidR="00945B6C" w:rsidRPr="00BD0223">
        <w:t>a de um imposto</w:t>
      </w:r>
      <w:r w:rsidRPr="00BD0223">
        <w:t xml:space="preserve"> no crédito e no débito</w:t>
      </w:r>
      <w:r w:rsidR="00945B6C" w:rsidRPr="00BD0223">
        <w:t>, o que faz o mesmo</w:t>
      </w:r>
      <w:r w:rsidRPr="00BD0223">
        <w:t xml:space="preserve"> não possui</w:t>
      </w:r>
      <w:r w:rsidR="00945B6C" w:rsidRPr="00BD0223">
        <w:t>r</w:t>
      </w:r>
      <w:r w:rsidRPr="00BD0223">
        <w:t xml:space="preserve"> o conceito de neutralidade, pois interfere na organização econômica</w:t>
      </w:r>
      <w:r w:rsidR="0042199A" w:rsidRPr="00BD0223">
        <w:t>. N</w:t>
      </w:r>
      <w:r w:rsidRPr="00BD0223">
        <w:t xml:space="preserve">o caso </w:t>
      </w:r>
      <w:r w:rsidR="0042199A" w:rsidRPr="00BD0223">
        <w:t>específico</w:t>
      </w:r>
      <w:r w:rsidRPr="00BD0223">
        <w:t xml:space="preserve"> </w:t>
      </w:r>
      <w:r w:rsidR="0042199A" w:rsidRPr="00BD0223">
        <w:t>d</w:t>
      </w:r>
      <w:r w:rsidRPr="00BD0223">
        <w:t xml:space="preserve">a cadeia produtiva de petróleo </w:t>
      </w:r>
      <w:r w:rsidR="0042199A" w:rsidRPr="00BD0223">
        <w:t>haveria maiores custos relacionados a impostos</w:t>
      </w:r>
      <w:r w:rsidR="00726239" w:rsidRPr="00BD0223">
        <w:t>,</w:t>
      </w:r>
      <w:r w:rsidRPr="00BD0223">
        <w:t xml:space="preserve"> </w:t>
      </w:r>
      <w:r w:rsidR="0042199A" w:rsidRPr="00BD0223">
        <w:t xml:space="preserve">se as etapas de produção, refino, atacado e varejo fossem operadas por uma empresa cada. Consequentemente </w:t>
      </w:r>
      <w:r w:rsidRPr="00BD0223">
        <w:t>a competitividade de grandes grupos petrolíferos</w:t>
      </w:r>
      <w:r w:rsidR="0042199A" w:rsidRPr="00BD0223">
        <w:t xml:space="preserve"> aumentaria, pois os mesmos</w:t>
      </w:r>
      <w:r w:rsidRPr="00BD0223">
        <w:t xml:space="preserve"> tenderiam</w:t>
      </w:r>
      <w:r w:rsidR="0042199A" w:rsidRPr="00BD0223">
        <w:t xml:space="preserve"> a</w:t>
      </w:r>
      <w:r w:rsidRPr="00BD0223">
        <w:t xml:space="preserve"> jogar sua margem de lucratividade para o atacado ou o varejo.</w:t>
      </w:r>
    </w:p>
    <w:p w14:paraId="081F5C8C" w14:textId="06AEDFE4" w:rsidR="00945B6C" w:rsidRPr="00BD0223" w:rsidRDefault="00945B6C" w:rsidP="00C117F2">
      <w:pPr>
        <w:pStyle w:val="TNORMAL"/>
      </w:pPr>
      <w:r w:rsidRPr="00BD0223">
        <w:t xml:space="preserve">A outra versão de reforma tributária </w:t>
      </w:r>
      <w:r w:rsidR="00C83CF2" w:rsidRPr="00BD0223">
        <w:t>referente aos</w:t>
      </w:r>
      <w:r w:rsidRPr="00BD0223">
        <w:t xml:space="preserve"> impostos sobre o consumo diz respeito a criação de um Imposto sobre o Valor Adicionado uniforme</w:t>
      </w:r>
      <w:r w:rsidR="00C83CF2" w:rsidRPr="00BD0223">
        <w:t>,</w:t>
      </w:r>
      <w:r w:rsidRPr="00BD0223">
        <w:t xml:space="preserve"> </w:t>
      </w:r>
      <w:r w:rsidR="00C83CF2" w:rsidRPr="00BD0223">
        <w:t>o qual</w:t>
      </w:r>
      <w:r w:rsidRPr="00BD0223">
        <w:t xml:space="preserve"> substituiria as contribuições P</w:t>
      </w:r>
      <w:r w:rsidR="00E77ED2">
        <w:t>IS</w:t>
      </w:r>
      <w:r w:rsidRPr="00BD0223">
        <w:t xml:space="preserve"> e C</w:t>
      </w:r>
      <w:r w:rsidR="00E77ED2">
        <w:t>OFINS</w:t>
      </w:r>
      <w:r w:rsidR="00B72471">
        <w:t xml:space="preserve"> </w:t>
      </w:r>
      <w:r w:rsidRPr="00BD0223">
        <w:t>e os impostos</w:t>
      </w:r>
      <w:r w:rsidR="00B72471">
        <w:t xml:space="preserve"> IPI federal e ICMS estadual</w:t>
      </w:r>
      <w:r w:rsidR="00930F17">
        <w:t xml:space="preserve"> (SOUZA, 2020)</w:t>
      </w:r>
      <w:r w:rsidRPr="00BD0223">
        <w:t xml:space="preserve">. Esse imposto incidiria sobre toda a cadeia de petróleo e gás, gerando créditos relativos a impostos pagos em </w:t>
      </w:r>
      <w:r w:rsidR="00993375" w:rsidRPr="00BD0223">
        <w:t>etapas</w:t>
      </w:r>
      <w:r w:rsidRPr="00BD0223">
        <w:t xml:space="preserve"> anteriores</w:t>
      </w:r>
      <w:r w:rsidR="002C3923" w:rsidRPr="00BD0223">
        <w:t>, excluindo assim o método da substituição tributária</w:t>
      </w:r>
      <w:r w:rsidRPr="00BD0223">
        <w:t xml:space="preserve">. Outro ponto positivo da proposta é a criação de um imposto do tipo IVA-Consumo amplo, </w:t>
      </w:r>
      <w:r w:rsidR="002C3923" w:rsidRPr="00BD0223">
        <w:t>ou seja,</w:t>
      </w:r>
      <w:r w:rsidRPr="00BD0223">
        <w:t xml:space="preserve"> tudo</w:t>
      </w:r>
      <w:r w:rsidR="00C83CF2" w:rsidRPr="00BD0223">
        <w:t xml:space="preserve"> o que fosse</w:t>
      </w:r>
      <w:r w:rsidRPr="00BD0223">
        <w:t xml:space="preserve"> utilizado no processo produtivo como investimento teria concessão de crédito integral a empresa, o que beneficiaria atacados e postos de combustíveis que frequentemente estão em disputas judiciais com o fisco sobre o que gera crédito ou não.</w:t>
      </w:r>
    </w:p>
    <w:p w14:paraId="19BEEE80" w14:textId="4D6FB9F7" w:rsidR="002C3923" w:rsidRPr="00BD0223" w:rsidRDefault="002C3923" w:rsidP="00C117F2">
      <w:pPr>
        <w:pStyle w:val="TNORMAL"/>
      </w:pPr>
      <w:r w:rsidRPr="00BD0223">
        <w:t xml:space="preserve">O </w:t>
      </w:r>
      <w:r w:rsidR="00B72471">
        <w:t>G</w:t>
      </w:r>
      <w:r w:rsidRPr="00BD0223">
        <w:t>overno federal</w:t>
      </w:r>
      <w:r w:rsidR="00E834B8" w:rsidRPr="00BD0223">
        <w:t xml:space="preserve"> apresent</w:t>
      </w:r>
      <w:r w:rsidR="00BA41E7" w:rsidRPr="00BD0223">
        <w:t>ou</w:t>
      </w:r>
      <w:r w:rsidR="00E834B8" w:rsidRPr="00BD0223">
        <w:t xml:space="preserve"> </w:t>
      </w:r>
      <w:r w:rsidR="00B72471">
        <w:t>outra p</w:t>
      </w:r>
      <w:r w:rsidRPr="00BD0223">
        <w:t xml:space="preserve">roposta de mudança na tributação do consumo em que o objetivo </w:t>
      </w:r>
      <w:r w:rsidR="00BA41E7" w:rsidRPr="00BD0223">
        <w:t>consiste</w:t>
      </w:r>
      <w:r w:rsidRPr="00BD0223">
        <w:t xml:space="preserve"> </w:t>
      </w:r>
      <w:r w:rsidR="00BA41E7" w:rsidRPr="00BD0223">
        <w:t>em</w:t>
      </w:r>
      <w:r w:rsidRPr="00BD0223">
        <w:t xml:space="preserve"> unificar os</w:t>
      </w:r>
      <w:r w:rsidR="007855D9" w:rsidRPr="00BD0223">
        <w:t xml:space="preserve"> tributos</w:t>
      </w:r>
      <w:r w:rsidRPr="00BD0223">
        <w:t xml:space="preserve"> federais em um</w:t>
      </w:r>
      <w:r w:rsidR="00BA41E7" w:rsidRPr="00BD0223">
        <w:t>a única contribuição social</w:t>
      </w:r>
      <w:r w:rsidRPr="00BD0223">
        <w:t xml:space="preserve"> do tipo IVA, o texto deve seguir para o debate e se juntar as duas propostas similares, mas que defendem a uniformização de todos os impostos</w:t>
      </w:r>
      <w:r w:rsidR="00E834B8" w:rsidRPr="00BD0223">
        <w:t xml:space="preserve"> e </w:t>
      </w:r>
      <w:r w:rsidR="007855D9" w:rsidRPr="00BD0223">
        <w:t>contribuições</w:t>
      </w:r>
      <w:r w:rsidRPr="00BD0223">
        <w:t xml:space="preserve"> sobre o consumo. Vale ressaltar que mesmo os projetos do ex-deputado Luiz Carlos Hauly e do Centro de Cidadania Fiscal</w:t>
      </w:r>
      <w:r w:rsidR="009A777A" w:rsidRPr="00BD0223">
        <w:t>,</w:t>
      </w:r>
      <w:r w:rsidRPr="00BD0223">
        <w:t xml:space="preserve"> que foi apresentado pelo deputado Baleia Rossi, </w:t>
      </w:r>
      <w:r w:rsidR="00C83CF2" w:rsidRPr="00BD0223">
        <w:t>os quais</w:t>
      </w:r>
      <w:r w:rsidRPr="00BD0223">
        <w:t xml:space="preserve"> defendem mexer no ICMS e no ISS, não tiram autonomia dos estados e municípios em relação </w:t>
      </w:r>
      <w:r w:rsidR="000C4D6B" w:rsidRPr="00BD0223">
        <w:t>à</w:t>
      </w:r>
      <w:r w:rsidRPr="00BD0223">
        <w:t xml:space="preserve"> política fiscal</w:t>
      </w:r>
      <w:r w:rsidR="009257FA" w:rsidRPr="00BD0223">
        <w:t>,</w:t>
      </w:r>
      <w:r w:rsidRPr="00BD0223">
        <w:t xml:space="preserve"> apenas remodelam o modo de arrecadação e simplificação dos impostos</w:t>
      </w:r>
      <w:r w:rsidR="00930F17">
        <w:t xml:space="preserve"> (SOUZA, 2020)</w:t>
      </w:r>
      <w:r w:rsidR="006E165E" w:rsidRPr="00BD0223">
        <w:t>.</w:t>
      </w:r>
      <w:r w:rsidRPr="00BD0223">
        <w:t xml:space="preserve"> </w:t>
      </w:r>
      <w:r w:rsidR="006E165E" w:rsidRPr="00BD0223">
        <w:t>Po</w:t>
      </w:r>
      <w:r w:rsidRPr="00BD0223">
        <w:t xml:space="preserve">rém como </w:t>
      </w:r>
      <w:r w:rsidR="006E165E" w:rsidRPr="00BD0223">
        <w:t>essas</w:t>
      </w:r>
      <w:r w:rsidRPr="00BD0223">
        <w:t xml:space="preserve"> propostas defendem</w:t>
      </w:r>
      <w:r w:rsidR="009257FA" w:rsidRPr="00BD0223">
        <w:t xml:space="preserve"> a</w:t>
      </w:r>
      <w:r w:rsidRPr="00BD0223">
        <w:t xml:space="preserve"> altera</w:t>
      </w:r>
      <w:r w:rsidR="009257FA" w:rsidRPr="00BD0223">
        <w:t>ção</w:t>
      </w:r>
      <w:r w:rsidRPr="00BD0223">
        <w:t xml:space="preserve"> </w:t>
      </w:r>
      <w:r w:rsidR="009257FA" w:rsidRPr="00BD0223">
        <w:t>d</w:t>
      </w:r>
      <w:r w:rsidRPr="00BD0223">
        <w:t>o princípio de arrecadação na origem para o destino</w:t>
      </w:r>
      <w:r w:rsidR="00EF3F7A" w:rsidRPr="00BD0223">
        <w:t>,</w:t>
      </w:r>
      <w:r w:rsidRPr="00BD0223">
        <w:t xml:space="preserve"> pode-se esperar resistências por parte dos estados e municípios. </w:t>
      </w:r>
    </w:p>
    <w:p w14:paraId="78B63909" w14:textId="2F5736E1" w:rsidR="009855B2" w:rsidRPr="00BD0223" w:rsidRDefault="00C117F2" w:rsidP="004F409C">
      <w:pPr>
        <w:pStyle w:val="TIT1"/>
        <w:jc w:val="center"/>
      </w:pPr>
      <w:bookmarkStart w:id="9" w:name="_Toc55329613"/>
      <w:r w:rsidRPr="00BD0223">
        <w:rPr>
          <w:caps w:val="0"/>
        </w:rPr>
        <w:lastRenderedPageBreak/>
        <w:t>A CRISE FISCAL DO ESTADO DE MINAS GERAIS E A IMPORTÂNCIA DA ARRECADAÇÃO DO ICMS INCIDENTE SOBRE PRODUTOS ESPECÍFICOS</w:t>
      </w:r>
      <w:bookmarkEnd w:id="9"/>
    </w:p>
    <w:p w14:paraId="086DAF31" w14:textId="08E39941" w:rsidR="009855B2" w:rsidRPr="00BD0223" w:rsidRDefault="00C117F2" w:rsidP="00C117F2">
      <w:pPr>
        <w:pStyle w:val="TIT2"/>
      </w:pPr>
      <w:bookmarkStart w:id="10" w:name="_Toc55329614"/>
      <w:r w:rsidRPr="00BD0223">
        <w:rPr>
          <w:caps w:val="0"/>
        </w:rPr>
        <w:t>O SISTEMA FEDERATIVO</w:t>
      </w:r>
      <w:bookmarkEnd w:id="10"/>
    </w:p>
    <w:p w14:paraId="501C3323" w14:textId="21D21189" w:rsidR="00CC425C" w:rsidRPr="00BD0223" w:rsidRDefault="00CC425C" w:rsidP="00C117F2">
      <w:pPr>
        <w:pStyle w:val="TNORMAL"/>
      </w:pPr>
      <w:r w:rsidRPr="00BD0223">
        <w:t xml:space="preserve">Ao longo da história e analisando as teorias criadas em torno do sistema federalista pode-se dizer que na maioria dos casos a prática precede a teoria. Os exemplos de artigos e textos acadêmicos, geralmente enfatizam três formas de organização política institucional: governos unitários; </w:t>
      </w:r>
      <w:r w:rsidR="00C85B5D" w:rsidRPr="00BD0223">
        <w:t>quando o governo central comanda todas as ações não fornecendo autonomia</w:t>
      </w:r>
      <w:r w:rsidRPr="00BD0223">
        <w:t xml:space="preserve"> </w:t>
      </w:r>
      <w:r w:rsidR="00C85B5D" w:rsidRPr="00BD0223">
        <w:t>para tomadas de decis</w:t>
      </w:r>
      <w:r w:rsidR="00EF3F7A" w:rsidRPr="00BD0223">
        <w:t>ões</w:t>
      </w:r>
      <w:r w:rsidR="00C85B5D" w:rsidRPr="00BD0223">
        <w:t xml:space="preserve"> a outros entes, sistemas confederados; cada ente possui autonomia maior</w:t>
      </w:r>
      <w:r w:rsidR="00400077" w:rsidRPr="00BD0223">
        <w:t xml:space="preserve"> sobre seu território</w:t>
      </w:r>
      <w:r w:rsidR="00C85B5D" w:rsidRPr="00BD0223">
        <w:t xml:space="preserve"> que o conjunto de entes aliados, sistema de governo federal; caso que mais se aproxima do exemplo brasileiro atual onde há um governo central que se encontra acima dos entes </w:t>
      </w:r>
      <w:r w:rsidR="00C85B5D" w:rsidRPr="006E73BA">
        <w:t>subnacionais na escala hierárquica de decisão</w:t>
      </w:r>
      <w:r w:rsidR="006E73BA" w:rsidRPr="006E73BA">
        <w:t>, relativas a tributação e fornecimento de bens públicos</w:t>
      </w:r>
      <w:r w:rsidR="00C85B5D" w:rsidRPr="00BD0223">
        <w:t>, porém dotando estados e municípios de determinada autonomia em relação a leis, tributação e fornecimento de serviços</w:t>
      </w:r>
      <w:r w:rsidR="00E834B8" w:rsidRPr="00BD0223">
        <w:t xml:space="preserve"> públicos</w:t>
      </w:r>
      <w:r w:rsidR="006E73BA">
        <w:t xml:space="preserve"> (BIDERMAN e AVARTE, 2004)</w:t>
      </w:r>
      <w:r w:rsidR="00C85B5D" w:rsidRPr="00BD0223">
        <w:t>.</w:t>
      </w:r>
    </w:p>
    <w:p w14:paraId="6CC698A2" w14:textId="18B63DA2" w:rsidR="002D093E" w:rsidRPr="00BD0223" w:rsidRDefault="00C85B5D" w:rsidP="00C117F2">
      <w:pPr>
        <w:pStyle w:val="TNORMAL"/>
      </w:pPr>
      <w:r w:rsidRPr="00BD0223">
        <w:t xml:space="preserve">As premissas que fundamentam a teoria do federalismo fiscal podem ser caracterizadas </w:t>
      </w:r>
      <w:r w:rsidR="006C6657" w:rsidRPr="00BD0223">
        <w:t>sobre</w:t>
      </w:r>
      <w:r w:rsidRPr="00BD0223">
        <w:t xml:space="preserve"> uma ótica difusa dependendo do período histórico em que se analisa as mesmas no contexto brasileiro</w:t>
      </w:r>
      <w:r w:rsidR="00E834B8" w:rsidRPr="00BD0223">
        <w:t>, isso porque os benefícios que a teoria mostra que esse tipo de sistema pode gerar, em geral não são percebidos com frequência quando se analisa a relação federativa brasileira</w:t>
      </w:r>
      <w:r w:rsidR="00CC425C" w:rsidRPr="00BD0223">
        <w:t>.</w:t>
      </w:r>
      <w:r w:rsidRPr="00BD0223">
        <w:t xml:space="preserve"> </w:t>
      </w:r>
      <w:r w:rsidR="00F547B7" w:rsidRPr="00BD0223">
        <w:t>Teóricos do tema como Tieoubot, Oates e Gordon argumentam que os benefícios do sistema federalista residem do fato</w:t>
      </w:r>
      <w:r w:rsidR="00E834B8" w:rsidRPr="00BD0223">
        <w:t xml:space="preserve"> de</w:t>
      </w:r>
      <w:r w:rsidR="00F547B7" w:rsidRPr="00BD0223">
        <w:t xml:space="preserve"> que diversas nações possuem uma heterogeneidade de características e culturas dentro de seu território, portanto tanto estados quanto municípios possuem um melhor conhecimento sobre as demandas de cada contingente populacional</w:t>
      </w:r>
      <w:r w:rsidR="006E73BA">
        <w:t xml:space="preserve"> (BIDERMAN e AVARTE, 2004)</w:t>
      </w:r>
      <w:r w:rsidR="00F547B7" w:rsidRPr="00BD0223">
        <w:t>. Nesse contexto o federalismo fiscal facilita a participação da população nas decisões políticas, send</w:t>
      </w:r>
      <w:r w:rsidR="00400077" w:rsidRPr="00BD0223">
        <w:t xml:space="preserve">o </w:t>
      </w:r>
      <w:r w:rsidR="00F547B7" w:rsidRPr="00BD0223">
        <w:t xml:space="preserve">capaz de gerar </w:t>
      </w:r>
      <w:r w:rsidR="00F547B7" w:rsidRPr="006E73BA">
        <w:t>concorrência tanto vertical</w:t>
      </w:r>
      <w:r w:rsidR="006E73BA" w:rsidRPr="006E73BA">
        <w:t>; entre União, estados e municípios,</w:t>
      </w:r>
      <w:r w:rsidR="00F547B7" w:rsidRPr="006E73BA">
        <w:t xml:space="preserve"> quanto horizontal</w:t>
      </w:r>
      <w:r w:rsidR="006E73BA" w:rsidRPr="006E73BA">
        <w:t>; entre municípios com outros municípios e entre estados com outros estados</w:t>
      </w:r>
      <w:r w:rsidR="00F547B7" w:rsidRPr="00BD0223">
        <w:t xml:space="preserve">. Obviamente é necessário que competências administrativas sejam analisadas de acordo com a conveniência, </w:t>
      </w:r>
      <w:r w:rsidR="002D093E" w:rsidRPr="00BD0223">
        <w:t>a de se analisar a viabilidade de cada competência de acordo com o ente administrativo, por exemplo</w:t>
      </w:r>
      <w:r w:rsidR="00F547B7" w:rsidRPr="00BD0223">
        <w:t>: não é conveniente que um governo municipal seja responsável por definir a alíquota do imposto de renda, do mesmo modo que o governo federal teria muita dificuldade se decidisse ser responsável sobre a tributação de patrimônio imóvel.</w:t>
      </w:r>
    </w:p>
    <w:p w14:paraId="4EE039E6" w14:textId="5DA77BE9" w:rsidR="00131DFD" w:rsidRDefault="002D093E" w:rsidP="00C117F2">
      <w:pPr>
        <w:pStyle w:val="TNORMAL"/>
      </w:pPr>
      <w:r w:rsidRPr="00BD0223">
        <w:lastRenderedPageBreak/>
        <w:t>O sistema federativo brasileiro tal como conhecemos hoje sofreu diversas mudanças ao longo de sua história, geralmente alternando de tempos em tempos de um modelo de gestão centralizado para um descentralizado. Como já foi mencionado</w:t>
      </w:r>
      <w:r w:rsidR="00851C05">
        <w:t>,</w:t>
      </w:r>
      <w:r w:rsidRPr="00BD0223">
        <w:t xml:space="preserve"> a Constituição de 1988 se encarregou de fornecer autonomia aos entes federativos, na verdade, esse processo </w:t>
      </w:r>
      <w:r w:rsidR="00BA2B91" w:rsidRPr="00BD0223">
        <w:t>foi comum na América Latina durante o final do século XX</w:t>
      </w:r>
      <w:r w:rsidRPr="00BD0223">
        <w:t xml:space="preserve"> </w:t>
      </w:r>
      <w:r w:rsidR="00BA2B91" w:rsidRPr="00BD0223">
        <w:t>principalmente em países com histórico de sucessivas rupturas institucionais</w:t>
      </w:r>
      <w:r w:rsidRPr="00BD0223">
        <w:t>, como a Colômbia e a Argentina</w:t>
      </w:r>
      <w:r w:rsidR="009C51EF">
        <w:t xml:space="preserve"> (BIDERMAN e AVARTE, 2004)</w:t>
      </w:r>
      <w:r w:rsidRPr="00BD0223">
        <w:t>. Ainda assim</w:t>
      </w:r>
      <w:r w:rsidR="00BA2B91" w:rsidRPr="00BD0223">
        <w:t>,</w:t>
      </w:r>
      <w:r w:rsidRPr="00BD0223">
        <w:t xml:space="preserve"> </w:t>
      </w:r>
      <w:r w:rsidR="00BA2B91" w:rsidRPr="00BD0223">
        <w:t xml:space="preserve">no caso do sistema federativo brasileiro, </w:t>
      </w:r>
      <w:r w:rsidRPr="00BD0223">
        <w:t>vários imbróglios existente</w:t>
      </w:r>
      <w:r w:rsidR="00400077" w:rsidRPr="00BD0223">
        <w:t>s</w:t>
      </w:r>
      <w:r w:rsidRPr="00BD0223">
        <w:t xml:space="preserve"> nas relações entre estados e municípios ainda não foram resolvidos</w:t>
      </w:r>
      <w:r w:rsidR="00EA54A8">
        <w:t xml:space="preserve"> e</w:t>
      </w:r>
      <w:r w:rsidRPr="00BD0223">
        <w:t xml:space="preserve"> </w:t>
      </w:r>
      <w:r w:rsidRPr="006E73BA">
        <w:t>tens</w:t>
      </w:r>
      <w:r w:rsidR="006E73BA">
        <w:t>ões</w:t>
      </w:r>
      <w:r w:rsidRPr="006E73BA">
        <w:t xml:space="preserve"> federativa</w:t>
      </w:r>
      <w:r w:rsidR="00EA54A8">
        <w:t>s</w:t>
      </w:r>
      <w:r w:rsidR="006E73BA" w:rsidRPr="006E73BA">
        <w:t xml:space="preserve"> da década de 1990</w:t>
      </w:r>
      <w:r w:rsidR="006E73BA">
        <w:t xml:space="preserve">, </w:t>
      </w:r>
      <w:r w:rsidR="006E73BA" w:rsidRPr="006E73BA">
        <w:t>relativa</w:t>
      </w:r>
      <w:r w:rsidR="006E73BA">
        <w:t>s</w:t>
      </w:r>
      <w:r w:rsidR="006E73BA" w:rsidRPr="006E73BA">
        <w:t xml:space="preserve"> </w:t>
      </w:r>
      <w:r w:rsidR="00EA54A8">
        <w:t>à</w:t>
      </w:r>
      <w:r w:rsidR="006E73BA" w:rsidRPr="006E73BA">
        <w:t xml:space="preserve"> privatização dos bancos estaduais e </w:t>
      </w:r>
      <w:r w:rsidR="00EA54A8">
        <w:t>à</w:t>
      </w:r>
      <w:r w:rsidR="006E73BA" w:rsidRPr="006E73BA">
        <w:t xml:space="preserve"> renegociação das dívidas dos estados</w:t>
      </w:r>
      <w:r w:rsidR="00EA54A8">
        <w:t xml:space="preserve"> </w:t>
      </w:r>
      <w:r w:rsidRPr="00BD0223">
        <w:t>mostr</w:t>
      </w:r>
      <w:r w:rsidR="006E73BA">
        <w:t>aram</w:t>
      </w:r>
      <w:r w:rsidRPr="00BD0223">
        <w:t xml:space="preserve"> que muitas </w:t>
      </w:r>
      <w:r w:rsidR="00400077" w:rsidRPr="00BD0223">
        <w:t>questões tiveram que ser direcionadas no período pós constituinte e outras até os dias atuais permanecem em aberto</w:t>
      </w:r>
      <w:r w:rsidR="006E73BA">
        <w:t xml:space="preserve"> (CRESPO, 2017)</w:t>
      </w:r>
      <w:r w:rsidR="00400077" w:rsidRPr="00BD0223">
        <w:t>.</w:t>
      </w:r>
    </w:p>
    <w:p w14:paraId="7D49865D" w14:textId="77777777" w:rsidR="00C97A1D" w:rsidRDefault="00C97A1D" w:rsidP="00C117F2">
      <w:pPr>
        <w:pStyle w:val="TNORMAL"/>
      </w:pPr>
    </w:p>
    <w:p w14:paraId="79AE9974" w14:textId="056B4F82" w:rsidR="00400077" w:rsidRPr="00BD0223" w:rsidRDefault="00C117F2" w:rsidP="00C117F2">
      <w:pPr>
        <w:pStyle w:val="TIT2"/>
      </w:pPr>
      <w:bookmarkStart w:id="11" w:name="_Toc55329615"/>
      <w:r w:rsidRPr="00BD0223">
        <w:rPr>
          <w:caps w:val="0"/>
        </w:rPr>
        <w:t>A DÍVIDA DOS ESTADOS</w:t>
      </w:r>
      <w:bookmarkEnd w:id="11"/>
    </w:p>
    <w:p w14:paraId="58E4FACA" w14:textId="77777777" w:rsidR="00851C05" w:rsidRDefault="000D6CBE" w:rsidP="00C117F2">
      <w:pPr>
        <w:pStyle w:val="TNORMAL"/>
      </w:pPr>
      <w:r w:rsidRPr="00BD0223">
        <w:t xml:space="preserve">Um ambiente macroeconômico estável é sempre uma condição necessária para o desenvolvimento econômico saudável de um país. Embora a rápida industrialização brasileira ocorrida durante 1930 e 1980 tenha modernizado o país, há de se ressaltar que a crise da dívida externa em 1980 e a hiperinflação no final da mesma década gerou incertezas, as quais barravam um ambiente econômico </w:t>
      </w:r>
      <w:r w:rsidR="00687348" w:rsidRPr="00BD0223">
        <w:t>estável</w:t>
      </w:r>
      <w:r w:rsidRPr="00BD0223">
        <w:t xml:space="preserve">. O </w:t>
      </w:r>
      <w:r w:rsidR="00851C05">
        <w:t>P</w:t>
      </w:r>
      <w:r w:rsidRPr="00BD0223">
        <w:t xml:space="preserve">lano </w:t>
      </w:r>
      <w:r w:rsidR="00851C05">
        <w:t>R</w:t>
      </w:r>
      <w:r w:rsidRPr="00BD0223">
        <w:t>eal foi bem sucedido ao combater a inflação inercial através da URV, e junto com outras medidas adotadas anteriormente a 1994, foi responsável por desnudar problemas fiscais do governo brasileiro que antes não eram perceptíveis.</w:t>
      </w:r>
    </w:p>
    <w:p w14:paraId="66F27CB0" w14:textId="6375F3B1" w:rsidR="00334581" w:rsidRPr="00BD0223" w:rsidRDefault="000D6CBE" w:rsidP="00C117F2">
      <w:pPr>
        <w:pStyle w:val="TNORMAL"/>
      </w:pPr>
      <w:r w:rsidRPr="00BD0223">
        <w:t xml:space="preserve">Reformas iniciadas no final década de 1980 e continuadas </w:t>
      </w:r>
      <w:r w:rsidR="00687348" w:rsidRPr="00BD0223">
        <w:t xml:space="preserve">na década de 1990 foram responsáveis por fornecer transparência ao orçamento brasileiro. Embora os dados relacionados ao orçamento fiscal </w:t>
      </w:r>
      <w:r w:rsidR="00BA41E7" w:rsidRPr="00BD0223">
        <w:t>d</w:t>
      </w:r>
      <w:r w:rsidR="00687348" w:rsidRPr="00BD0223">
        <w:t xml:space="preserve">o governo militar </w:t>
      </w:r>
      <w:r w:rsidR="00BA2B91" w:rsidRPr="00BD0223">
        <w:t xml:space="preserve">muitas vezes </w:t>
      </w:r>
      <w:r w:rsidR="00687348" w:rsidRPr="00BD0223">
        <w:t>mostr</w:t>
      </w:r>
      <w:r w:rsidR="006E589C" w:rsidRPr="00BD0223">
        <w:t>assem</w:t>
      </w:r>
      <w:r w:rsidR="00687348" w:rsidRPr="00BD0223">
        <w:t xml:space="preserve"> superávits fiscais</w:t>
      </w:r>
      <w:r w:rsidR="009A777A" w:rsidRPr="00BD0223">
        <w:t>,</w:t>
      </w:r>
      <w:r w:rsidR="00687348" w:rsidRPr="00BD0223">
        <w:t xml:space="preserve"> a realidade era bem diferente, e tal realidade se impôs na década de 1980, quando ficou claro que o governo federal não fazia a distinção correta do que era orçamento fiscal e monetário e não tinha a dimensão correta do tamanho do déficit público. Já no final da década de 1980 com a extinção da conta movimento</w:t>
      </w:r>
      <w:r w:rsidR="00BA41E7" w:rsidRPr="00BD0223">
        <w:t xml:space="preserve"> do Banco do Brasil</w:t>
      </w:r>
      <w:r w:rsidR="00687348" w:rsidRPr="00BD0223">
        <w:t xml:space="preserve">, mudança da Conta Única do Tesouro para a Secretaria do Tesouro Nacional </w:t>
      </w:r>
      <w:r w:rsidR="00334581" w:rsidRPr="00BD0223">
        <w:t xml:space="preserve">e retirada de mecanismos de fomento a setores do Banco Central, ficou evidente que os problemas do estado brasileiro eram maiores do que se imaginava. </w:t>
      </w:r>
    </w:p>
    <w:p w14:paraId="6A408F87" w14:textId="3BABF704" w:rsidR="00F939B0" w:rsidRPr="00BD0223" w:rsidRDefault="00334581" w:rsidP="00C117F2">
      <w:pPr>
        <w:pStyle w:val="TNORMAL"/>
      </w:pPr>
      <w:r w:rsidRPr="00BD0223">
        <w:t xml:space="preserve">O crescimento explosivo </w:t>
      </w:r>
      <w:r w:rsidR="00E1077B" w:rsidRPr="00BD0223">
        <w:t>da d</w:t>
      </w:r>
      <w:r w:rsidR="00E83552" w:rsidRPr="00BD0223">
        <w:t>ívida dos estados na década de 1980 e 1990 foi objeto de diversas discussões por afetar o equilíbrio macroeconômico</w:t>
      </w:r>
      <w:r w:rsidR="0076781F" w:rsidRPr="00BD0223">
        <w:t>,</w:t>
      </w:r>
      <w:r w:rsidR="00E83552" w:rsidRPr="00BD0223">
        <w:t xml:space="preserve"> afetando o ambiente </w:t>
      </w:r>
      <w:r w:rsidR="0076781F" w:rsidRPr="00BD0223">
        <w:t xml:space="preserve">econômico </w:t>
      </w:r>
      <w:r w:rsidR="00E83552" w:rsidRPr="00BD0223">
        <w:lastRenderedPageBreak/>
        <w:t>brasileiro como um todo. No entanto</w:t>
      </w:r>
      <w:r w:rsidR="00851C05">
        <w:t>,</w:t>
      </w:r>
      <w:r w:rsidR="00E83552" w:rsidRPr="00BD0223">
        <w:t xml:space="preserve"> diferente das finanças públicas federais as finanças públicas estaduais não poderiam ser controladas diretamente pelo governo central o que exigiu socorros financeiros aos entes federativos em 1985/1987. </w:t>
      </w:r>
      <w:r w:rsidR="00F939B0" w:rsidRPr="00BD0223">
        <w:t xml:space="preserve">De acordo com </w:t>
      </w:r>
      <w:r w:rsidR="006D3163">
        <w:t xml:space="preserve">(CRESPO, </w:t>
      </w:r>
      <w:r w:rsidR="00F939B0" w:rsidRPr="00BD0223">
        <w:t>2017) a origem do estoque de dívidas mobiliárias por parte dos estados tem origem no caráter centralizador do regime militar, quando havia uma clara limitação do poder dos estados de promoverem política</w:t>
      </w:r>
      <w:r w:rsidR="004A4C75" w:rsidRPr="00BD0223">
        <w:t xml:space="preserve"> fiscal, o</w:t>
      </w:r>
      <w:r w:rsidR="00F939B0" w:rsidRPr="00BD0223">
        <w:t xml:space="preserve"> que fez com que os entes subnacionais recorressem a empréstimos internos e externos, e principalmente a fluxos financeiros advindos dos bancos estaduais públicos os quais seriam os pivôs da crise fiscal dos estados nas décadas de 1980 e 1990.</w:t>
      </w:r>
    </w:p>
    <w:p w14:paraId="053EAED9" w14:textId="787D97FA" w:rsidR="00CD6E5A" w:rsidRPr="00BD0223" w:rsidRDefault="00F939B0" w:rsidP="00C117F2">
      <w:pPr>
        <w:pStyle w:val="TNORMAL"/>
      </w:pPr>
      <w:r w:rsidRPr="00BD0223">
        <w:t>Com a consolidação da estabilização monetária como</w:t>
      </w:r>
      <w:r w:rsidR="004A4C75" w:rsidRPr="00BD0223">
        <w:t xml:space="preserve"> consequência do</w:t>
      </w:r>
      <w:r w:rsidRPr="00BD0223">
        <w:t xml:space="preserve"> </w:t>
      </w:r>
      <w:r w:rsidR="004A4C75" w:rsidRPr="00BD0223">
        <w:t>P</w:t>
      </w:r>
      <w:r w:rsidRPr="00BD0223">
        <w:t xml:space="preserve">lano </w:t>
      </w:r>
      <w:r w:rsidR="004A4C75" w:rsidRPr="00BD0223">
        <w:t>R</w:t>
      </w:r>
      <w:r w:rsidRPr="00BD0223">
        <w:t xml:space="preserve">eal </w:t>
      </w:r>
      <w:r w:rsidR="004A4C75" w:rsidRPr="00BD0223">
        <w:t>os estados</w:t>
      </w:r>
      <w:r w:rsidRPr="00BD0223">
        <w:t xml:space="preserve"> perderam as </w:t>
      </w:r>
      <w:r w:rsidRPr="006D3163">
        <w:t>receitas inflacionárias</w:t>
      </w:r>
      <w:r w:rsidR="004A4C75" w:rsidRPr="006D3163">
        <w:t xml:space="preserve"> que eram resultado</w:t>
      </w:r>
      <w:r w:rsidR="00BA41E7" w:rsidRPr="006D3163">
        <w:t>s</w:t>
      </w:r>
      <w:r w:rsidR="004A4C75" w:rsidRPr="006D3163">
        <w:t xml:space="preserve"> d</w:t>
      </w:r>
      <w:r w:rsidR="00BA41E7" w:rsidRPr="006D3163">
        <w:t>e</w:t>
      </w:r>
      <w:r w:rsidR="004A4C75" w:rsidRPr="006D3163">
        <w:t xml:space="preserve"> adiament</w:t>
      </w:r>
      <w:r w:rsidR="00BA41E7" w:rsidRPr="006D3163">
        <w:t>os</w:t>
      </w:r>
      <w:r w:rsidR="004A4C75" w:rsidRPr="006D3163">
        <w:t xml:space="preserve"> de despesas</w:t>
      </w:r>
      <w:r w:rsidR="006D3163" w:rsidRPr="006D3163">
        <w:t>; governos estaduais adiavam pagamentos de funcionalismo e serviços pois assim pagariam com dinheiro da arrecadação dos impostos que mudava constantemente devido a indexação, com os valores baseados nas cotações antigas de quando o produto ou serviço foi realizado</w:t>
      </w:r>
      <w:r w:rsidR="004A4C75" w:rsidRPr="00BD0223">
        <w:t>.</w:t>
      </w:r>
      <w:r w:rsidRPr="00BD0223">
        <w:t xml:space="preserve"> </w:t>
      </w:r>
      <w:r w:rsidR="004A4C75" w:rsidRPr="00BD0223">
        <w:t>A</w:t>
      </w:r>
      <w:r w:rsidRPr="00BD0223">
        <w:t xml:space="preserve"> política de elevadas taxas de juros a</w:t>
      </w:r>
      <w:r w:rsidR="00BA41E7" w:rsidRPr="00BD0223">
        <w:t xml:space="preserve"> </w:t>
      </w:r>
      <w:r w:rsidRPr="00BD0223">
        <w:t xml:space="preserve">fim de fornecer âncora ao regime </w:t>
      </w:r>
      <w:r w:rsidR="00E834B8" w:rsidRPr="00BD0223">
        <w:t>cambial</w:t>
      </w:r>
      <w:r w:rsidRPr="00BD0223">
        <w:t xml:space="preserve"> que </w:t>
      </w:r>
      <w:r w:rsidR="004A4C75" w:rsidRPr="00BD0223">
        <w:t xml:space="preserve">vigorou durante </w:t>
      </w:r>
      <w:r w:rsidRPr="00BD0223">
        <w:t>1995/1998</w:t>
      </w:r>
      <w:r w:rsidR="004A4C75" w:rsidRPr="00BD0223">
        <w:t xml:space="preserve"> dificultou a rolagem da dívida mobiliária dos e</w:t>
      </w:r>
      <w:r w:rsidR="00851C05">
        <w:t>n</w:t>
      </w:r>
      <w:r w:rsidR="004A4C75" w:rsidRPr="00BD0223">
        <w:t xml:space="preserve">tes </w:t>
      </w:r>
      <w:r w:rsidR="005B22AC" w:rsidRPr="00BD0223">
        <w:t>federativos</w:t>
      </w:r>
      <w:r w:rsidR="00851C05">
        <w:t xml:space="preserve">. Por sua vez, </w:t>
      </w:r>
      <w:r w:rsidR="004A4C75" w:rsidRPr="00BD0223">
        <w:t xml:space="preserve">os bancos públicos estaduais já não possuíam mais receitas inflacionárias e também passavam por problemas de solvência. Todo esse contexto exigiu uma ação </w:t>
      </w:r>
      <w:r w:rsidR="00E834B8" w:rsidRPr="00BD0223">
        <w:t>coordenada</w:t>
      </w:r>
      <w:r w:rsidR="004A4C75" w:rsidRPr="00BD0223">
        <w:t xml:space="preserve"> do governo federal, o qual atu</w:t>
      </w:r>
      <w:r w:rsidR="00F6674B" w:rsidRPr="00BD0223">
        <w:t>o</w:t>
      </w:r>
      <w:r w:rsidR="00E834B8" w:rsidRPr="00BD0223">
        <w:t>u</w:t>
      </w:r>
      <w:r w:rsidR="004A4C75" w:rsidRPr="00BD0223">
        <w:t xml:space="preserve"> por duas frentes</w:t>
      </w:r>
      <w:r w:rsidR="00DA79BA" w:rsidRPr="00BD0223">
        <w:t xml:space="preserve">: Programa de Apoio à Reestruturação e ao Ajuste Fiscal dos Estados, e Programa de Estímulo à Reestruturação e ao Fortalecimento do Sistema Financeiro Nacional; o qual atendia bancos públicos e privados. A União se comprometeu a absorver as dívidas estaduais para assim renegociar os saldos devedores diretamente com os entes subnacionais, os quais deveriam realizar uma reforma patrimonial </w:t>
      </w:r>
      <w:r w:rsidR="00F6674B" w:rsidRPr="00BD0223">
        <w:t>liquidando seus</w:t>
      </w:r>
      <w:r w:rsidR="00DA79BA" w:rsidRPr="00BD0223">
        <w:t xml:space="preserve"> ban</w:t>
      </w:r>
      <w:r w:rsidR="00F6674B" w:rsidRPr="00BD0223">
        <w:t>cos ou transformando-os em agências de fomento</w:t>
      </w:r>
      <w:r w:rsidR="00851C05">
        <w:t xml:space="preserve">. Isso foi considerado </w:t>
      </w:r>
      <w:r w:rsidR="00F6674B" w:rsidRPr="00BD0223">
        <w:t>necessário</w:t>
      </w:r>
      <w:r w:rsidR="00DA79BA" w:rsidRPr="00BD0223">
        <w:t xml:space="preserve"> devido a dois </w:t>
      </w:r>
      <w:r w:rsidR="00DA79BA" w:rsidRPr="006D3163">
        <w:t>motivos:</w:t>
      </w:r>
      <w:r w:rsidR="00DA79BA" w:rsidRPr="00851C05">
        <w:rPr>
          <w:color w:val="FF0000"/>
        </w:rPr>
        <w:t xml:space="preserve"> </w:t>
      </w:r>
      <w:r w:rsidR="00DA79BA" w:rsidRPr="00BD0223">
        <w:t xml:space="preserve">parte considerável da crise fiscal dos estados </w:t>
      </w:r>
      <w:r w:rsidR="00EC62CB" w:rsidRPr="00BD0223">
        <w:t>era consequência</w:t>
      </w:r>
      <w:r w:rsidR="00DA79BA" w:rsidRPr="00BD0223">
        <w:t xml:space="preserve"> da relação</w:t>
      </w:r>
      <w:r w:rsidR="006D3163">
        <w:t xml:space="preserve"> de fluxos financeiros</w:t>
      </w:r>
      <w:r w:rsidR="00DA79BA" w:rsidRPr="00BD0223">
        <w:t xml:space="preserve"> entre</w:t>
      </w:r>
      <w:r w:rsidR="00EC62CB" w:rsidRPr="00BD0223">
        <w:t xml:space="preserve"> os</w:t>
      </w:r>
      <w:r w:rsidR="00DA79BA" w:rsidRPr="00BD0223">
        <w:t xml:space="preserve"> governo</w:t>
      </w:r>
      <w:r w:rsidR="00EC62CB" w:rsidRPr="00BD0223">
        <w:t>s</w:t>
      </w:r>
      <w:r w:rsidR="00DA79BA" w:rsidRPr="00BD0223">
        <w:t xml:space="preserve"> estadua</w:t>
      </w:r>
      <w:r w:rsidR="00EC62CB" w:rsidRPr="00BD0223">
        <w:t>is</w:t>
      </w:r>
      <w:r w:rsidR="00DA79BA" w:rsidRPr="00BD0223">
        <w:t xml:space="preserve"> </w:t>
      </w:r>
      <w:r w:rsidR="0076781F" w:rsidRPr="00BD0223">
        <w:t xml:space="preserve">com </w:t>
      </w:r>
      <w:r w:rsidR="00EC62CB" w:rsidRPr="00BD0223">
        <w:t>seus</w:t>
      </w:r>
      <w:r w:rsidR="00DA79BA" w:rsidRPr="00BD0223">
        <w:t xml:space="preserve"> bancos públicos, </w:t>
      </w:r>
      <w:r w:rsidR="006D3163">
        <w:t xml:space="preserve">e </w:t>
      </w:r>
      <w:r w:rsidR="00DA79BA" w:rsidRPr="00BD0223">
        <w:t xml:space="preserve">era necessário que os estados arcassem com um certo valor de </w:t>
      </w:r>
      <w:r w:rsidR="00CD6E5A" w:rsidRPr="00BD0223">
        <w:t>entrada para pagamento à União</w:t>
      </w:r>
      <w:r w:rsidR="00E77ED2">
        <w:t>, o qual seria levantado pelos governos com venda de patrim</w:t>
      </w:r>
      <w:r w:rsidR="00D93C66">
        <w:t>ônio,</w:t>
      </w:r>
      <w:r w:rsidR="00CD6E5A" w:rsidRPr="00BD0223">
        <w:t xml:space="preserve"> </w:t>
      </w:r>
      <w:r w:rsidR="00D93C66">
        <w:t>s</w:t>
      </w:r>
      <w:r w:rsidR="00CD6E5A" w:rsidRPr="00BD0223">
        <w:t>e</w:t>
      </w:r>
      <w:r w:rsidR="00D93C66">
        <w:t>ndo</w:t>
      </w:r>
      <w:r w:rsidR="00CD6E5A" w:rsidRPr="00BD0223">
        <w:t xml:space="preserve"> o resto dividido em parcelas com juros subsidiados implicitamente</w:t>
      </w:r>
      <w:r w:rsidR="00B00E99" w:rsidRPr="00BD0223">
        <w:t xml:space="preserve">; </w:t>
      </w:r>
      <w:r w:rsidR="00F6674B" w:rsidRPr="00BD0223">
        <w:t>os juros acordados nos contratos eram menores que a taxa Selic</w:t>
      </w:r>
      <w:r w:rsidR="00B00E99" w:rsidRPr="00BD0223">
        <w:t>,</w:t>
      </w:r>
      <w:r w:rsidR="00F6674B" w:rsidRPr="00BD0223">
        <w:t xml:space="preserve"> sendo isso viabilizado através de vendas de estatais pertencentes aos estados</w:t>
      </w:r>
      <w:r w:rsidR="00CD6E5A" w:rsidRPr="00BD0223">
        <w:t>.</w:t>
      </w:r>
    </w:p>
    <w:p w14:paraId="636BF1A4" w14:textId="79BDBE01" w:rsidR="00736724" w:rsidRPr="00BD0223" w:rsidRDefault="00CD6E5A" w:rsidP="00C117F2">
      <w:pPr>
        <w:pStyle w:val="TNORMAL"/>
      </w:pPr>
      <w:r w:rsidRPr="00BD0223">
        <w:t>Complementando as medidas de reestruturação das finanças estaduais foi criada</w:t>
      </w:r>
      <w:r w:rsidR="009167B3" w:rsidRPr="00BD0223">
        <w:t>, em</w:t>
      </w:r>
      <w:r w:rsidR="006D3163">
        <w:t xml:space="preserve"> 2000</w:t>
      </w:r>
      <w:r w:rsidRPr="00BD0223">
        <w:t xml:space="preserve"> a Lei de Responsabilidade Fiscal</w:t>
      </w:r>
      <w:r w:rsidR="000A6570">
        <w:t xml:space="preserve"> (LRF)</w:t>
      </w:r>
      <w:r w:rsidRPr="00BD0223">
        <w:t xml:space="preserve"> que definia valores limites relacionados ao gasto com pessoal como proporção da receita líquida e limite de endividamento</w:t>
      </w:r>
      <w:r w:rsidR="000A6570">
        <w:t xml:space="preserve"> para estados e municípios</w:t>
      </w:r>
      <w:r w:rsidRPr="00BD0223">
        <w:t>.</w:t>
      </w:r>
      <w:r w:rsidR="000A6570">
        <w:t xml:space="preserve"> Apesar das </w:t>
      </w:r>
      <w:r w:rsidRPr="00BD0223">
        <w:t>diversas renegociações d</w:t>
      </w:r>
      <w:r w:rsidR="000A6570">
        <w:t>e</w:t>
      </w:r>
      <w:r w:rsidRPr="00BD0223">
        <w:t xml:space="preserve"> dívidas estaduais junto </w:t>
      </w:r>
      <w:r w:rsidR="00F6674B" w:rsidRPr="00BD0223">
        <w:t>à</w:t>
      </w:r>
      <w:r w:rsidRPr="00BD0223">
        <w:t xml:space="preserve"> União</w:t>
      </w:r>
      <w:r w:rsidR="005B22AC" w:rsidRPr="00BD0223">
        <w:t xml:space="preserve"> desde então</w:t>
      </w:r>
      <w:r w:rsidR="000A6570">
        <w:t xml:space="preserve">; </w:t>
      </w:r>
      <w:r w:rsidRPr="00BD0223">
        <w:t>ainda assim a questão federativ</w:t>
      </w:r>
      <w:r w:rsidR="00F6674B" w:rsidRPr="00BD0223">
        <w:t>a</w:t>
      </w:r>
      <w:r w:rsidRPr="00BD0223">
        <w:t xml:space="preserve"> apresenta </w:t>
      </w:r>
      <w:r w:rsidR="005B22AC" w:rsidRPr="00BD0223">
        <w:t>características</w:t>
      </w:r>
      <w:r w:rsidRPr="00BD0223">
        <w:t xml:space="preserve"> turbulent</w:t>
      </w:r>
      <w:r w:rsidR="005B22AC" w:rsidRPr="00BD0223">
        <w:t>as</w:t>
      </w:r>
      <w:r w:rsidRPr="00BD0223">
        <w:t xml:space="preserve">, visto que atualmente </w:t>
      </w:r>
      <w:r w:rsidRPr="00BD0223">
        <w:lastRenderedPageBreak/>
        <w:t>muitos estados passam por crises fiscais e já não conseguem cumprir os parâmetros estabelecidos pela LRF.</w:t>
      </w:r>
    </w:p>
    <w:p w14:paraId="63E4867C" w14:textId="55C0EF27" w:rsidR="00752EA7" w:rsidRDefault="00736724" w:rsidP="00C117F2">
      <w:pPr>
        <w:pStyle w:val="TNORMAL"/>
      </w:pPr>
      <w:r w:rsidRPr="00BD0223">
        <w:t>O sistema de transferências da União para estados gera embates entre os entes da nação, o qual não será resolvido se não houver uma reforma tributária que dê mais transparência aos</w:t>
      </w:r>
      <w:r w:rsidR="00F6674B" w:rsidRPr="00BD0223">
        <w:t xml:space="preserve"> consumidores</w:t>
      </w:r>
      <w:r w:rsidRPr="00BD0223">
        <w:t xml:space="preserve"> em relação a cobrança dos impostos</w:t>
      </w:r>
      <w:r w:rsidR="00EC62CB" w:rsidRPr="00BD0223">
        <w:t xml:space="preserve"> estaduais</w:t>
      </w:r>
      <w:r w:rsidRPr="00BD0223">
        <w:t xml:space="preserve"> sobre consumo, junto a uma revisão do pacto federativo. Um exemplo de tensão entre estados e governo federal diz respeito ao fundo de compensação para estados exportadores, o qual foi criado para restituir o ICMS que estados</w:t>
      </w:r>
      <w:r w:rsidR="009167B3" w:rsidRPr="00BD0223">
        <w:t>,</w:t>
      </w:r>
      <w:r w:rsidRPr="00BD0223">
        <w:t xml:space="preserve"> como Minas Gerais</w:t>
      </w:r>
      <w:r w:rsidR="009167B3" w:rsidRPr="00BD0223">
        <w:t>,</w:t>
      </w:r>
      <w:r w:rsidRPr="00BD0223">
        <w:t xml:space="preserve"> teriam direito sobre a exportação de produtos. De acordo com a </w:t>
      </w:r>
      <w:r w:rsidRPr="006D3163">
        <w:t xml:space="preserve">Secretaria </w:t>
      </w:r>
      <w:r w:rsidR="00752EA7" w:rsidRPr="006D3163">
        <w:t>do Tesouro Nacional</w:t>
      </w:r>
      <w:r w:rsidR="006D3163">
        <w:rPr>
          <w:color w:val="FF0000"/>
        </w:rPr>
        <w:t xml:space="preserve"> </w:t>
      </w:r>
      <w:r w:rsidR="006D3163">
        <w:t xml:space="preserve">(CRESPO, </w:t>
      </w:r>
      <w:r w:rsidR="006D3163" w:rsidRPr="00BD0223">
        <w:t>2017</w:t>
      </w:r>
      <w:r w:rsidR="00EA54A8" w:rsidRPr="00BD0223">
        <w:t>)</w:t>
      </w:r>
      <w:r w:rsidR="00EA54A8">
        <w:t>,</w:t>
      </w:r>
      <w:r w:rsidR="00EA54A8" w:rsidRPr="00BD0223">
        <w:t xml:space="preserve"> </w:t>
      </w:r>
      <w:r w:rsidR="00EA54A8" w:rsidRPr="000A6570">
        <w:rPr>
          <w:color w:val="FF0000"/>
        </w:rPr>
        <w:t>no</w:t>
      </w:r>
      <w:r w:rsidR="00752EA7" w:rsidRPr="00BD0223">
        <w:t xml:space="preserve"> período posterior </w:t>
      </w:r>
      <w:r w:rsidR="0076781F" w:rsidRPr="00BD0223">
        <w:t>à</w:t>
      </w:r>
      <w:r w:rsidR="00752EA7" w:rsidRPr="00BD0223">
        <w:t xml:space="preserve"> instituição da Lei Kandir, os repasses para os estados foram menores em comparação com o que seria arrecadado se fosse cobrado o ICMS da atividade exportadora. Esse contexto gerou reações de governos estaduais principalmente quando a crise fiscal dos estados se agravou</w:t>
      </w:r>
      <w:r w:rsidR="005B22AC" w:rsidRPr="00BD0223">
        <w:t>.</w:t>
      </w:r>
      <w:r w:rsidR="00752EA7" w:rsidRPr="00BD0223">
        <w:t xml:space="preserve"> </w:t>
      </w:r>
      <w:r w:rsidR="006D3163">
        <w:t xml:space="preserve">De acordo com (CRESPO, </w:t>
      </w:r>
      <w:r w:rsidR="006D3163" w:rsidRPr="00BD0223">
        <w:t>2017)</w:t>
      </w:r>
      <w:r w:rsidR="006D3163">
        <w:t xml:space="preserve">, </w:t>
      </w:r>
      <w:r w:rsidR="006D3163" w:rsidRPr="006D3163">
        <w:t>m</w:t>
      </w:r>
      <w:r w:rsidR="00752EA7" w:rsidRPr="006D3163">
        <w:t xml:space="preserve">uitos governos estaduais </w:t>
      </w:r>
      <w:r w:rsidR="00752EA7" w:rsidRPr="00BD0223">
        <w:t xml:space="preserve">adotaram o discurso de que o débito que teriam com a União na verdade </w:t>
      </w:r>
      <w:r w:rsidR="000A6570">
        <w:t xml:space="preserve">se converteria em </w:t>
      </w:r>
      <w:r w:rsidR="00752EA7" w:rsidRPr="00BD0223">
        <w:t xml:space="preserve">crédito </w:t>
      </w:r>
      <w:r w:rsidR="000A6570">
        <w:t xml:space="preserve">ao levar-se </w:t>
      </w:r>
      <w:r w:rsidR="00752EA7" w:rsidRPr="00BD0223">
        <w:t xml:space="preserve">em consideração os repasses </w:t>
      </w:r>
      <w:r w:rsidR="000A6570">
        <w:t xml:space="preserve">a </w:t>
      </w:r>
      <w:r w:rsidR="00752EA7" w:rsidRPr="00BD0223">
        <w:t xml:space="preserve">que </w:t>
      </w:r>
      <w:r w:rsidR="000A6570">
        <w:t>teriam direito.</w:t>
      </w:r>
    </w:p>
    <w:p w14:paraId="65A38FDF" w14:textId="77777777" w:rsidR="00C97A1D" w:rsidRPr="00BD0223" w:rsidRDefault="00C97A1D" w:rsidP="00C117F2">
      <w:pPr>
        <w:pStyle w:val="TNORMAL"/>
      </w:pPr>
    </w:p>
    <w:p w14:paraId="4522F88A" w14:textId="5927DD8C" w:rsidR="00C90F95" w:rsidRDefault="00C117F2" w:rsidP="00C117F2">
      <w:pPr>
        <w:pStyle w:val="TIT2"/>
        <w:rPr>
          <w:caps w:val="0"/>
        </w:rPr>
      </w:pPr>
      <w:bookmarkStart w:id="12" w:name="_Toc55329616"/>
      <w:r w:rsidRPr="00BD0223">
        <w:rPr>
          <w:caps w:val="0"/>
        </w:rPr>
        <w:t>A ATUAL CRISE FISCAL DO ESTADO DE MINAS GERAIS</w:t>
      </w:r>
      <w:bookmarkEnd w:id="12"/>
    </w:p>
    <w:p w14:paraId="1CCD4E53" w14:textId="77777777" w:rsidR="003334E3" w:rsidRDefault="00C90F95" w:rsidP="003334E3">
      <w:pPr>
        <w:pStyle w:val="TNORMAL"/>
      </w:pPr>
      <w:r w:rsidRPr="00BD0223">
        <w:t xml:space="preserve">Como mencionado anteriormente a questão federativa brasileira ainda não foi solucionada por completo e o período de crescimento da economia brasileira, principalmente durante a primeira década do século XXI, criou uma falsa sensação de estabilidade e de bonança por parte dos estados, embora também não se possa desconsiderar os efeitos da crise econômica de 2014/2016 sob a arrecadação dos entes subnacionais. O </w:t>
      </w:r>
      <w:r w:rsidR="000A6570">
        <w:t>G</w:t>
      </w:r>
      <w:r w:rsidRPr="00BD0223">
        <w:t xml:space="preserve">ráfico </w:t>
      </w:r>
      <w:r w:rsidR="000A6570">
        <w:t xml:space="preserve">1 </w:t>
      </w:r>
      <w:r w:rsidRPr="00BD0223">
        <w:t>abaixo ilustra</w:t>
      </w:r>
      <w:r w:rsidR="00752EA7" w:rsidRPr="00BD0223">
        <w:t xml:space="preserve"> </w:t>
      </w:r>
      <w:r w:rsidRPr="00BD0223">
        <w:t>a evolução da</w:t>
      </w:r>
      <w:r w:rsidR="00D84CF3" w:rsidRPr="00BD0223">
        <w:t>s</w:t>
      </w:r>
      <w:r w:rsidRPr="00BD0223">
        <w:t xml:space="preserve"> receita</w:t>
      </w:r>
      <w:r w:rsidR="00D84CF3" w:rsidRPr="00BD0223">
        <w:t>s</w:t>
      </w:r>
      <w:r w:rsidR="00BA0470" w:rsidRPr="00BD0223">
        <w:t xml:space="preserve"> e despesas</w:t>
      </w:r>
      <w:r w:rsidR="004A2F1E" w:rsidRPr="00BD0223">
        <w:t xml:space="preserve"> do governo de Minas Gerais</w:t>
      </w:r>
      <w:r w:rsidR="000A6570">
        <w:t>. Perce</w:t>
      </w:r>
      <w:r w:rsidR="00BA0470" w:rsidRPr="00BD0223">
        <w:t xml:space="preserve">be-se que </w:t>
      </w:r>
      <w:r w:rsidR="004A2F1E" w:rsidRPr="00BD0223">
        <w:t>houve, em 2014, um</w:t>
      </w:r>
      <w:r w:rsidR="00BA0470" w:rsidRPr="00BD0223">
        <w:t xml:space="preserve"> período de inflexão em que os custos de se manter o estado funcionando ultrapass</w:t>
      </w:r>
      <w:r w:rsidR="004A2F1E" w:rsidRPr="00BD0223">
        <w:t>ou</w:t>
      </w:r>
      <w:r w:rsidR="00BA0470" w:rsidRPr="00BD0223">
        <w:t xml:space="preserve"> a arrecadação</w:t>
      </w:r>
      <w:r w:rsidR="003B5AA5">
        <w:t xml:space="preserve">; </w:t>
      </w:r>
      <w:r w:rsidR="00BA0470" w:rsidRPr="00BD0223">
        <w:t xml:space="preserve">ano </w:t>
      </w:r>
      <w:r w:rsidR="003B5AA5">
        <w:t xml:space="preserve">que </w:t>
      </w:r>
      <w:r w:rsidR="00BA0470" w:rsidRPr="00BD0223">
        <w:t>marcou o início da crise econômica, porém como se verá mais adiante a recessão não foi o único fator causador desse contexto.</w:t>
      </w:r>
      <w:bookmarkStart w:id="13" w:name="_Toc55329396"/>
    </w:p>
    <w:p w14:paraId="12B94AB6" w14:textId="6973E93A" w:rsidR="003334E3" w:rsidRDefault="003334E3">
      <w:pPr>
        <w:rPr>
          <w:rFonts w:ascii="Times New Roman" w:eastAsia="Times New Roman" w:hAnsi="Times New Roman" w:cs="Calibri"/>
          <w:sz w:val="24"/>
          <w:lang w:val="pt" w:eastAsia="pt-BR"/>
        </w:rPr>
      </w:pPr>
      <w:r>
        <w:br w:type="page"/>
      </w:r>
    </w:p>
    <w:p w14:paraId="1EC7505B" w14:textId="77777777" w:rsidR="003334E3" w:rsidRDefault="003334E3" w:rsidP="003334E3">
      <w:pPr>
        <w:pStyle w:val="TNORMAL"/>
      </w:pPr>
    </w:p>
    <w:p w14:paraId="1FEAAB20" w14:textId="35F4F696" w:rsidR="00336D5F" w:rsidRPr="00BD0223" w:rsidRDefault="00336D5F" w:rsidP="008841D4">
      <w:pPr>
        <w:pStyle w:val="TNORMAL"/>
        <w:ind w:firstLine="0"/>
        <w:jc w:val="left"/>
      </w:pPr>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1</w:t>
      </w:r>
      <w:r w:rsidRPr="00BD0223">
        <w:fldChar w:fldCharType="end"/>
      </w:r>
      <w:r w:rsidRPr="00BD0223">
        <w:t xml:space="preserve"> ― Receita X Despesa do estado de Minas Gerais de 2010 a 2018 com valores deflacionados a preços de 2010 (em bilhões de R$)</w:t>
      </w:r>
      <w:bookmarkEnd w:id="13"/>
    </w:p>
    <w:p w14:paraId="14A09A82" w14:textId="5F7CDBD3" w:rsidR="00CE6340" w:rsidRPr="00BD0223" w:rsidRDefault="004A2F1E" w:rsidP="00336D5F">
      <w:pPr>
        <w:pStyle w:val="Tfigura-figura"/>
        <w:rPr>
          <w:rFonts w:cs="Times New Roman"/>
        </w:rPr>
      </w:pPr>
      <w:r w:rsidRPr="00BD0223">
        <w:drawing>
          <wp:inline distT="0" distB="0" distL="0" distR="0" wp14:anchorId="50BBC939" wp14:editId="4F237FCD">
            <wp:extent cx="5915025" cy="2920365"/>
            <wp:effectExtent l="0" t="0" r="9525" b="13335"/>
            <wp:docPr id="1" name="Gráfico 1">
              <a:extLst xmlns:a="http://schemas.openxmlformats.org/drawingml/2006/main">
                <a:ext uri="{FF2B5EF4-FFF2-40B4-BE49-F238E27FC236}">
                  <a16:creationId xmlns:a16="http://schemas.microsoft.com/office/drawing/2014/main" id="{381663F5-D390-4445-8EE0-76659BCC1B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5A08E1" w14:textId="77E1DD2C" w:rsidR="003334E3" w:rsidRDefault="00336D5F" w:rsidP="00DD7064">
      <w:pPr>
        <w:pStyle w:val="Ttabela-fonte"/>
      </w:pPr>
      <w:r w:rsidRPr="00BD0223">
        <w:t>Fonte: Secretaria do Tesouro Nacional, Elaboração Própria</w:t>
      </w:r>
    </w:p>
    <w:p w14:paraId="27234FB4" w14:textId="77777777" w:rsidR="00C97A1D" w:rsidRDefault="00C97A1D" w:rsidP="00C117F2">
      <w:pPr>
        <w:pStyle w:val="TNORMAL"/>
      </w:pPr>
    </w:p>
    <w:p w14:paraId="5FF34866" w14:textId="692E0FDC" w:rsidR="00400077" w:rsidRPr="00BD0223" w:rsidRDefault="00070E0D" w:rsidP="00C117F2">
      <w:pPr>
        <w:pStyle w:val="TNORMAL"/>
      </w:pPr>
      <w:r w:rsidRPr="00BD0223">
        <w:t>Segundo dados do IBGE o PIB do estado de Minas Gerais retraiu</w:t>
      </w:r>
      <w:r w:rsidR="000A6570">
        <w:t>-se</w:t>
      </w:r>
      <w:r w:rsidRPr="00BD0223">
        <w:t xml:space="preserve"> em 4,3 pontos percentuais no ano de 2015 acompanhado de uma queda de 6,2% do PIB industrial. Caso o governo mineiro não tivesse lançado mão de aumentos da alíquota de ICMS incidente em determinados produtos a queda na arrecadação poderia ter sido mais significativa. </w:t>
      </w:r>
      <w:r w:rsidR="005D0D80" w:rsidRPr="00BD0223">
        <w:t xml:space="preserve"> No entanto há de se ressaltar que os estados também possuem receitas de transferência, mostrando que</w:t>
      </w:r>
      <w:r w:rsidR="000A6570">
        <w:t xml:space="preserve"> a </w:t>
      </w:r>
      <w:r w:rsidR="00C57FFE" w:rsidRPr="00BD0223">
        <w:t xml:space="preserve">algum </w:t>
      </w:r>
      <w:r w:rsidR="000A6570">
        <w:t>tempo</w:t>
      </w:r>
      <w:r w:rsidR="00F6674B" w:rsidRPr="00BD0223">
        <w:t xml:space="preserve"> </w:t>
      </w:r>
      <w:r w:rsidR="00C57FFE" w:rsidRPr="00BD0223">
        <w:t>o estado de Minas Gerais não possui condições de arcar com suas obrigações através da capacidade própria de arrecadação de impostos.</w:t>
      </w:r>
    </w:p>
    <w:p w14:paraId="59740F92" w14:textId="7F84E4A1" w:rsidR="00336D5F" w:rsidRPr="00BD0223" w:rsidRDefault="00336D5F" w:rsidP="008841D4">
      <w:pPr>
        <w:pStyle w:val="Tfigura-titulo"/>
        <w:jc w:val="both"/>
      </w:pPr>
      <w:bookmarkStart w:id="14" w:name="_Toc55329397"/>
      <w:r w:rsidRPr="00BD0223">
        <w:lastRenderedPageBreak/>
        <w:t xml:space="preserve">Gráfico </w:t>
      </w:r>
      <w:r w:rsidRPr="00BD0223">
        <w:fldChar w:fldCharType="begin"/>
      </w:r>
      <w:r w:rsidRPr="00BD0223">
        <w:instrText xml:space="preserve"> SEQ Gráfico \* ARABIC </w:instrText>
      </w:r>
      <w:r w:rsidRPr="00BD0223">
        <w:fldChar w:fldCharType="separate"/>
      </w:r>
      <w:r w:rsidR="009A5BEE">
        <w:rPr>
          <w:noProof/>
        </w:rPr>
        <w:t>2</w:t>
      </w:r>
      <w:r w:rsidRPr="00BD0223">
        <w:fldChar w:fldCharType="end"/>
      </w:r>
      <w:r w:rsidRPr="00BD0223">
        <w:t xml:space="preserve"> ― Receita de transferências do governo federal ao governo de Minas Gerais como proporção da receita total</w:t>
      </w:r>
      <w:bookmarkEnd w:id="14"/>
    </w:p>
    <w:p w14:paraId="74C3421D" w14:textId="2C53C3D8" w:rsidR="00C57FFE" w:rsidRPr="00BD0223" w:rsidRDefault="00095F14" w:rsidP="00336D5F">
      <w:pPr>
        <w:pStyle w:val="Tfigura-figura"/>
        <w:rPr>
          <w:rFonts w:cs="Times New Roman"/>
          <w:sz w:val="28"/>
          <w:szCs w:val="28"/>
        </w:rPr>
      </w:pPr>
      <w:r w:rsidRPr="00BD0223">
        <w:drawing>
          <wp:inline distT="0" distB="0" distL="0" distR="0" wp14:anchorId="2557E2BB" wp14:editId="248CF78F">
            <wp:extent cx="5791200" cy="2743200"/>
            <wp:effectExtent l="0" t="0" r="19050" b="19050"/>
            <wp:docPr id="3" name="Gráfico 3">
              <a:extLst xmlns:a="http://schemas.openxmlformats.org/drawingml/2006/main">
                <a:ext uri="{FF2B5EF4-FFF2-40B4-BE49-F238E27FC236}">
                  <a16:creationId xmlns:a16="http://schemas.microsoft.com/office/drawing/2014/main" id="{058BB3F6-B2E7-4EB4-B766-1063A970C1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A2C590" w14:textId="77777777" w:rsidR="00336D5F" w:rsidRPr="00BD0223" w:rsidRDefault="00336D5F" w:rsidP="00336D5F">
      <w:pPr>
        <w:pStyle w:val="Ttabela-fonte"/>
      </w:pPr>
      <w:r w:rsidRPr="00BD0223">
        <w:t>Fonte: Secretaria do Tesouro Nacional, Elaboração Própria</w:t>
      </w:r>
    </w:p>
    <w:p w14:paraId="1AEEE505" w14:textId="77777777" w:rsidR="00C97A1D" w:rsidRDefault="00C97A1D" w:rsidP="00C117F2">
      <w:pPr>
        <w:pStyle w:val="TNORMAL"/>
      </w:pPr>
    </w:p>
    <w:p w14:paraId="4BAA1E30" w14:textId="10B56BA2" w:rsidR="006814F4" w:rsidRPr="00BD0223" w:rsidRDefault="00F20B1C" w:rsidP="00C117F2">
      <w:pPr>
        <w:pStyle w:val="TNORMAL"/>
      </w:pPr>
      <w:r w:rsidRPr="00BD0223">
        <w:t xml:space="preserve">De acordo com um estudo feito por </w:t>
      </w:r>
      <w:r w:rsidR="007C0824">
        <w:t xml:space="preserve">(LEAL FILHO e BARBOSA, </w:t>
      </w:r>
      <w:r w:rsidRPr="00BD0223">
        <w:t>2018) a perda de arrecadação do estado de Minas Gerais como resulta</w:t>
      </w:r>
      <w:r w:rsidR="00DA2550" w:rsidRPr="00BD0223">
        <w:t>do</w:t>
      </w:r>
      <w:r w:rsidRPr="00BD0223">
        <w:t xml:space="preserve"> da queda do PIB esteve na ordem de R$</w:t>
      </w:r>
      <w:r w:rsidR="000A6570">
        <w:t xml:space="preserve"> </w:t>
      </w:r>
      <w:r w:rsidRPr="00BD0223">
        <w:t>8,1 bilhões somando-se os anos de 2015, 2016, 2017, não se</w:t>
      </w:r>
      <w:r w:rsidR="00F6674B" w:rsidRPr="00BD0223">
        <w:t>ndo mais significativa</w:t>
      </w:r>
      <w:r w:rsidRPr="00BD0223">
        <w:t xml:space="preserve"> devido ao aumento de alíquotas de ICMS em determinados produtos como energia elétrica, gasolina e bens de luxo. No entanto há de se destacar que as finanças públicas estaduais são historicamente frágeis</w:t>
      </w:r>
      <w:r w:rsidR="00F6674B" w:rsidRPr="00BD0223">
        <w:t>,</w:t>
      </w:r>
      <w:r w:rsidRPr="00BD0223">
        <w:t xml:space="preserve"> há sempre um impulso durante tempos de bonança de aumento dos gastos obrigatórios relacionados a folha de pagamentos.</w:t>
      </w:r>
    </w:p>
    <w:p w14:paraId="58CCAC06" w14:textId="16B5C523" w:rsidR="00095F14" w:rsidRPr="00BD0223" w:rsidRDefault="005B22AC" w:rsidP="00C117F2">
      <w:pPr>
        <w:pStyle w:val="TNORMAL"/>
      </w:pPr>
      <w:r w:rsidRPr="00BD0223">
        <w:t xml:space="preserve">O </w:t>
      </w:r>
      <w:r w:rsidR="000A6570">
        <w:t>G</w:t>
      </w:r>
      <w:r w:rsidRPr="00BD0223">
        <w:t>ráfico</w:t>
      </w:r>
      <w:r w:rsidR="006814F4" w:rsidRPr="00BD0223">
        <w:t xml:space="preserve"> </w:t>
      </w:r>
      <w:r w:rsidR="004A2F1E" w:rsidRPr="00BD0223">
        <w:t>3</w:t>
      </w:r>
      <w:r w:rsidR="006814F4" w:rsidRPr="00BD0223">
        <w:t xml:space="preserve"> mostra que durante 2010 e 2013 a despesa total teve um crescimento acelerado estabilizando-se apenas em 2014, o gasto com pessoal </w:t>
      </w:r>
      <w:r w:rsidR="00524AF8" w:rsidRPr="00BD0223">
        <w:t>manteve sua trajetória de crescimento até 2017</w:t>
      </w:r>
      <w:r w:rsidR="000A6570">
        <w:t>,</w:t>
      </w:r>
      <w:r w:rsidR="00524AF8" w:rsidRPr="00BD0223">
        <w:t xml:space="preserve"> se mantendo estável em 2018. As razões do aumento significativo dos gastos com folha de pagamentos entre 2013 e 2015 foram: crescimento vegetativo</w:t>
      </w:r>
      <w:r w:rsidR="00F6674B" w:rsidRPr="00BD0223">
        <w:t xml:space="preserve"> e</w:t>
      </w:r>
      <w:r w:rsidR="00524AF8" w:rsidRPr="00BD0223">
        <w:t xml:space="preserve"> reajustes escalonados de salários e vencimentos de diversas carreiras do setor público estadual durante o período que se inicia em 2011 e se estende até 2014</w:t>
      </w:r>
      <w:r w:rsidR="002C62E3" w:rsidRPr="00BD0223">
        <w:t xml:space="preserve"> (CRESPO, 2017)</w:t>
      </w:r>
      <w:r w:rsidR="00524AF8" w:rsidRPr="00BD0223">
        <w:t>. O fato de a</w:t>
      </w:r>
      <w:r w:rsidR="002C62E3" w:rsidRPr="00BD0223">
        <w:t>s</w:t>
      </w:r>
      <w:r w:rsidR="00524AF8" w:rsidRPr="00BD0223">
        <w:t xml:space="preserve"> despesas totais terem estabilizado em 2014</w:t>
      </w:r>
      <w:r w:rsidR="00343FD5" w:rsidRPr="00BD0223">
        <w:t>,</w:t>
      </w:r>
      <w:r w:rsidR="00524AF8" w:rsidRPr="00BD0223">
        <w:t xml:space="preserve"> a despeito do aumento dos gastos com pessoal</w:t>
      </w:r>
      <w:r w:rsidR="00343FD5" w:rsidRPr="00BD0223">
        <w:t>,</w:t>
      </w:r>
      <w:r w:rsidR="00524AF8" w:rsidRPr="00BD0223">
        <w:t xml:space="preserve"> se justifica através de uma queda dos investimentos públicos promovidos pelo </w:t>
      </w:r>
      <w:r w:rsidR="0005331A">
        <w:t>Governo estadual</w:t>
      </w:r>
      <w:r w:rsidR="00365F1A" w:rsidRPr="00BD0223">
        <w:t>. A</w:t>
      </w:r>
      <w:r w:rsidR="00524AF8" w:rsidRPr="00BD0223">
        <w:t xml:space="preserve"> queda </w:t>
      </w:r>
      <w:r w:rsidR="00365F1A" w:rsidRPr="00BD0223">
        <w:t xml:space="preserve">observada no total de despesas do estado entre 2015 e 2016 foi possível devido a renegociação da dívida estadual, já o aumento que essa mesma rubrica sofre em 2017 e 2018 foi ocasionado </w:t>
      </w:r>
      <w:r w:rsidR="00365F1A" w:rsidRPr="00BD0223">
        <w:lastRenderedPageBreak/>
        <w:t>pelos aportes que foram feitos para cobrir o déficit do RPPS</w:t>
      </w:r>
      <w:r w:rsidR="00005F94" w:rsidRPr="00BD0223">
        <w:t xml:space="preserve"> </w:t>
      </w:r>
      <w:r w:rsidR="00365F1A" w:rsidRPr="00BD0223">
        <w:t>(Regime de Previdência Pública do Servidor).</w:t>
      </w:r>
    </w:p>
    <w:p w14:paraId="41EFD20C" w14:textId="5AC06A6C" w:rsidR="00336D5F" w:rsidRPr="00BD0223" w:rsidRDefault="00336D5F" w:rsidP="008841D4">
      <w:pPr>
        <w:pStyle w:val="Tfigura-titulo"/>
        <w:jc w:val="both"/>
      </w:pPr>
      <w:bookmarkStart w:id="15" w:name="_Toc55329398"/>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3</w:t>
      </w:r>
      <w:r w:rsidRPr="00BD0223">
        <w:fldChar w:fldCharType="end"/>
      </w:r>
      <w:r w:rsidRPr="00BD0223">
        <w:t xml:space="preserve"> ― Comparação entre despesa total e despesa com pessoal do estado de Minas Gerais de 2010 a 2018 com valores deflacionados a preços de 2010 (em bilhões de R$).</w:t>
      </w:r>
      <w:bookmarkEnd w:id="15"/>
    </w:p>
    <w:p w14:paraId="61A3089F" w14:textId="38DD34D2" w:rsidR="006814F4" w:rsidRPr="00BD0223" w:rsidRDefault="004A2F1E" w:rsidP="00336D5F">
      <w:pPr>
        <w:pStyle w:val="Tfigura-figura"/>
        <w:rPr>
          <w:rFonts w:cs="Times New Roman"/>
          <w:sz w:val="28"/>
          <w:szCs w:val="28"/>
        </w:rPr>
      </w:pPr>
      <w:r w:rsidRPr="00BD0223">
        <w:drawing>
          <wp:inline distT="0" distB="0" distL="0" distR="0" wp14:anchorId="7C5978FD" wp14:editId="194033A8">
            <wp:extent cx="5753100" cy="3719195"/>
            <wp:effectExtent l="0" t="0" r="19050" b="14605"/>
            <wp:docPr id="6" name="Gráfico 6">
              <a:extLst xmlns:a="http://schemas.openxmlformats.org/drawingml/2006/main">
                <a:ext uri="{FF2B5EF4-FFF2-40B4-BE49-F238E27FC236}">
                  <a16:creationId xmlns:a16="http://schemas.microsoft.com/office/drawing/2014/main" id="{37C860EA-DD9E-4639-99D4-D8EBBADDB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DE2C6B" w14:textId="59D4A903" w:rsidR="003334E3" w:rsidRDefault="00336D5F" w:rsidP="007C0824">
      <w:pPr>
        <w:pStyle w:val="Ttabela-fonte"/>
      </w:pPr>
      <w:r w:rsidRPr="00BD0223">
        <w:t xml:space="preserve">Fonte: Secretaria do Tesouro Nacional, </w:t>
      </w:r>
      <w:r w:rsidRPr="006D3163">
        <w:t>Elaboração Própria</w:t>
      </w:r>
    </w:p>
    <w:p w14:paraId="4E64BAC5" w14:textId="77777777" w:rsidR="00C97A1D" w:rsidRPr="00C97A1D" w:rsidRDefault="00C97A1D" w:rsidP="00C97A1D">
      <w:pPr>
        <w:pStyle w:val="TNORMAL"/>
        <w:rPr>
          <w:lang w:val="pt-BR" w:eastAsia="pt-PT"/>
        </w:rPr>
      </w:pPr>
    </w:p>
    <w:p w14:paraId="5D7BA7AD" w14:textId="7A6972A4" w:rsidR="006814F4" w:rsidRPr="00BD0223" w:rsidRDefault="00365F1A" w:rsidP="00C117F2">
      <w:pPr>
        <w:pStyle w:val="TNORMAL"/>
      </w:pPr>
      <w:r w:rsidRPr="00BD0223">
        <w:t>Obviamente a crise fiscal do estado de Minas Gerais se apresenta como um grande desafio para futuros governantes</w:t>
      </w:r>
      <w:r w:rsidR="001C395B" w:rsidRPr="00BD0223">
        <w:t>,</w:t>
      </w:r>
      <w:r w:rsidRPr="00BD0223">
        <w:t xml:space="preserve"> </w:t>
      </w:r>
      <w:r w:rsidR="001C395B" w:rsidRPr="00BD0223">
        <w:t>e</w:t>
      </w:r>
      <w:r w:rsidRPr="00BD0223">
        <w:t>sse contexto</w:t>
      </w:r>
      <w:r w:rsidR="001C395B" w:rsidRPr="00BD0223">
        <w:t xml:space="preserve"> fiscal</w:t>
      </w:r>
      <w:r w:rsidRPr="00BD0223">
        <w:t xml:space="preserve"> gerou </w:t>
      </w:r>
      <w:r w:rsidR="000B5BEB" w:rsidRPr="00BD0223">
        <w:t>grandes dificuldades resultando em:</w:t>
      </w:r>
      <w:r w:rsidR="001C395B" w:rsidRPr="00BD0223">
        <w:t xml:space="preserve"> déficits crescentes, atraso de pagamentos </w:t>
      </w:r>
      <w:r w:rsidR="0005331A">
        <w:t>n</w:t>
      </w:r>
      <w:r w:rsidR="001C395B" w:rsidRPr="00BD0223">
        <w:t xml:space="preserve">a folha salarial e de outros compromissos. A solução para tal problema naturalmente se apresentará de forma conjunta para todos os estados, já que a maioria dos entes federativos possuem dificuldades similares. Uma reforma tributária que simplifique a base de tributos sobre o consumo afetando o ICMS se faz necessária, já que tal imposto corresponde em </w:t>
      </w:r>
      <w:r w:rsidR="0015281D">
        <w:t>média a 85% da arrecadação total do estado</w:t>
      </w:r>
      <w:r w:rsidR="006D3163" w:rsidRPr="008841D4">
        <w:t xml:space="preserve"> de acordo com dados da </w:t>
      </w:r>
      <w:r w:rsidR="008841D4" w:rsidRPr="008841D4">
        <w:t>Secretaria de Estado de Fazenda do Estado de Minas Gerais</w:t>
      </w:r>
      <w:r w:rsidR="001C395B" w:rsidRPr="00BD0223">
        <w:t xml:space="preserve">, fornecendo assim transparência ao cidadão que observará o quanto paga de imposto estadual, municipal ou federal na compra de </w:t>
      </w:r>
      <w:r w:rsidR="0005331A">
        <w:t xml:space="preserve">determinado </w:t>
      </w:r>
      <w:r w:rsidR="001C395B" w:rsidRPr="00BD0223">
        <w:t>produto</w:t>
      </w:r>
      <w:r w:rsidR="0005331A">
        <w:t xml:space="preserve"> ou serviço</w:t>
      </w:r>
      <w:r w:rsidR="001C395B" w:rsidRPr="00BD0223">
        <w:t>.</w:t>
      </w:r>
    </w:p>
    <w:p w14:paraId="5AF427E1" w14:textId="5B3E646E" w:rsidR="00554CB5" w:rsidRPr="00BD0223" w:rsidRDefault="00C117F2" w:rsidP="00C117F2">
      <w:pPr>
        <w:pStyle w:val="TIT2"/>
      </w:pPr>
      <w:bookmarkStart w:id="16" w:name="_Toc55329617"/>
      <w:r w:rsidRPr="00BD0223">
        <w:rPr>
          <w:caps w:val="0"/>
        </w:rPr>
        <w:lastRenderedPageBreak/>
        <w:t xml:space="preserve">ARRECADAÇÃO DE ICMS </w:t>
      </w:r>
      <w:r w:rsidR="0005331A">
        <w:rPr>
          <w:caps w:val="0"/>
        </w:rPr>
        <w:t>N</w:t>
      </w:r>
      <w:r w:rsidRPr="00BD0223">
        <w:rPr>
          <w:caps w:val="0"/>
        </w:rPr>
        <w:t>O ESTADO DE MINAS GERAIS</w:t>
      </w:r>
      <w:bookmarkEnd w:id="16"/>
    </w:p>
    <w:p w14:paraId="3C07BB03" w14:textId="7A4CED5C" w:rsidR="00005F94" w:rsidRPr="001C3EDC" w:rsidRDefault="00667830" w:rsidP="00C117F2">
      <w:pPr>
        <w:pStyle w:val="TIT3"/>
        <w:rPr>
          <w:b w:val="0"/>
          <w:bCs/>
        </w:rPr>
      </w:pPr>
      <w:bookmarkStart w:id="17" w:name="_Toc55329618"/>
      <w:r w:rsidRPr="001C3EDC">
        <w:rPr>
          <w:b w:val="0"/>
          <w:bCs/>
        </w:rPr>
        <w:t>Impacto do aumento de alíquotas de ICMS de acordo com a sensibilidade da demanda pelo produto</w:t>
      </w:r>
      <w:bookmarkEnd w:id="17"/>
    </w:p>
    <w:p w14:paraId="459558BE" w14:textId="1471E4C1" w:rsidR="00C854B3" w:rsidRPr="00BD0223" w:rsidRDefault="00C854B3" w:rsidP="00C117F2">
      <w:pPr>
        <w:pStyle w:val="TNORMAL"/>
      </w:pPr>
      <w:r w:rsidRPr="00BD0223">
        <w:t xml:space="preserve">Como foi apontado nas seções anteriores a </w:t>
      </w:r>
      <w:r w:rsidR="00DA2550" w:rsidRPr="00BD0223">
        <w:t>arrecadação</w:t>
      </w:r>
      <w:r w:rsidRPr="00BD0223">
        <w:t xml:space="preserve"> do estado de Minas Gerais só não sofreu com uma queda maior de receita durante a crise de 2014/2016 devido ao aumento de alíquotas de ICMS em determinados produtos. O setor de combustíveis é o que contribui historicamente por maior parte da arrecadação dos estados seguido do</w:t>
      </w:r>
      <w:r w:rsidR="000B5BEB" w:rsidRPr="00BD0223">
        <w:t>s</w:t>
      </w:r>
      <w:r w:rsidRPr="00BD0223">
        <w:t xml:space="preserve"> setor</w:t>
      </w:r>
      <w:r w:rsidR="000B5BEB" w:rsidRPr="00BD0223">
        <w:t>es</w:t>
      </w:r>
      <w:r w:rsidRPr="00BD0223">
        <w:t xml:space="preserve"> de energia elé</w:t>
      </w:r>
      <w:r w:rsidR="002E1C68" w:rsidRPr="00BD0223">
        <w:t>trica</w:t>
      </w:r>
      <w:r w:rsidR="000B5BEB" w:rsidRPr="00BD0223">
        <w:t>,</w:t>
      </w:r>
      <w:r w:rsidR="002E1C68" w:rsidRPr="00BD0223">
        <w:t xml:space="preserve"> telecomunicações e bebidas. Produtos com </w:t>
      </w:r>
      <w:r w:rsidR="002E1C68" w:rsidRPr="008841D4">
        <w:t>baixa elasticidade preço demanda</w:t>
      </w:r>
      <w:r w:rsidR="008841D4" w:rsidRPr="008841D4">
        <w:t>, os quais o consumo responde pouco as oscilações dos preços,</w:t>
      </w:r>
      <w:r w:rsidR="002E1C68" w:rsidRPr="0005331A">
        <w:rPr>
          <w:color w:val="FF0000"/>
        </w:rPr>
        <w:t xml:space="preserve"> </w:t>
      </w:r>
      <w:r w:rsidR="002E1C68" w:rsidRPr="00BD0223">
        <w:t xml:space="preserve">foram os principais alvos dos aumentos de alíquotas devido </w:t>
      </w:r>
      <w:r w:rsidR="000B5BEB" w:rsidRPr="00BD0223">
        <w:t>à</w:t>
      </w:r>
      <w:r w:rsidR="002E1C68" w:rsidRPr="00BD0223">
        <w:t xml:space="preserve"> baixa sensibilidade de reação do consumidor aos aumentos nos preços de curto prazo. As alíquotas de ICMS de bens de luxo também tiveram seus valores alterados para combater a queda de arrecadação.</w:t>
      </w:r>
    </w:p>
    <w:p w14:paraId="02334681" w14:textId="0745B49C" w:rsidR="00816E33" w:rsidRPr="0005331A" w:rsidRDefault="00816E33" w:rsidP="00C117F2">
      <w:pPr>
        <w:pStyle w:val="TNORMAL"/>
        <w:rPr>
          <w:color w:val="FF0000"/>
        </w:rPr>
      </w:pPr>
      <w:r w:rsidRPr="00BD0223">
        <w:t>O ICMS é um imposto que está diretamente relacionado com a atividade econômica, diferentemente de impostos sobre patrimônio e sobre serviços que</w:t>
      </w:r>
      <w:r w:rsidR="009F6E7F" w:rsidRPr="00BD0223">
        <w:t>,</w:t>
      </w:r>
      <w:r w:rsidRPr="00BD0223">
        <w:t xml:space="preserve"> apesar de também serem influenciados pela situação da economia</w:t>
      </w:r>
      <w:r w:rsidR="009F6E7F" w:rsidRPr="00BD0223">
        <w:t>,</w:t>
      </w:r>
      <w:r w:rsidRPr="00BD0223">
        <w:t xml:space="preserve"> demoram mais a responder </w:t>
      </w:r>
      <w:r w:rsidR="000B5BEB" w:rsidRPr="00BD0223">
        <w:t>à</w:t>
      </w:r>
      <w:r w:rsidRPr="00BD0223">
        <w:t xml:space="preserve">s oscilações cíclicas. Com a crise de 2014-2016 a receita de ICMS </w:t>
      </w:r>
      <w:r w:rsidR="003A0290" w:rsidRPr="00BD0223">
        <w:t>cai</w:t>
      </w:r>
      <w:r w:rsidR="00343FD5" w:rsidRPr="00BD0223">
        <w:t>u</w:t>
      </w:r>
      <w:r w:rsidR="003A0290" w:rsidRPr="00BD0223">
        <w:t xml:space="preserve"> significativamente em 2015, voltando a crescer nos anos posteriores devido a</w:t>
      </w:r>
      <w:r w:rsidR="000B5BEB" w:rsidRPr="00BD0223">
        <w:t xml:space="preserve"> lenta</w:t>
      </w:r>
      <w:r w:rsidR="003A0290" w:rsidRPr="00BD0223">
        <w:t xml:space="preserve"> recuperação da economia e impulsiona</w:t>
      </w:r>
      <w:r w:rsidR="0076781F" w:rsidRPr="00BD0223">
        <w:t>da</w:t>
      </w:r>
      <w:r w:rsidR="003A0290" w:rsidRPr="00BD0223">
        <w:t xml:space="preserve"> pelos aumentos de alíquotas em produtos e serviços com baixa elasticidade preço demanda</w:t>
      </w:r>
      <w:r w:rsidR="005B22AC" w:rsidRPr="00BD0223">
        <w:t>,</w:t>
      </w:r>
      <w:r w:rsidR="003A0290" w:rsidRPr="00BD0223">
        <w:t xml:space="preserve"> como se verá mais adiante especificamente no caso da tributação sobre combustíveis</w:t>
      </w:r>
      <w:r w:rsidR="005B22AC" w:rsidRPr="00BD0223">
        <w:t xml:space="preserve"> e</w:t>
      </w:r>
      <w:r w:rsidR="003A0290" w:rsidRPr="00BD0223">
        <w:t xml:space="preserve"> sobre a energia elétrica. A recuperação de setores relacionados a serviços, comércio e indústria em geral também contribu</w:t>
      </w:r>
      <w:r w:rsidR="000B5BEB" w:rsidRPr="00BD0223">
        <w:t>iu</w:t>
      </w:r>
      <w:r w:rsidR="003A0290" w:rsidRPr="00BD0223">
        <w:t xml:space="preserve"> para a volta do crescimento na arrecadação</w:t>
      </w:r>
      <w:r w:rsidR="00343FD5" w:rsidRPr="00BD0223">
        <w:t>,</w:t>
      </w:r>
      <w:r w:rsidR="003A0290" w:rsidRPr="00BD0223">
        <w:t xml:space="preserve"> visto que os mesmos são extremamente sensíveis a</w:t>
      </w:r>
      <w:r w:rsidR="005B22AC" w:rsidRPr="00BD0223">
        <w:t xml:space="preserve"> situação </w:t>
      </w:r>
      <w:r w:rsidR="0005331A" w:rsidRPr="008841D4">
        <w:t>econômica geral.</w:t>
      </w:r>
    </w:p>
    <w:p w14:paraId="7E6BFAC2" w14:textId="4E551E1A" w:rsidR="00C117F2" w:rsidRPr="00BD0223" w:rsidRDefault="00336D5F" w:rsidP="008841D4">
      <w:pPr>
        <w:pStyle w:val="Tfigura-titulo"/>
        <w:jc w:val="both"/>
      </w:pPr>
      <w:bookmarkStart w:id="18" w:name="_Toc55329399"/>
      <w:r w:rsidRPr="00BD0223">
        <w:lastRenderedPageBreak/>
        <w:t xml:space="preserve">Gráfico </w:t>
      </w:r>
      <w:r w:rsidRPr="00BD0223">
        <w:fldChar w:fldCharType="begin"/>
      </w:r>
      <w:r w:rsidRPr="00BD0223">
        <w:instrText xml:space="preserve"> SEQ Gráfico \* ARABIC </w:instrText>
      </w:r>
      <w:r w:rsidRPr="00BD0223">
        <w:fldChar w:fldCharType="separate"/>
      </w:r>
      <w:r w:rsidR="009A5BEE">
        <w:rPr>
          <w:noProof/>
        </w:rPr>
        <w:t>4</w:t>
      </w:r>
      <w:r w:rsidRPr="00BD0223">
        <w:fldChar w:fldCharType="end"/>
      </w:r>
      <w:r w:rsidRPr="00BD0223">
        <w:t xml:space="preserve"> ― </w:t>
      </w:r>
      <w:r w:rsidR="00C117F2" w:rsidRPr="00BD0223">
        <w:t>Evolução da arrecadação total de ICMS de 2010 a 2018 a preços de 2010</w:t>
      </w:r>
      <w:r w:rsidR="006D0261">
        <w:t xml:space="preserve">       </w:t>
      </w:r>
      <w:r w:rsidR="00C117F2" w:rsidRPr="00BD0223">
        <w:t>(em bilhões de R$)</w:t>
      </w:r>
      <w:bookmarkEnd w:id="18"/>
    </w:p>
    <w:p w14:paraId="5686A982" w14:textId="22BA568E" w:rsidR="003A0290" w:rsidRPr="00BD0223" w:rsidRDefault="00005F94" w:rsidP="00336D5F">
      <w:pPr>
        <w:pStyle w:val="Tfigura-figura"/>
        <w:rPr>
          <w:rFonts w:cs="Times New Roman"/>
          <w:sz w:val="28"/>
          <w:szCs w:val="28"/>
        </w:rPr>
      </w:pPr>
      <w:r w:rsidRPr="00BD0223">
        <w:drawing>
          <wp:inline distT="0" distB="0" distL="0" distR="0" wp14:anchorId="4926D4F0" wp14:editId="71C3C510">
            <wp:extent cx="5762625" cy="2971800"/>
            <wp:effectExtent l="0" t="0" r="9525" b="19050"/>
            <wp:docPr id="9" name="Gráfico 9">
              <a:extLst xmlns:a="http://schemas.openxmlformats.org/drawingml/2006/main">
                <a:ext uri="{FF2B5EF4-FFF2-40B4-BE49-F238E27FC236}">
                  <a16:creationId xmlns:a16="http://schemas.microsoft.com/office/drawing/2014/main" id="{D29DA79C-97E4-40DC-9765-48B31B471C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2C6E6DA" w14:textId="72905ABB" w:rsidR="003334E3" w:rsidRDefault="00C117F2" w:rsidP="007C0824">
      <w:pPr>
        <w:pStyle w:val="Ttabela-fonte"/>
      </w:pPr>
      <w:r w:rsidRPr="00BD0223">
        <w:t>Fonte: Secretaria de Fazenda do Estado de Minas Gerias, Elaboração Própria</w:t>
      </w:r>
    </w:p>
    <w:p w14:paraId="08DDFEC0" w14:textId="77777777" w:rsidR="00374C86" w:rsidRDefault="00374C86" w:rsidP="00C117F2">
      <w:pPr>
        <w:pStyle w:val="TNORMAL"/>
        <w:rPr>
          <w:szCs w:val="24"/>
        </w:rPr>
      </w:pPr>
    </w:p>
    <w:p w14:paraId="158B8ED4" w14:textId="7EEA9834" w:rsidR="00C117F2" w:rsidRPr="00BD0223" w:rsidRDefault="00816E33" w:rsidP="00C117F2">
      <w:pPr>
        <w:pStyle w:val="TNORMAL"/>
        <w:rPr>
          <w:szCs w:val="24"/>
        </w:rPr>
      </w:pPr>
      <w:r w:rsidRPr="00BD0223">
        <w:rPr>
          <w:szCs w:val="24"/>
        </w:rPr>
        <w:t>De acordo com o critério de Ramsey (</w:t>
      </w:r>
      <w:r w:rsidR="008841D4">
        <w:rPr>
          <w:szCs w:val="24"/>
        </w:rPr>
        <w:t xml:space="preserve">BIDERMAN e </w:t>
      </w:r>
      <w:r w:rsidRPr="00BD0223">
        <w:rPr>
          <w:szCs w:val="24"/>
        </w:rPr>
        <w:t>AVARTE, 2004) um sistema de alíquotas ótimo é conquistado quando a queda na demanda resultante do imposto sobre o consumo é proporcionalmente a mesma para todos os produtos, o que resulta na menor perda de eficiência possível para a economia. No entanto tal afirmação implica em um sistema tributário regressivo, já que bens com elasticidade preço da demanda baixa</w:t>
      </w:r>
      <w:r w:rsidR="00B00E99" w:rsidRPr="00BD0223">
        <w:rPr>
          <w:szCs w:val="24"/>
        </w:rPr>
        <w:t xml:space="preserve">; </w:t>
      </w:r>
      <w:r w:rsidRPr="00BD0223">
        <w:rPr>
          <w:szCs w:val="24"/>
        </w:rPr>
        <w:t>inelásticos</w:t>
      </w:r>
      <w:r w:rsidR="00B00E99" w:rsidRPr="00BD0223">
        <w:rPr>
          <w:szCs w:val="24"/>
        </w:rPr>
        <w:t>,</w:t>
      </w:r>
      <w:r w:rsidRPr="00BD0223">
        <w:rPr>
          <w:szCs w:val="24"/>
        </w:rPr>
        <w:t xml:space="preserve"> nesse contexto seriam mais tributados, sendo </w:t>
      </w:r>
      <w:r w:rsidR="00FB05D3" w:rsidRPr="00BD0223">
        <w:rPr>
          <w:szCs w:val="24"/>
        </w:rPr>
        <w:t>esses produtos</w:t>
      </w:r>
      <w:r w:rsidR="008D5C8E" w:rsidRPr="00BD0223">
        <w:rPr>
          <w:szCs w:val="24"/>
        </w:rPr>
        <w:t xml:space="preserve"> </w:t>
      </w:r>
      <w:r w:rsidRPr="00BD0223">
        <w:rPr>
          <w:szCs w:val="24"/>
        </w:rPr>
        <w:t>mais significativos nas cestas de consumo das famílias de mais baixa renda, enquanto bens de luxo seriam menos tributados devido aos mesmos possuírem elasticidades preços da demanda elásticas.</w:t>
      </w:r>
    </w:p>
    <w:p w14:paraId="3D075311" w14:textId="07F018A9" w:rsidR="00005F94" w:rsidRPr="00BD0223" w:rsidRDefault="00816E33" w:rsidP="00C117F2">
      <w:pPr>
        <w:pStyle w:val="TNORMAL"/>
        <w:rPr>
          <w:szCs w:val="24"/>
        </w:rPr>
      </w:pPr>
      <w:r w:rsidRPr="00BD0223">
        <w:rPr>
          <w:szCs w:val="24"/>
        </w:rPr>
        <w:t>Os estudos relacionados a teoria da tributação ótima ainda possuem a contribuição da regra de Diamond e Mirrlees</w:t>
      </w:r>
      <w:r w:rsidR="008D5C8E" w:rsidRPr="00BD0223">
        <w:rPr>
          <w:szCs w:val="24"/>
        </w:rPr>
        <w:t>, a qual</w:t>
      </w:r>
      <w:r w:rsidRPr="00BD0223">
        <w:rPr>
          <w:szCs w:val="24"/>
        </w:rPr>
        <w:t xml:space="preserve"> pressupõe que toda sociedade no momento que decide como tributará o consumo possui um</w:t>
      </w:r>
      <w:r w:rsidR="008D5C8E" w:rsidRPr="00BD0223">
        <w:rPr>
          <w:szCs w:val="24"/>
        </w:rPr>
        <w:t xml:space="preserve"> certo</w:t>
      </w:r>
      <w:r w:rsidRPr="00BD0223">
        <w:rPr>
          <w:szCs w:val="24"/>
        </w:rPr>
        <w:t xml:space="preserve"> grau de aversão a desigualdade. Não será objeto desse trabalho aplicar a teoria da tributação ótima para o caso do ICMS de Minas Gerais, até porque a evidência empírica recente tem mostrado que impostos do tipo IVA uniformes em todos os produtos ou em grupos de produtos possuem menos efeitos de distorção do ambiente econômico, porém a afirmação de que produtos que possuem demanda</w:t>
      </w:r>
      <w:r w:rsidR="000D2E96" w:rsidRPr="00BD0223">
        <w:rPr>
          <w:szCs w:val="24"/>
        </w:rPr>
        <w:t>s</w:t>
      </w:r>
      <w:r w:rsidRPr="00BD0223">
        <w:rPr>
          <w:szCs w:val="24"/>
        </w:rPr>
        <w:t xml:space="preserve"> inelásticas ou próximas a essa característica quando tributados com alíquotas maiores não sofrem com quedas muito significativas do consumo está correta.</w:t>
      </w:r>
    </w:p>
    <w:p w14:paraId="79AA9054" w14:textId="66F5D433" w:rsidR="003334E3" w:rsidRPr="00BD0223" w:rsidRDefault="00005F94" w:rsidP="007C0824">
      <w:pPr>
        <w:pStyle w:val="TNORMAL"/>
      </w:pPr>
      <w:r w:rsidRPr="00BD0223">
        <w:rPr>
          <w:szCs w:val="24"/>
        </w:rPr>
        <w:lastRenderedPageBreak/>
        <w:t xml:space="preserve">Produtos </w:t>
      </w:r>
      <w:r w:rsidR="008841D4">
        <w:rPr>
          <w:szCs w:val="24"/>
        </w:rPr>
        <w:t xml:space="preserve">que alto potencial de arrecadação, devido </w:t>
      </w:r>
      <w:r w:rsidR="007C0824">
        <w:rPr>
          <w:szCs w:val="24"/>
        </w:rPr>
        <w:t>à</w:t>
      </w:r>
      <w:r w:rsidR="008841D4">
        <w:rPr>
          <w:szCs w:val="24"/>
        </w:rPr>
        <w:t xml:space="preserve"> baixa sensibilidade da demanda em relação aos preços,</w:t>
      </w:r>
      <w:r w:rsidRPr="0005331A">
        <w:rPr>
          <w:color w:val="FF0000"/>
          <w:szCs w:val="24"/>
        </w:rPr>
        <w:t xml:space="preserve"> </w:t>
      </w:r>
      <w:r w:rsidRPr="00BD0223">
        <w:rPr>
          <w:szCs w:val="24"/>
        </w:rPr>
        <w:t>e que em geral possuem baixa elasticidade preço demanda foram os que mais contribuíram para a arrecadação de ICMS do estado de Minas Gerais</w:t>
      </w:r>
      <w:r w:rsidR="008D5C8E" w:rsidRPr="00BD0223">
        <w:rPr>
          <w:szCs w:val="24"/>
        </w:rPr>
        <w:t xml:space="preserve"> durante o período analisado</w:t>
      </w:r>
      <w:r w:rsidR="0038614F" w:rsidRPr="00BD0223">
        <w:rPr>
          <w:szCs w:val="24"/>
        </w:rPr>
        <w:t>.</w:t>
      </w:r>
      <w:r w:rsidRPr="00BD0223">
        <w:rPr>
          <w:szCs w:val="24"/>
        </w:rPr>
        <w:t xml:space="preserve"> </w:t>
      </w:r>
      <w:r w:rsidR="0038614F" w:rsidRPr="00BD0223">
        <w:rPr>
          <w:szCs w:val="24"/>
        </w:rPr>
        <w:t>E</w:t>
      </w:r>
      <w:r w:rsidRPr="00BD0223">
        <w:rPr>
          <w:szCs w:val="24"/>
        </w:rPr>
        <w:t>m 2018</w:t>
      </w:r>
      <w:r w:rsidR="006D0261">
        <w:rPr>
          <w:szCs w:val="24"/>
        </w:rPr>
        <w:t>,</w:t>
      </w:r>
      <w:r w:rsidRPr="00BD0223">
        <w:rPr>
          <w:szCs w:val="24"/>
        </w:rPr>
        <w:t xml:space="preserve"> </w:t>
      </w:r>
      <w:r w:rsidR="006D0261">
        <w:rPr>
          <w:szCs w:val="24"/>
        </w:rPr>
        <w:t xml:space="preserve">a incidência de ICMS sobre </w:t>
      </w:r>
      <w:r w:rsidRPr="00BD0223">
        <w:rPr>
          <w:szCs w:val="24"/>
        </w:rPr>
        <w:t>os setores de telecomunicações,</w:t>
      </w:r>
      <w:r w:rsidRPr="00BD0223">
        <w:t xml:space="preserve"> combustíveis, bebidas e energia elétrica </w:t>
      </w:r>
      <w:r w:rsidR="006D0261">
        <w:t xml:space="preserve">somados </w:t>
      </w:r>
      <w:r w:rsidRPr="00BD0223">
        <w:t>corresponde</w:t>
      </w:r>
      <w:r w:rsidR="006D0261">
        <w:t>u</w:t>
      </w:r>
      <w:r w:rsidRPr="00BD0223">
        <w:t xml:space="preserve"> </w:t>
      </w:r>
      <w:r w:rsidR="0038614F" w:rsidRPr="00BD0223">
        <w:t>a 55%</w:t>
      </w:r>
      <w:r w:rsidRPr="00BD0223">
        <w:t xml:space="preserve"> </w:t>
      </w:r>
      <w:r w:rsidR="006D0261">
        <w:t xml:space="preserve">da sua </w:t>
      </w:r>
      <w:r w:rsidRPr="00BD0223">
        <w:t>arrecadação</w:t>
      </w:r>
      <w:r w:rsidR="0038614F" w:rsidRPr="00BD0223">
        <w:t xml:space="preserve"> total</w:t>
      </w:r>
      <w:r w:rsidR="006D0261">
        <w:t>. T</w:t>
      </w:r>
      <w:r w:rsidR="004E42EF" w:rsidRPr="00BD0223">
        <w:t xml:space="preserve">al contribuição </w:t>
      </w:r>
      <w:r w:rsidR="006D0261">
        <w:t xml:space="preserve">estivera </w:t>
      </w:r>
      <w:r w:rsidR="0038614F" w:rsidRPr="00BD0223">
        <w:t>no ano de 2010 em 52% e no ano de 2013 chegou a ser menos de 50%</w:t>
      </w:r>
      <w:r w:rsidRPr="00BD0223">
        <w:t>. Há de se ressaltar que nos dados disponibilizados pela Secretaria da Fazenda do Estado de Minas Gerais não se considera os subgrupos separados</w:t>
      </w:r>
      <w:r w:rsidR="009F6E7F" w:rsidRPr="00BD0223">
        <w:t>,</w:t>
      </w:r>
      <w:r w:rsidRPr="00BD0223">
        <w:t xml:space="preserve"> sendo que dentro dessas rubricas há produtos com baixa</w:t>
      </w:r>
      <w:r w:rsidR="004E42EF" w:rsidRPr="00BD0223">
        <w:t>s e</w:t>
      </w:r>
      <w:r w:rsidRPr="00BD0223">
        <w:t xml:space="preserve"> elevada</w:t>
      </w:r>
      <w:r w:rsidR="004E42EF" w:rsidRPr="00BD0223">
        <w:t>s</w:t>
      </w:r>
      <w:r w:rsidRPr="00BD0223">
        <w:t xml:space="preserve"> elasticidade</w:t>
      </w:r>
      <w:r w:rsidR="004E42EF" w:rsidRPr="00BD0223">
        <w:t>s</w:t>
      </w:r>
      <w:r w:rsidRPr="00BD0223">
        <w:t xml:space="preserve"> preço demanda, os quais possuem demanda que responde diferente em cada situação.</w:t>
      </w:r>
    </w:p>
    <w:p w14:paraId="7A33FF73" w14:textId="4B16E633" w:rsidR="00C117F2" w:rsidRPr="008841D4" w:rsidRDefault="00336D5F" w:rsidP="008841D4">
      <w:pPr>
        <w:pStyle w:val="Tfigura-titulo"/>
        <w:jc w:val="both"/>
      </w:pPr>
      <w:bookmarkStart w:id="19" w:name="_Toc55329400"/>
      <w:r w:rsidRPr="008841D4">
        <w:t xml:space="preserve">Gráfico </w:t>
      </w:r>
      <w:r w:rsidRPr="008841D4">
        <w:fldChar w:fldCharType="begin"/>
      </w:r>
      <w:r w:rsidRPr="008841D4">
        <w:instrText xml:space="preserve"> SEQ Gráfico \* ARABIC </w:instrText>
      </w:r>
      <w:r w:rsidRPr="008841D4">
        <w:fldChar w:fldCharType="separate"/>
      </w:r>
      <w:r w:rsidR="009A5BEE">
        <w:rPr>
          <w:noProof/>
        </w:rPr>
        <w:t>5</w:t>
      </w:r>
      <w:r w:rsidRPr="008841D4">
        <w:fldChar w:fldCharType="end"/>
      </w:r>
      <w:r w:rsidRPr="008841D4">
        <w:t xml:space="preserve"> ― </w:t>
      </w:r>
      <w:r w:rsidR="00C117F2" w:rsidRPr="008841D4">
        <w:t>Evolução da arrecadação de ICMS sobre combustíveis, energia elétrica, serviços de telecomunicação e setor de bebidas como proporção da arrecadação total de ICMS no período 2010-2018</w:t>
      </w:r>
      <w:bookmarkEnd w:id="19"/>
    </w:p>
    <w:p w14:paraId="5864C720" w14:textId="70BEA96A" w:rsidR="008D5C8E" w:rsidRPr="00BD0223" w:rsidRDefault="008D5C8E" w:rsidP="00336D5F">
      <w:pPr>
        <w:pStyle w:val="Tfigura-figura"/>
        <w:rPr>
          <w:rFonts w:cs="Times New Roman"/>
          <w:sz w:val="28"/>
          <w:szCs w:val="28"/>
        </w:rPr>
      </w:pPr>
      <w:r w:rsidRPr="00BD0223">
        <w:drawing>
          <wp:inline distT="0" distB="0" distL="0" distR="0" wp14:anchorId="6EC61321" wp14:editId="7792587A">
            <wp:extent cx="5762625" cy="2876550"/>
            <wp:effectExtent l="0" t="0" r="9525" b="19050"/>
            <wp:docPr id="24" name="Gráfico 24">
              <a:extLst xmlns:a="http://schemas.openxmlformats.org/drawingml/2006/main">
                <a:ext uri="{FF2B5EF4-FFF2-40B4-BE49-F238E27FC236}">
                  <a16:creationId xmlns:a16="http://schemas.microsoft.com/office/drawing/2014/main" id="{F7EFF89D-90F8-401C-8B1C-3A745A9683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F0D2D4" w14:textId="77777777" w:rsidR="00C117F2" w:rsidRPr="00BD0223" w:rsidRDefault="00C117F2" w:rsidP="00336D5F">
      <w:pPr>
        <w:pStyle w:val="Ttabela-fonte"/>
      </w:pPr>
      <w:r w:rsidRPr="00BD0223">
        <w:t>Fonte Secretaria de Fazenda do Estado de Minas Gerias, Elaboração Própria</w:t>
      </w:r>
    </w:p>
    <w:p w14:paraId="30AF1979" w14:textId="11E1211D" w:rsidR="00C117F2" w:rsidRPr="00BD0223" w:rsidRDefault="00336D5F" w:rsidP="008841D4">
      <w:pPr>
        <w:pStyle w:val="Tfigura-titulo"/>
        <w:jc w:val="both"/>
      </w:pPr>
      <w:bookmarkStart w:id="20" w:name="_Toc55329401"/>
      <w:r w:rsidRPr="00BD0223">
        <w:lastRenderedPageBreak/>
        <w:t xml:space="preserve">Gráfico </w:t>
      </w:r>
      <w:r w:rsidRPr="00BD0223">
        <w:fldChar w:fldCharType="begin"/>
      </w:r>
      <w:r w:rsidRPr="00BD0223">
        <w:instrText xml:space="preserve"> SEQ Gráfico \* ARABIC </w:instrText>
      </w:r>
      <w:r w:rsidRPr="00BD0223">
        <w:fldChar w:fldCharType="separate"/>
      </w:r>
      <w:r w:rsidR="009A5BEE">
        <w:rPr>
          <w:noProof/>
        </w:rPr>
        <w:t>6</w:t>
      </w:r>
      <w:r w:rsidRPr="00BD0223">
        <w:fldChar w:fldCharType="end"/>
      </w:r>
      <w:r w:rsidRPr="00BD0223">
        <w:t xml:space="preserve"> ― </w:t>
      </w:r>
      <w:r w:rsidR="00C117F2" w:rsidRPr="00BD0223">
        <w:t>Participação relativa de cada produto na arrecadação de ICMS do estado de Minas Gerais em 2018</w:t>
      </w:r>
      <w:bookmarkEnd w:id="20"/>
    </w:p>
    <w:p w14:paraId="43DCB00F" w14:textId="5E9B15A5" w:rsidR="0038614F" w:rsidRPr="00BD0223" w:rsidRDefault="0038614F" w:rsidP="00336D5F">
      <w:pPr>
        <w:pStyle w:val="Tfigura-figura"/>
        <w:rPr>
          <w:rFonts w:cs="Times New Roman"/>
        </w:rPr>
      </w:pPr>
      <w:r w:rsidRPr="00BD0223">
        <w:drawing>
          <wp:inline distT="0" distB="0" distL="0" distR="0" wp14:anchorId="40DF88F0" wp14:editId="156FCD52">
            <wp:extent cx="5791200" cy="2676525"/>
            <wp:effectExtent l="0" t="0" r="19050" b="9525"/>
            <wp:docPr id="5" name="Gráfico 5">
              <a:extLst xmlns:a="http://schemas.openxmlformats.org/drawingml/2006/main">
                <a:ext uri="{FF2B5EF4-FFF2-40B4-BE49-F238E27FC236}">
                  <a16:creationId xmlns:a16="http://schemas.microsoft.com/office/drawing/2014/main" id="{DA0D08DE-38E7-4320-BAFE-AE36CE58B1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490347" w14:textId="27CF51DB" w:rsidR="003334E3" w:rsidRDefault="00C117F2" w:rsidP="007C0824">
      <w:pPr>
        <w:pStyle w:val="Ttabela-fonte"/>
      </w:pPr>
      <w:r w:rsidRPr="00BD0223">
        <w:t>Fonte: Secretaria de Fazenda do Estado de Minas Gerias, Elaboração Própria</w:t>
      </w:r>
    </w:p>
    <w:p w14:paraId="57840298" w14:textId="77777777" w:rsidR="008E5F6A" w:rsidRPr="008E5F6A" w:rsidRDefault="008E5F6A" w:rsidP="008E5F6A">
      <w:pPr>
        <w:pStyle w:val="TNORMAL"/>
        <w:rPr>
          <w:lang w:val="pt-BR" w:eastAsia="pt-PT"/>
        </w:rPr>
      </w:pPr>
    </w:p>
    <w:p w14:paraId="26D269C2" w14:textId="4019AAB1" w:rsidR="00AE2D84" w:rsidRPr="001C3EDC" w:rsidRDefault="00667830" w:rsidP="00C117F2">
      <w:pPr>
        <w:pStyle w:val="TIT3"/>
        <w:rPr>
          <w:b w:val="0"/>
          <w:bCs/>
        </w:rPr>
      </w:pPr>
      <w:bookmarkStart w:id="21" w:name="_Toc55329619"/>
      <w:r w:rsidRPr="001C3EDC">
        <w:rPr>
          <w:b w:val="0"/>
          <w:bCs/>
        </w:rPr>
        <w:t>Energia Elétrica</w:t>
      </w:r>
      <w:bookmarkEnd w:id="21"/>
    </w:p>
    <w:p w14:paraId="01540199" w14:textId="5E512464" w:rsidR="00FB14A2" w:rsidRPr="00BD0223" w:rsidRDefault="00667830" w:rsidP="00C117F2">
      <w:pPr>
        <w:pStyle w:val="TNORMAL"/>
      </w:pPr>
      <w:r w:rsidRPr="00BD0223">
        <w:t xml:space="preserve">A demanda </w:t>
      </w:r>
      <w:r w:rsidR="006D0261">
        <w:t xml:space="preserve">total </w:t>
      </w:r>
      <w:r w:rsidRPr="00BD0223">
        <w:t>por energia elétrica</w:t>
      </w:r>
      <w:r w:rsidR="006D0261">
        <w:t xml:space="preserve">, </w:t>
      </w:r>
      <w:r w:rsidRPr="00BD0223">
        <w:t>de acordo com a literatura sobre o tema</w:t>
      </w:r>
      <w:r w:rsidR="006D0261">
        <w:t xml:space="preserve">, decompõe-se por </w:t>
      </w:r>
      <w:r w:rsidR="00B7491D" w:rsidRPr="00BD0223">
        <w:t>classe de consumidor</w:t>
      </w:r>
      <w:r w:rsidR="006D0261">
        <w:t>;</w:t>
      </w:r>
      <w:r w:rsidR="00B7491D" w:rsidRPr="00BD0223">
        <w:t xml:space="preserve"> a qual pode ser</w:t>
      </w:r>
      <w:r w:rsidRPr="00BD0223">
        <w:t xml:space="preserve">: residencial, comercial </w:t>
      </w:r>
      <w:r w:rsidR="00B7491D" w:rsidRPr="00BD0223">
        <w:t>ou</w:t>
      </w:r>
      <w:r w:rsidRPr="00BD0223">
        <w:t xml:space="preserve"> industrial. </w:t>
      </w:r>
      <w:r w:rsidR="002048AB" w:rsidRPr="00BD0223">
        <w:t xml:space="preserve">Um estudo de </w:t>
      </w:r>
      <w:r w:rsidR="007C0824">
        <w:t>(</w:t>
      </w:r>
      <w:r w:rsidR="00336D5F" w:rsidRPr="00BD0223">
        <w:t>S</w:t>
      </w:r>
      <w:r w:rsidR="007C0824">
        <w:t xml:space="preserve">HIMIT E LIMA, </w:t>
      </w:r>
      <w:r w:rsidR="002048AB" w:rsidRPr="00BD0223">
        <w:t>2004) através de métodos econométricos deduziu os valores da elasticidade preço da demanda de energia elétrica para os três setores</w:t>
      </w:r>
      <w:r w:rsidR="00610837" w:rsidRPr="00BD0223">
        <w:t>,</w:t>
      </w:r>
      <w:r w:rsidR="002048AB" w:rsidRPr="00BD0223">
        <w:t xml:space="preserve"> os quais apresentaram os seguintes </w:t>
      </w:r>
      <w:r w:rsidR="0038614F" w:rsidRPr="00BD0223">
        <w:t>resultados</w:t>
      </w:r>
      <w:r w:rsidR="002048AB" w:rsidRPr="00BD0223">
        <w:t>: setor residencial</w:t>
      </w:r>
      <w:r w:rsidR="006D0261">
        <w:t xml:space="preserve"> (</w:t>
      </w:r>
      <w:r w:rsidR="002048AB" w:rsidRPr="00BD0223">
        <w:t>-0,085</w:t>
      </w:r>
      <w:r w:rsidR="006D0261">
        <w:t>)</w:t>
      </w:r>
      <w:r w:rsidR="002048AB" w:rsidRPr="00BD0223">
        <w:t>, comercial</w:t>
      </w:r>
      <w:r w:rsidR="006D0261">
        <w:t xml:space="preserve"> (</w:t>
      </w:r>
      <w:r w:rsidR="002048AB" w:rsidRPr="00BD0223">
        <w:t>-0,174</w:t>
      </w:r>
      <w:r w:rsidR="006D0261">
        <w:t xml:space="preserve">) e </w:t>
      </w:r>
      <w:r w:rsidR="002048AB" w:rsidRPr="00BD0223">
        <w:t>industrial</w:t>
      </w:r>
      <w:r w:rsidR="006D0261">
        <w:t xml:space="preserve"> (</w:t>
      </w:r>
      <w:r w:rsidR="00B7491D" w:rsidRPr="00BD0223">
        <w:t>-</w:t>
      </w:r>
      <w:r w:rsidR="002048AB" w:rsidRPr="00BD0223">
        <w:t>0,545</w:t>
      </w:r>
      <w:r w:rsidR="006D0261">
        <w:t>)</w:t>
      </w:r>
      <w:r w:rsidR="002048AB" w:rsidRPr="00BD0223">
        <w:t>.</w:t>
      </w:r>
      <w:r w:rsidR="00B7491D" w:rsidRPr="00BD0223">
        <w:t xml:space="preserve"> </w:t>
      </w:r>
      <w:r w:rsidR="00FB14A2" w:rsidRPr="00BD0223">
        <w:t xml:space="preserve">O trabalho de </w:t>
      </w:r>
      <w:r w:rsidR="007C0824">
        <w:t>(</w:t>
      </w:r>
      <w:r w:rsidR="007C0824" w:rsidRPr="00BD0223">
        <w:t>S</w:t>
      </w:r>
      <w:r w:rsidR="007C0824">
        <w:t xml:space="preserve">HIMIT E LIMA, </w:t>
      </w:r>
      <w:r w:rsidR="007C0824" w:rsidRPr="00BD0223">
        <w:t>2004)</w:t>
      </w:r>
      <w:r w:rsidR="00FB14A2" w:rsidRPr="00BD0223">
        <w:t xml:space="preserve"> também estima os valores referentes as elasticidades renda da demanda de energia elétrica, chegando </w:t>
      </w:r>
      <w:r w:rsidR="0038614F" w:rsidRPr="00BD0223">
        <w:t>a resultados proporcionalmente</w:t>
      </w:r>
      <w:r w:rsidR="00610837" w:rsidRPr="00BD0223">
        <w:t xml:space="preserve"> semelhantes</w:t>
      </w:r>
      <w:r w:rsidR="0038614F" w:rsidRPr="00BD0223">
        <w:t xml:space="preserve"> </w:t>
      </w:r>
      <w:r w:rsidR="00610837" w:rsidRPr="00BD0223">
        <w:t>em magnitude quando comparados as elasticidades preço da demanda</w:t>
      </w:r>
      <w:r w:rsidR="00FB14A2" w:rsidRPr="00BD0223">
        <w:t xml:space="preserve">: 0,539 para as residências, 0,636 para os comércios e prestadores de serviços, 1,916 para as indústrias. </w:t>
      </w:r>
      <w:r w:rsidR="00B7491D" w:rsidRPr="00BD0223">
        <w:t>Em Minas Gerais</w:t>
      </w:r>
      <w:r w:rsidR="006D0261">
        <w:t xml:space="preserve">, </w:t>
      </w:r>
      <w:r w:rsidR="00B7491D" w:rsidRPr="00BD0223">
        <w:t xml:space="preserve">atualmente as alíquotas de ICMS sobre a energia elétrica </w:t>
      </w:r>
      <w:r w:rsidR="00FB14A2" w:rsidRPr="00BD0223">
        <w:t>estão relacionadas inversamente</w:t>
      </w:r>
      <w:r w:rsidR="00B7491D" w:rsidRPr="00BD0223">
        <w:t xml:space="preserve"> </w:t>
      </w:r>
      <w:r w:rsidR="006D0261">
        <w:t>à</w:t>
      </w:r>
      <w:r w:rsidR="00B7491D" w:rsidRPr="00BD0223">
        <w:t xml:space="preserve"> elasticidade preço da demanda</w:t>
      </w:r>
      <w:r w:rsidR="00FB14A2" w:rsidRPr="00BD0223">
        <w:t xml:space="preserve"> e da renda</w:t>
      </w:r>
      <w:r w:rsidR="00B7491D" w:rsidRPr="00BD0223">
        <w:t xml:space="preserve"> dos subsetores</w:t>
      </w:r>
      <w:r w:rsidR="00FB14A2" w:rsidRPr="00BD0223">
        <w:t xml:space="preserve">, apresentando os seguintes valores: 30% para consumidores residenciais; embora haja isenção de ICMS para consumidores de baixa renda, </w:t>
      </w:r>
      <w:r w:rsidR="00FB14A2" w:rsidRPr="008841D4">
        <w:t>25% para o setor comercial e 18% para o setor industrial.</w:t>
      </w:r>
    </w:p>
    <w:p w14:paraId="0E4A991C" w14:textId="69EDEB24" w:rsidR="003334E3" w:rsidRPr="00BD0223" w:rsidRDefault="00FB14A2" w:rsidP="007C0824">
      <w:pPr>
        <w:pStyle w:val="TNORMAL"/>
      </w:pPr>
      <w:r w:rsidRPr="00BD0223">
        <w:t>A arrecadação de ICMS do setor de energia elétrica é a segunda maior do estado de Minas Gerais e apresentou crescimento durante o período 2014-2016</w:t>
      </w:r>
      <w:r w:rsidR="00533D42" w:rsidRPr="00BD0223">
        <w:t>,</w:t>
      </w:r>
      <w:r w:rsidRPr="00BD0223">
        <w:t xml:space="preserve"> embora tenha sofrido </w:t>
      </w:r>
      <w:r w:rsidRPr="00BD0223">
        <w:lastRenderedPageBreak/>
        <w:t xml:space="preserve">uma queda em 2013 como resultado da </w:t>
      </w:r>
      <w:r w:rsidR="00533D42" w:rsidRPr="00BD0223">
        <w:t>política</w:t>
      </w:r>
      <w:r w:rsidR="000B5BEB" w:rsidRPr="00BD0223">
        <w:t xml:space="preserve"> do governo federal</w:t>
      </w:r>
      <w:r w:rsidR="00533D42" w:rsidRPr="00BD0223">
        <w:t xml:space="preserve"> relacionada </w:t>
      </w:r>
      <w:r w:rsidR="000B5BEB" w:rsidRPr="00BD0223">
        <w:t>ao controle</w:t>
      </w:r>
      <w:r w:rsidR="00533D42" w:rsidRPr="00BD0223">
        <w:t xml:space="preserve"> dos preços</w:t>
      </w:r>
      <w:r w:rsidR="003C526A" w:rsidRPr="00BD0223">
        <w:t xml:space="preserve"> </w:t>
      </w:r>
      <w:r w:rsidR="00533D42" w:rsidRPr="00BD0223">
        <w:t>administrados. Contribu</w:t>
      </w:r>
      <w:r w:rsidR="003C526A" w:rsidRPr="00BD0223">
        <w:t>iu</w:t>
      </w:r>
      <w:r w:rsidR="00533D42" w:rsidRPr="00BD0223">
        <w:t xml:space="preserve"> para essa trajetória as características inelásticas relacionadas a demanda por energia elétrica de diversos setores, inclusive o comercial o qual teve sua alíquota aumentada de 18% para 25%</w:t>
      </w:r>
      <w:r w:rsidR="00610837" w:rsidRPr="00BD0223">
        <w:t xml:space="preserve"> em 2015</w:t>
      </w:r>
      <w:r w:rsidR="000B5BEB" w:rsidRPr="00BD0223">
        <w:t>.</w:t>
      </w:r>
    </w:p>
    <w:p w14:paraId="343CDE84" w14:textId="126E5BD4" w:rsidR="00C117F2" w:rsidRPr="00BD0223" w:rsidRDefault="00142B6E" w:rsidP="007A55C5">
      <w:pPr>
        <w:pStyle w:val="Tfigura-titulo"/>
        <w:jc w:val="both"/>
      </w:pPr>
      <w:bookmarkStart w:id="22" w:name="_Toc55329402"/>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7</w:t>
      </w:r>
      <w:r w:rsidRPr="00BD0223">
        <w:fldChar w:fldCharType="end"/>
      </w:r>
      <w:r w:rsidRPr="00BD0223">
        <w:t xml:space="preserve"> ― </w:t>
      </w:r>
      <w:r w:rsidR="00C117F2" w:rsidRPr="00BD0223">
        <w:t>Evolução da arrecadação de ICMS sobre a energia elétrica de 2010 a 2018 com valores deflacionados a preços de 2010 (em bilhões de R$)</w:t>
      </w:r>
      <w:bookmarkEnd w:id="22"/>
    </w:p>
    <w:p w14:paraId="24C3C4A9" w14:textId="6762A39C" w:rsidR="003334E3" w:rsidRDefault="009F6E7F" w:rsidP="007C0824">
      <w:pPr>
        <w:pStyle w:val="Ttabela-fonte"/>
      </w:pPr>
      <w:r w:rsidRPr="00BD0223">
        <w:rPr>
          <w:noProof/>
          <w:lang w:eastAsia="pt-BR"/>
        </w:rPr>
        <w:drawing>
          <wp:inline distT="0" distB="0" distL="0" distR="0" wp14:anchorId="749DE25E" wp14:editId="7DFF840B">
            <wp:extent cx="5753100" cy="2657475"/>
            <wp:effectExtent l="0" t="0" r="19050" b="9525"/>
            <wp:docPr id="11" name="Gráfico 11">
              <a:extLst xmlns:a="http://schemas.openxmlformats.org/drawingml/2006/main">
                <a:ext uri="{FF2B5EF4-FFF2-40B4-BE49-F238E27FC236}">
                  <a16:creationId xmlns:a16="http://schemas.microsoft.com/office/drawing/2014/main" id="{02A14B3E-1266-45EB-822E-C1381179B9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C117F2" w:rsidRPr="00BD0223">
        <w:t>Fonte: Secretaria do Tesouro Nacional, Elaboração Própria</w:t>
      </w:r>
    </w:p>
    <w:p w14:paraId="18D89351" w14:textId="77777777" w:rsidR="004F409C" w:rsidRDefault="004F409C" w:rsidP="00C117F2">
      <w:pPr>
        <w:pStyle w:val="TNORMAL"/>
      </w:pPr>
    </w:p>
    <w:p w14:paraId="0712DFFE" w14:textId="6695B89F" w:rsidR="00DB1630" w:rsidRPr="00BD0223" w:rsidRDefault="00A31997" w:rsidP="00C117F2">
      <w:pPr>
        <w:pStyle w:val="TNORMAL"/>
      </w:pPr>
      <w:r w:rsidRPr="00BD0223">
        <w:t xml:space="preserve">Outro ponto a ser destacado diz respeito a evolução da participação da arrecadação de ICMS sobre energia elétrica como proporção do total de arrecadação desse imposto, que aumenta significativamente em 2015 e 2016, possivelmente devido aos seguintes fatores: aumento significativo </w:t>
      </w:r>
      <w:r w:rsidR="00C44DFC" w:rsidRPr="00BD0223">
        <w:t>do preço da energia elétrica; visto que o ICMS incide em todas as etapas</w:t>
      </w:r>
      <w:r w:rsidR="009F6E7F" w:rsidRPr="00BD0223">
        <w:t xml:space="preserve"> desde a geração até a distribuição e</w:t>
      </w:r>
      <w:r w:rsidR="006A7EF5" w:rsidRPr="00BD0223">
        <w:t xml:space="preserve"> a</w:t>
      </w:r>
      <w:r w:rsidR="009F6E7F" w:rsidRPr="00BD0223">
        <w:t xml:space="preserve"> comercialização,</w:t>
      </w:r>
      <w:r w:rsidR="00C44DFC" w:rsidRPr="00BD0223">
        <w:t xml:space="preserve"> aumento da alíquota incidente sobre o setor comercial, e diminuição do potencial de arrecadação do ICMS de outros produtos com maior elasticidade preço demanda e mais sensíveis a diminuição da renda causada pela crise econômica. Conclua-se que os serviços relacionados à energia elétrica foram de significativa importância para que o </w:t>
      </w:r>
      <w:r w:rsidR="007C6721">
        <w:t>E</w:t>
      </w:r>
      <w:r w:rsidR="00C44DFC" w:rsidRPr="00BD0223">
        <w:t>stado de Minas Gerais não sofresse grandes perdas de arrecadação.</w:t>
      </w:r>
    </w:p>
    <w:p w14:paraId="080C313B" w14:textId="23D11209" w:rsidR="00C117F2" w:rsidRPr="00BD0223" w:rsidRDefault="00142B6E" w:rsidP="007A55C5">
      <w:pPr>
        <w:pStyle w:val="Tfigura-titulo"/>
        <w:jc w:val="both"/>
      </w:pPr>
      <w:bookmarkStart w:id="23" w:name="_Toc55329403"/>
      <w:r w:rsidRPr="00BD0223">
        <w:lastRenderedPageBreak/>
        <w:t xml:space="preserve">Gráfico </w:t>
      </w:r>
      <w:r w:rsidRPr="00BD0223">
        <w:fldChar w:fldCharType="begin"/>
      </w:r>
      <w:r w:rsidRPr="00BD0223">
        <w:instrText xml:space="preserve"> SEQ Gráfico \* ARABIC </w:instrText>
      </w:r>
      <w:r w:rsidRPr="00BD0223">
        <w:fldChar w:fldCharType="separate"/>
      </w:r>
      <w:r w:rsidR="009A5BEE">
        <w:rPr>
          <w:noProof/>
        </w:rPr>
        <w:t>8</w:t>
      </w:r>
      <w:r w:rsidRPr="00BD0223">
        <w:fldChar w:fldCharType="end"/>
      </w:r>
      <w:r w:rsidRPr="00BD0223">
        <w:t xml:space="preserve"> ― </w:t>
      </w:r>
      <w:r w:rsidR="00C117F2" w:rsidRPr="00BD0223">
        <w:t>Arrecadação de ICMS sobre energia elétrica como proporção da arrecadação total de ICMS do estado de Minas Gerais</w:t>
      </w:r>
      <w:bookmarkEnd w:id="23"/>
    </w:p>
    <w:p w14:paraId="07CD3F91" w14:textId="79667693" w:rsidR="00C44DFC" w:rsidRPr="00BD0223" w:rsidRDefault="009F6E7F" w:rsidP="00142B6E">
      <w:pPr>
        <w:pStyle w:val="Tfigura-figura"/>
        <w:rPr>
          <w:rFonts w:cs="Times New Roman"/>
          <w:sz w:val="28"/>
          <w:szCs w:val="28"/>
        </w:rPr>
      </w:pPr>
      <w:r w:rsidRPr="00BD0223">
        <w:drawing>
          <wp:inline distT="0" distB="0" distL="0" distR="0" wp14:anchorId="4CE5A098" wp14:editId="1F5303F2">
            <wp:extent cx="5753100" cy="2957195"/>
            <wp:effectExtent l="0" t="0" r="19050" b="14605"/>
            <wp:docPr id="13" name="Gráfico 13">
              <a:extLst xmlns:a="http://schemas.openxmlformats.org/drawingml/2006/main">
                <a:ext uri="{FF2B5EF4-FFF2-40B4-BE49-F238E27FC236}">
                  <a16:creationId xmlns:a16="http://schemas.microsoft.com/office/drawing/2014/main" id="{2AFF02C8-081B-48E3-91F1-56D4B1A297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8FF48F" w14:textId="7E64585B" w:rsidR="003334E3" w:rsidRDefault="00C117F2" w:rsidP="00DD7064">
      <w:pPr>
        <w:pStyle w:val="Ttabela-fonte"/>
      </w:pPr>
      <w:r w:rsidRPr="00BD0223">
        <w:t>Fonte: Secretaria de Fazenda do Estado de Minas Gerias, Elaboração Própria</w:t>
      </w:r>
    </w:p>
    <w:p w14:paraId="6A9EA4C6" w14:textId="77777777" w:rsidR="008E5F6A" w:rsidRPr="008E5F6A" w:rsidRDefault="008E5F6A" w:rsidP="008E5F6A">
      <w:pPr>
        <w:pStyle w:val="TNORMAL"/>
        <w:rPr>
          <w:lang w:val="pt-BR" w:eastAsia="pt-PT"/>
        </w:rPr>
      </w:pPr>
    </w:p>
    <w:p w14:paraId="188E7FC5" w14:textId="5525B594" w:rsidR="00C44DFC" w:rsidRPr="001C3EDC" w:rsidRDefault="00C44DFC" w:rsidP="00C117F2">
      <w:pPr>
        <w:pStyle w:val="TIT3"/>
        <w:rPr>
          <w:b w:val="0"/>
          <w:bCs/>
        </w:rPr>
      </w:pPr>
      <w:bookmarkStart w:id="24" w:name="_Toc55329620"/>
      <w:r w:rsidRPr="001C3EDC">
        <w:rPr>
          <w:b w:val="0"/>
          <w:bCs/>
        </w:rPr>
        <w:t>Telecomunicações</w:t>
      </w:r>
      <w:bookmarkEnd w:id="24"/>
    </w:p>
    <w:p w14:paraId="45052197" w14:textId="0BAFC518" w:rsidR="00C44DFC" w:rsidRPr="00BD0223" w:rsidRDefault="00C44DFC" w:rsidP="00C117F2">
      <w:pPr>
        <w:pStyle w:val="TNORMAL"/>
      </w:pPr>
      <w:r w:rsidRPr="007A55C5">
        <w:t xml:space="preserve">O setor de </w:t>
      </w:r>
      <w:r w:rsidR="00855A35" w:rsidRPr="007A55C5">
        <w:t>telecomunicações</w:t>
      </w:r>
      <w:r w:rsidR="007A55C5" w:rsidRPr="007A55C5">
        <w:t>, o qual é quarta principal fonte de arrecadação do estado de Minas Gerais,</w:t>
      </w:r>
      <w:r w:rsidR="00855A35" w:rsidRPr="007A55C5">
        <w:t xml:space="preserve"> </w:t>
      </w:r>
      <w:r w:rsidR="00855A35" w:rsidRPr="00BD0223">
        <w:t xml:space="preserve">apresenta características mais complexas do que os demais setores sendo difícil mensurar o potencial de arrecadação, isso ocorre devido as constantes inovações que ocorrem </w:t>
      </w:r>
      <w:r w:rsidR="00451CBC" w:rsidRPr="00BD0223">
        <w:t>n</w:t>
      </w:r>
      <w:r w:rsidR="00855A35" w:rsidRPr="00BD0223">
        <w:t>essa área barateando</w:t>
      </w:r>
      <w:r w:rsidR="00610837" w:rsidRPr="00BD0223">
        <w:t xml:space="preserve"> o</w:t>
      </w:r>
      <w:r w:rsidR="00855A35" w:rsidRPr="00BD0223">
        <w:t xml:space="preserve"> custo de serviços e provendo </w:t>
      </w:r>
      <w:r w:rsidR="00610837" w:rsidRPr="00BD0223">
        <w:t>produtos</w:t>
      </w:r>
      <w:r w:rsidR="00855A35" w:rsidRPr="00BD0223">
        <w:t xml:space="preserve"> substitutos mais acessíveis e de melhor qualidade</w:t>
      </w:r>
      <w:r w:rsidR="00B2420D" w:rsidRPr="00BD0223">
        <w:t>. No início de 2016 o governo mineiro aumentou a alíquota de ICMS de serviços de telecomunicação de 25</w:t>
      </w:r>
      <w:r w:rsidR="003C526A" w:rsidRPr="00BD0223">
        <w:t>%</w:t>
      </w:r>
      <w:r w:rsidR="00B2420D" w:rsidRPr="00BD0223">
        <w:t xml:space="preserve"> para 27%, ainda assim a arrecadação de ICMS sobre tal classe de serviço apresenta trajetória decrescente independente se </w:t>
      </w:r>
      <w:r w:rsidR="000D2E96" w:rsidRPr="00BD0223">
        <w:t xml:space="preserve">a </w:t>
      </w:r>
      <w:r w:rsidR="00B2420D" w:rsidRPr="00BD0223">
        <w:t>análise se concentrar nos períodos antes</w:t>
      </w:r>
      <w:r w:rsidR="006A7EF5" w:rsidRPr="00BD0223">
        <w:t>,</w:t>
      </w:r>
      <w:r w:rsidR="00B2420D" w:rsidRPr="00BD0223">
        <w:t xml:space="preserve"> durante ou depois da cris</w:t>
      </w:r>
      <w:r w:rsidR="00451CBC" w:rsidRPr="00BD0223">
        <w:t>e, com um pequeno aumento no ano em que ocorreu a mudança de alíquota</w:t>
      </w:r>
      <w:r w:rsidR="00B2420D" w:rsidRPr="00BD0223">
        <w:t xml:space="preserve">. </w:t>
      </w:r>
      <w:r w:rsidR="007C6721">
        <w:t xml:space="preserve">Ademais, </w:t>
      </w:r>
      <w:r w:rsidR="00B2420D" w:rsidRPr="00BD0223">
        <w:t xml:space="preserve">o setor de telecomunicações depende muito de outros produtos e serviços os quais fazem parte da base de incidência do ICMS, ainda assim devido </w:t>
      </w:r>
      <w:r w:rsidR="005B3C7E" w:rsidRPr="00BD0223">
        <w:t>à</w:t>
      </w:r>
      <w:r w:rsidR="00B2420D" w:rsidRPr="00BD0223">
        <w:t xml:space="preserve"> alta complexidade da tributação sobre o consumo do setor é difícil </w:t>
      </w:r>
      <w:r w:rsidR="00610837" w:rsidRPr="00BD0223">
        <w:t>definir</w:t>
      </w:r>
      <w:r w:rsidR="005B3C7E" w:rsidRPr="00BD0223">
        <w:t>,</w:t>
      </w:r>
      <w:r w:rsidR="00610837" w:rsidRPr="00BD0223">
        <w:t xml:space="preserve"> analisando a </w:t>
      </w:r>
      <w:r w:rsidR="005B3C7E" w:rsidRPr="00BD0223">
        <w:t>estrutura tributária setorial,</w:t>
      </w:r>
      <w:r w:rsidR="00B2420D" w:rsidRPr="00BD0223">
        <w:t xml:space="preserve"> o que seria imposto sobre o valor adicionado ou imposto cumulativo e as categorias geradoras ou não geradoras de crédito tributário.</w:t>
      </w:r>
    </w:p>
    <w:p w14:paraId="50F3D703" w14:textId="2354F82C" w:rsidR="00C117F2" w:rsidRPr="00BD0223" w:rsidRDefault="00142B6E" w:rsidP="007A55C5">
      <w:pPr>
        <w:pStyle w:val="Tfigura-titulo"/>
        <w:jc w:val="both"/>
      </w:pPr>
      <w:bookmarkStart w:id="25" w:name="_Toc55329404"/>
      <w:r w:rsidRPr="00BD0223">
        <w:lastRenderedPageBreak/>
        <w:t xml:space="preserve">Gráfico </w:t>
      </w:r>
      <w:r w:rsidRPr="00BD0223">
        <w:fldChar w:fldCharType="begin"/>
      </w:r>
      <w:r w:rsidRPr="00BD0223">
        <w:instrText xml:space="preserve"> SEQ Gráfico \* ARABIC </w:instrText>
      </w:r>
      <w:r w:rsidRPr="00BD0223">
        <w:fldChar w:fldCharType="separate"/>
      </w:r>
      <w:r w:rsidR="009A5BEE">
        <w:rPr>
          <w:noProof/>
        </w:rPr>
        <w:t>9</w:t>
      </w:r>
      <w:r w:rsidRPr="00BD0223">
        <w:fldChar w:fldCharType="end"/>
      </w:r>
      <w:r w:rsidRPr="00BD0223">
        <w:t xml:space="preserve"> ― </w:t>
      </w:r>
      <w:r w:rsidR="00C117F2" w:rsidRPr="00BD0223">
        <w:t>Evolução da arrecadação de ICMS sobre os serviços de telecomunicação de 2010 a 2018 com valores deflacionados a preços de 2010 (em bilhões de R$)</w:t>
      </w:r>
      <w:bookmarkEnd w:id="25"/>
    </w:p>
    <w:p w14:paraId="62E79105" w14:textId="36E60AA2" w:rsidR="00B2420D" w:rsidRPr="00BD0223" w:rsidRDefault="00A334E5" w:rsidP="00142B6E">
      <w:pPr>
        <w:pStyle w:val="Tfigura-figura"/>
        <w:rPr>
          <w:rFonts w:cs="Times New Roman"/>
          <w:sz w:val="28"/>
          <w:szCs w:val="28"/>
        </w:rPr>
      </w:pPr>
      <w:r w:rsidRPr="00BD0223">
        <w:drawing>
          <wp:inline distT="0" distB="0" distL="0" distR="0" wp14:anchorId="28691F17" wp14:editId="64CDD295">
            <wp:extent cx="5762625" cy="2743200"/>
            <wp:effectExtent l="0" t="0" r="9525" b="19050"/>
            <wp:docPr id="15" name="Gráfico 15">
              <a:extLst xmlns:a="http://schemas.openxmlformats.org/drawingml/2006/main">
                <a:ext uri="{FF2B5EF4-FFF2-40B4-BE49-F238E27FC236}">
                  <a16:creationId xmlns:a16="http://schemas.microsoft.com/office/drawing/2014/main" id="{E172FE87-F6C2-48F1-BFAB-F15D4E2BA6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FCE2EB" w14:textId="4E2B8837" w:rsidR="003334E3" w:rsidRPr="007C0824" w:rsidRDefault="00C117F2" w:rsidP="007C0824">
      <w:pPr>
        <w:pStyle w:val="Ttabela-fonte"/>
      </w:pPr>
      <w:r w:rsidRPr="00BD0223">
        <w:t>Fonte Secretaria de Fazenda do Estado de Minas Gerias, Elaboração Própria</w:t>
      </w:r>
    </w:p>
    <w:p w14:paraId="7FEE3355" w14:textId="77777777" w:rsidR="008E5F6A" w:rsidRDefault="008E5F6A" w:rsidP="00E300DF">
      <w:pPr>
        <w:rPr>
          <w:rFonts w:ascii="Times New Roman" w:hAnsi="Times New Roman" w:cs="Times New Roman"/>
          <w:sz w:val="24"/>
          <w:szCs w:val="24"/>
        </w:rPr>
      </w:pPr>
    </w:p>
    <w:p w14:paraId="20C6445D" w14:textId="7B75F96D" w:rsidR="00451CBC" w:rsidRDefault="00451CBC" w:rsidP="00E300DF">
      <w:pPr>
        <w:rPr>
          <w:rFonts w:ascii="Times New Roman" w:hAnsi="Times New Roman" w:cs="Times New Roman"/>
          <w:sz w:val="24"/>
          <w:szCs w:val="24"/>
        </w:rPr>
      </w:pPr>
      <w:r w:rsidRPr="00BD0223">
        <w:rPr>
          <w:rFonts w:ascii="Times New Roman" w:hAnsi="Times New Roman" w:cs="Times New Roman"/>
          <w:sz w:val="24"/>
          <w:szCs w:val="24"/>
        </w:rPr>
        <w:t xml:space="preserve">Uma análise mais profunda da tributação do setor de telecomunicações requereria um estudo mais </w:t>
      </w:r>
      <w:r w:rsidR="005B3C7E" w:rsidRPr="00BD0223">
        <w:rPr>
          <w:rFonts w:ascii="Times New Roman" w:hAnsi="Times New Roman" w:cs="Times New Roman"/>
          <w:sz w:val="24"/>
          <w:szCs w:val="24"/>
        </w:rPr>
        <w:t>detalhado</w:t>
      </w:r>
      <w:r w:rsidRPr="00BD0223">
        <w:rPr>
          <w:rFonts w:ascii="Times New Roman" w:hAnsi="Times New Roman" w:cs="Times New Roman"/>
          <w:sz w:val="24"/>
          <w:szCs w:val="24"/>
        </w:rPr>
        <w:t>, o qual não é o objet</w:t>
      </w:r>
      <w:r w:rsidR="007C6721">
        <w:rPr>
          <w:rFonts w:ascii="Times New Roman" w:hAnsi="Times New Roman" w:cs="Times New Roman"/>
          <w:sz w:val="24"/>
          <w:szCs w:val="24"/>
        </w:rPr>
        <w:t>o</w:t>
      </w:r>
      <w:r w:rsidRPr="00BD0223">
        <w:rPr>
          <w:rFonts w:ascii="Times New Roman" w:hAnsi="Times New Roman" w:cs="Times New Roman"/>
          <w:sz w:val="24"/>
          <w:szCs w:val="24"/>
        </w:rPr>
        <w:t xml:space="preserve"> desse trabalho. Produtos relacionados </w:t>
      </w:r>
      <w:r w:rsidR="005B3C7E" w:rsidRPr="00BD0223">
        <w:rPr>
          <w:rFonts w:ascii="Times New Roman" w:hAnsi="Times New Roman" w:cs="Times New Roman"/>
          <w:sz w:val="24"/>
          <w:szCs w:val="24"/>
        </w:rPr>
        <w:t>à</w:t>
      </w:r>
      <w:r w:rsidRPr="00BD0223">
        <w:rPr>
          <w:rFonts w:ascii="Times New Roman" w:hAnsi="Times New Roman" w:cs="Times New Roman"/>
          <w:sz w:val="24"/>
          <w:szCs w:val="24"/>
        </w:rPr>
        <w:t xml:space="preserve"> internet, telefonia e tv a cabo estão diretamente ligados a serviços</w:t>
      </w:r>
      <w:r w:rsidR="00610837" w:rsidRPr="00BD0223">
        <w:rPr>
          <w:rFonts w:ascii="Times New Roman" w:hAnsi="Times New Roman" w:cs="Times New Roman"/>
          <w:sz w:val="24"/>
          <w:szCs w:val="24"/>
        </w:rPr>
        <w:t>. D</w:t>
      </w:r>
      <w:r w:rsidRPr="00BD0223">
        <w:rPr>
          <w:rFonts w:ascii="Times New Roman" w:hAnsi="Times New Roman" w:cs="Times New Roman"/>
          <w:sz w:val="24"/>
          <w:szCs w:val="24"/>
        </w:rPr>
        <w:t xml:space="preserve">evido ao complexo sistema tributário sobre o consumo no Brasil, as bases de incidência podem variar entre o ISS e o ICMS, gerando conflitos </w:t>
      </w:r>
      <w:r w:rsidR="005B3C7E" w:rsidRPr="00BD0223">
        <w:rPr>
          <w:rFonts w:ascii="Times New Roman" w:hAnsi="Times New Roman" w:cs="Times New Roman"/>
          <w:sz w:val="24"/>
          <w:szCs w:val="24"/>
        </w:rPr>
        <w:t>n</w:t>
      </w:r>
      <w:r w:rsidRPr="00BD0223">
        <w:rPr>
          <w:rFonts w:ascii="Times New Roman" w:hAnsi="Times New Roman" w:cs="Times New Roman"/>
          <w:sz w:val="24"/>
          <w:szCs w:val="24"/>
        </w:rPr>
        <w:t xml:space="preserve">a relação </w:t>
      </w:r>
      <w:r w:rsidR="005B3C7E" w:rsidRPr="00BD0223">
        <w:rPr>
          <w:rFonts w:ascii="Times New Roman" w:hAnsi="Times New Roman" w:cs="Times New Roman"/>
          <w:sz w:val="24"/>
          <w:szCs w:val="24"/>
        </w:rPr>
        <w:t>entre</w:t>
      </w:r>
      <w:r w:rsidRPr="00BD0223">
        <w:rPr>
          <w:rFonts w:ascii="Times New Roman" w:hAnsi="Times New Roman" w:cs="Times New Roman"/>
          <w:sz w:val="24"/>
          <w:szCs w:val="24"/>
        </w:rPr>
        <w:t xml:space="preserve"> o</w:t>
      </w:r>
      <w:r w:rsidR="007C6721">
        <w:rPr>
          <w:rFonts w:ascii="Times New Roman" w:hAnsi="Times New Roman" w:cs="Times New Roman"/>
          <w:sz w:val="24"/>
          <w:szCs w:val="24"/>
        </w:rPr>
        <w:t>s</w:t>
      </w:r>
      <w:r w:rsidRPr="00BD0223">
        <w:rPr>
          <w:rFonts w:ascii="Times New Roman" w:hAnsi="Times New Roman" w:cs="Times New Roman"/>
          <w:sz w:val="24"/>
          <w:szCs w:val="24"/>
        </w:rPr>
        <w:t xml:space="preserve"> fisco</w:t>
      </w:r>
      <w:r w:rsidR="007C6721">
        <w:rPr>
          <w:rFonts w:ascii="Times New Roman" w:hAnsi="Times New Roman" w:cs="Times New Roman"/>
          <w:sz w:val="24"/>
          <w:szCs w:val="24"/>
        </w:rPr>
        <w:t>s</w:t>
      </w:r>
      <w:r w:rsidRPr="00BD0223">
        <w:rPr>
          <w:rFonts w:ascii="Times New Roman" w:hAnsi="Times New Roman" w:cs="Times New Roman"/>
          <w:sz w:val="24"/>
          <w:szCs w:val="24"/>
        </w:rPr>
        <w:t xml:space="preserve"> e o contribuinte.</w:t>
      </w:r>
    </w:p>
    <w:p w14:paraId="77EEB943" w14:textId="77777777" w:rsidR="00374C86" w:rsidRPr="00BD0223" w:rsidRDefault="00374C86" w:rsidP="00E300DF">
      <w:pPr>
        <w:rPr>
          <w:rFonts w:ascii="Times New Roman" w:hAnsi="Times New Roman" w:cs="Times New Roman"/>
          <w:sz w:val="24"/>
          <w:szCs w:val="24"/>
        </w:rPr>
      </w:pPr>
    </w:p>
    <w:p w14:paraId="18467160" w14:textId="701197FA" w:rsidR="00AD04A3" w:rsidRPr="001C3EDC" w:rsidRDefault="00AD04A3" w:rsidP="00C117F2">
      <w:pPr>
        <w:pStyle w:val="TIT3"/>
        <w:rPr>
          <w:b w:val="0"/>
          <w:bCs/>
        </w:rPr>
      </w:pPr>
      <w:bookmarkStart w:id="26" w:name="_Toc55329621"/>
      <w:r w:rsidRPr="001C3EDC">
        <w:rPr>
          <w:b w:val="0"/>
          <w:bCs/>
        </w:rPr>
        <w:t>Bebidas</w:t>
      </w:r>
      <w:bookmarkEnd w:id="26"/>
    </w:p>
    <w:p w14:paraId="50B07FEB" w14:textId="02EFB3FB" w:rsidR="00135795" w:rsidRPr="00BD0223" w:rsidRDefault="00AD04A3" w:rsidP="00C117F2">
      <w:pPr>
        <w:pStyle w:val="TNORMAL"/>
      </w:pPr>
      <w:r w:rsidRPr="00BD0223">
        <w:t xml:space="preserve">O setor de bebidas </w:t>
      </w:r>
      <w:r w:rsidR="007C6721">
        <w:t xml:space="preserve">constitui </w:t>
      </w:r>
      <w:r w:rsidR="00610837" w:rsidRPr="00BD0223">
        <w:t>a</w:t>
      </w:r>
      <w:r w:rsidRPr="00BD0223">
        <w:t xml:space="preserve"> quarta principal fonte de arrecadação de ICMS </w:t>
      </w:r>
      <w:r w:rsidR="007C6721">
        <w:t>n</w:t>
      </w:r>
      <w:r w:rsidRPr="00BD0223">
        <w:t xml:space="preserve">o estado de Minas Gerais, sendo que alguns produtos foram alvo de </w:t>
      </w:r>
      <w:r w:rsidR="007C6721">
        <w:t xml:space="preserve">elevação das alíquotas </w:t>
      </w:r>
      <w:r w:rsidRPr="00BD0223">
        <w:t>em 2015</w:t>
      </w:r>
      <w:r w:rsidR="007C6721">
        <w:t>, j</w:t>
      </w:r>
      <w:r w:rsidRPr="00BD0223">
        <w:t xml:space="preserve">untamente com a energia elétrica para o setor comercial e outros bens de luxo. </w:t>
      </w:r>
      <w:r w:rsidR="007C6721">
        <w:t xml:space="preserve">A análise de </w:t>
      </w:r>
      <w:r w:rsidR="00142B6E" w:rsidRPr="00BD0223">
        <w:t>Barros</w:t>
      </w:r>
      <w:r w:rsidRPr="00BD0223">
        <w:t xml:space="preserve"> </w:t>
      </w:r>
      <w:r w:rsidR="00142B6E" w:rsidRPr="00BD0223">
        <w:t>(</w:t>
      </w:r>
      <w:r w:rsidRPr="00BD0223">
        <w:t>2011) estimou a elasticidade preço</w:t>
      </w:r>
      <w:r w:rsidR="00135795" w:rsidRPr="00BD0223">
        <w:t xml:space="preserve"> da demanda para </w:t>
      </w:r>
      <w:r w:rsidR="007C6721">
        <w:t xml:space="preserve">alguns destes </w:t>
      </w:r>
      <w:r w:rsidR="00135795" w:rsidRPr="00BD0223">
        <w:t>produtos</w:t>
      </w:r>
      <w:r w:rsidR="003B5AA5">
        <w:t xml:space="preserve">; a saber: </w:t>
      </w:r>
      <w:r w:rsidR="00135795" w:rsidRPr="00BD0223">
        <w:t>água</w:t>
      </w:r>
      <w:r w:rsidR="007C6721">
        <w:t xml:space="preserve"> (</w:t>
      </w:r>
      <w:r w:rsidR="00135795" w:rsidRPr="00BD0223">
        <w:t>-2,43</w:t>
      </w:r>
      <w:r w:rsidR="007C6721">
        <w:t>)</w:t>
      </w:r>
      <w:r w:rsidR="00135795" w:rsidRPr="00BD0223">
        <w:t xml:space="preserve">, </w:t>
      </w:r>
      <w:r w:rsidR="007C6721">
        <w:t>c</w:t>
      </w:r>
      <w:r w:rsidR="00135795" w:rsidRPr="00BD0223">
        <w:t>erveja</w:t>
      </w:r>
      <w:r w:rsidR="007C6721">
        <w:t xml:space="preserve"> (</w:t>
      </w:r>
      <w:r w:rsidR="00135795" w:rsidRPr="00BD0223">
        <w:t>-0,99</w:t>
      </w:r>
      <w:r w:rsidR="007C6721">
        <w:t>)</w:t>
      </w:r>
      <w:r w:rsidR="00135795" w:rsidRPr="00BD0223">
        <w:t xml:space="preserve">, </w:t>
      </w:r>
      <w:r w:rsidR="007C6721">
        <w:t>l</w:t>
      </w:r>
      <w:r w:rsidR="00135795" w:rsidRPr="00BD0223">
        <w:t>eite</w:t>
      </w:r>
      <w:r w:rsidR="007C6721">
        <w:t xml:space="preserve"> (</w:t>
      </w:r>
      <w:r w:rsidR="00135795" w:rsidRPr="00BD0223">
        <w:t>-0,36</w:t>
      </w:r>
      <w:r w:rsidR="007C6721">
        <w:t>)</w:t>
      </w:r>
      <w:r w:rsidR="00135795" w:rsidRPr="00BD0223">
        <w:t>, refrigerante</w:t>
      </w:r>
      <w:r w:rsidR="007C6721">
        <w:t xml:space="preserve"> (</w:t>
      </w:r>
      <w:r w:rsidR="00135795" w:rsidRPr="00BD0223">
        <w:t>-1,33</w:t>
      </w:r>
      <w:r w:rsidR="007C6721">
        <w:t>) e</w:t>
      </w:r>
      <w:r w:rsidR="00135795" w:rsidRPr="00BD0223">
        <w:t xml:space="preserve"> suco</w:t>
      </w:r>
      <w:r w:rsidR="007C6721">
        <w:t xml:space="preserve"> (</w:t>
      </w:r>
      <w:r w:rsidR="00135795" w:rsidRPr="00BD0223">
        <w:t>-0,92</w:t>
      </w:r>
      <w:r w:rsidR="007C6721">
        <w:t>)</w:t>
      </w:r>
      <w:r w:rsidR="00135795" w:rsidRPr="00BD0223">
        <w:t xml:space="preserve">. Baseado nesses resultados não seria justificável o aumento de alíquota do ICMS que ocorreu de 18% para 20% nos refrigerantes, visto que o mesmo possui uma demanda com alta sensibilidade ao preço, no entanto o aumento não foi significativo e por se tratar de um setor onde a diferenciação dos </w:t>
      </w:r>
      <w:r w:rsidR="00135795" w:rsidRPr="00BD0223">
        <w:lastRenderedPageBreak/>
        <w:t xml:space="preserve">produtos e o marketing são relevantes para a decisão dos consumidores, há dificuldades para estimar se houve </w:t>
      </w:r>
      <w:r w:rsidR="003B5AA5">
        <w:t xml:space="preserve">redução </w:t>
      </w:r>
      <w:r w:rsidR="007C6721">
        <w:t xml:space="preserve">ou não </w:t>
      </w:r>
      <w:r w:rsidR="003B5AA5">
        <w:t>na receita total</w:t>
      </w:r>
      <w:r w:rsidR="00135795" w:rsidRPr="00BD0223">
        <w:t>.</w:t>
      </w:r>
    </w:p>
    <w:p w14:paraId="5242C44C" w14:textId="77157913" w:rsidR="003334E3" w:rsidRPr="00BD0223" w:rsidRDefault="00A077E5" w:rsidP="007C0824">
      <w:pPr>
        <w:pStyle w:val="TNORMAL"/>
      </w:pPr>
      <w:r w:rsidRPr="00BD0223">
        <w:t>A arrecadação de ICMS do setor de bebidas cai em 2015 durante a crise econômica e ainda que tenha crescido nos anos posteriores não atingiu o patamar de 2014, mesmo com o aumento da alíquota de ICMS sobre determinados produtos. A elasticidade renda da demanda para muitos subgrupos dos setores de bebida é elevada (BARROS, 2011)</w:t>
      </w:r>
      <w:r w:rsidR="00D419E7" w:rsidRPr="00BD0223">
        <w:t>,</w:t>
      </w:r>
      <w:r w:rsidRPr="00BD0223">
        <w:t xml:space="preserve"> resultando em um forte impacto nas vendas quando ocorre choques econômicos.</w:t>
      </w:r>
    </w:p>
    <w:p w14:paraId="0C8C88B7" w14:textId="7F67CA10" w:rsidR="00C117F2" w:rsidRPr="00BD0223" w:rsidRDefault="00142B6E" w:rsidP="007A55C5">
      <w:pPr>
        <w:pStyle w:val="Tfigura-titulo"/>
        <w:jc w:val="both"/>
      </w:pPr>
      <w:bookmarkStart w:id="27" w:name="_Toc55329405"/>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10</w:t>
      </w:r>
      <w:r w:rsidRPr="00BD0223">
        <w:fldChar w:fldCharType="end"/>
      </w:r>
      <w:r w:rsidRPr="00BD0223">
        <w:t xml:space="preserve"> ― </w:t>
      </w:r>
      <w:r w:rsidR="00C117F2" w:rsidRPr="00BD0223">
        <w:t>Evolução da arrecadação de ICMS sobre o setor de bebidas no estado de Minas Gerais de 2010 a 2018 deflacionados a preços de 2010 (em bilhões de R$)</w:t>
      </w:r>
      <w:bookmarkEnd w:id="27"/>
    </w:p>
    <w:p w14:paraId="26A704DE" w14:textId="3E50C6CE" w:rsidR="00A077E5" w:rsidRPr="00BD0223" w:rsidRDefault="00A077E5" w:rsidP="00142B6E">
      <w:pPr>
        <w:pStyle w:val="Tfigura-figura"/>
        <w:rPr>
          <w:rFonts w:cs="Times New Roman"/>
          <w:sz w:val="28"/>
          <w:szCs w:val="28"/>
        </w:rPr>
      </w:pPr>
      <w:r w:rsidRPr="00BD0223">
        <w:drawing>
          <wp:inline distT="0" distB="0" distL="0" distR="0" wp14:anchorId="675B203E" wp14:editId="710C6C05">
            <wp:extent cx="5753100" cy="2743200"/>
            <wp:effectExtent l="0" t="0" r="19050" b="19050"/>
            <wp:docPr id="18" name="Gráfico 18">
              <a:extLst xmlns:a="http://schemas.openxmlformats.org/drawingml/2006/main">
                <a:ext uri="{FF2B5EF4-FFF2-40B4-BE49-F238E27FC236}">
                  <a16:creationId xmlns:a16="http://schemas.microsoft.com/office/drawing/2014/main" id="{86A65F6B-CBA7-4B85-A813-A78BA43554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2C5969" w14:textId="70343970" w:rsidR="003334E3" w:rsidRDefault="00C117F2" w:rsidP="007C0824">
      <w:pPr>
        <w:pStyle w:val="Ttabela-fonte"/>
      </w:pPr>
      <w:r w:rsidRPr="00BD0223">
        <w:t>Fonte: Secretaria de Fazenda do Estado de Minas Gerias, Elaboração Própria</w:t>
      </w:r>
    </w:p>
    <w:p w14:paraId="1E8C7DBE" w14:textId="77777777" w:rsidR="008E5F6A" w:rsidRPr="008E5F6A" w:rsidRDefault="008E5F6A" w:rsidP="008E5F6A">
      <w:pPr>
        <w:pStyle w:val="TNORMAL"/>
        <w:rPr>
          <w:lang w:val="pt-BR" w:eastAsia="pt-PT"/>
        </w:rPr>
      </w:pPr>
    </w:p>
    <w:p w14:paraId="13D3AA6B" w14:textId="5E680F00" w:rsidR="00B2420D" w:rsidRPr="001C3EDC" w:rsidRDefault="00A077E5" w:rsidP="00C117F2">
      <w:pPr>
        <w:pStyle w:val="TIT3"/>
        <w:rPr>
          <w:b w:val="0"/>
          <w:bCs/>
        </w:rPr>
      </w:pPr>
      <w:bookmarkStart w:id="28" w:name="_Toc55329622"/>
      <w:r w:rsidRPr="001C3EDC">
        <w:rPr>
          <w:b w:val="0"/>
          <w:bCs/>
        </w:rPr>
        <w:t>Combustíveis</w:t>
      </w:r>
      <w:bookmarkEnd w:id="28"/>
    </w:p>
    <w:p w14:paraId="6B04C9E4" w14:textId="15F639C7" w:rsidR="00A077E5" w:rsidRPr="00BD0223" w:rsidRDefault="00A077E5" w:rsidP="00C117F2">
      <w:pPr>
        <w:pStyle w:val="TNORMAL"/>
      </w:pPr>
      <w:r w:rsidRPr="00BD0223">
        <w:t xml:space="preserve">O caso específico dos combustíveis </w:t>
      </w:r>
      <w:r w:rsidR="00AA5036" w:rsidRPr="00BD0223">
        <w:t xml:space="preserve">será abordado no </w:t>
      </w:r>
      <w:r w:rsidR="00DA2550" w:rsidRPr="00BD0223">
        <w:t>próximo</w:t>
      </w:r>
      <w:r w:rsidR="00AA5036" w:rsidRPr="00BD0223">
        <w:t xml:space="preserve"> capítulo, essa seção pretende apresentar uma análise geral sobre a arrecadação do setor principalmente </w:t>
      </w:r>
      <w:r w:rsidR="000D2E96" w:rsidRPr="00BD0223">
        <w:t>durante</w:t>
      </w:r>
      <w:r w:rsidR="003B5AA5">
        <w:t xml:space="preserve"> o </w:t>
      </w:r>
      <w:r w:rsidR="00AA5036" w:rsidRPr="00BD0223">
        <w:t>período 2014-2016. A base de tributação dessa rubrica engloba diversos produtos: gasolina, etanol, diesel, gás natural, querosene de aviação, dentre outros</w:t>
      </w:r>
      <w:r w:rsidR="008A46C4" w:rsidRPr="00BD0223">
        <w:t xml:space="preserve">. A arrecadação de ICMS sobre combustíveis responde pela maior fonte de recursos de todos os entes da federação brasileira e devido </w:t>
      </w:r>
      <w:r w:rsidR="005B3C7E" w:rsidRPr="00BD0223">
        <w:t>à</w:t>
      </w:r>
      <w:r w:rsidR="008A46C4" w:rsidRPr="00BD0223">
        <w:t xml:space="preserve"> crise fiscal que os estados tem</w:t>
      </w:r>
      <w:r w:rsidR="005B3C7E" w:rsidRPr="00BD0223">
        <w:t xml:space="preserve"> enfrentado,</w:t>
      </w:r>
      <w:r w:rsidR="008A46C4" w:rsidRPr="00BD0223">
        <w:t xml:space="preserve"> tem sido de fundamental importância para</w:t>
      </w:r>
      <w:r w:rsidR="003B5AA5">
        <w:t xml:space="preserve">, pelo menos, </w:t>
      </w:r>
      <w:r w:rsidR="008A46C4" w:rsidRPr="00BD0223">
        <w:t>manter</w:t>
      </w:r>
      <w:r w:rsidR="003B5AA5">
        <w:t xml:space="preserve"> o patam</w:t>
      </w:r>
      <w:r w:rsidR="008A46C4" w:rsidRPr="00BD0223">
        <w:t xml:space="preserve">ar de </w:t>
      </w:r>
      <w:r w:rsidR="00610837" w:rsidRPr="00BD0223">
        <w:t>receita</w:t>
      </w:r>
      <w:r w:rsidR="003B5AA5">
        <w:t xml:space="preserve"> em termos reais</w:t>
      </w:r>
      <w:r w:rsidR="008A46C4" w:rsidRPr="00BD0223">
        <w:t>.</w:t>
      </w:r>
    </w:p>
    <w:p w14:paraId="0081F685" w14:textId="47983EF3" w:rsidR="003334E3" w:rsidRDefault="008A46C4" w:rsidP="007C0824">
      <w:pPr>
        <w:pStyle w:val="TNORMAL"/>
      </w:pPr>
      <w:r w:rsidRPr="00BD0223">
        <w:lastRenderedPageBreak/>
        <w:t>De acordo com</w:t>
      </w:r>
      <w:r w:rsidR="007C0824">
        <w:t xml:space="preserve"> </w:t>
      </w:r>
      <w:r w:rsidR="00142B6E" w:rsidRPr="00BD0223">
        <w:t>(</w:t>
      </w:r>
      <w:r w:rsidR="007C0824">
        <w:t xml:space="preserve">PYNDICK e RUBINFIEL, </w:t>
      </w:r>
      <w:r w:rsidRPr="00BD0223">
        <w:t xml:space="preserve">2015) os combustíveis automotivos apresentam baixa elasticidade preço-demanda de curto prazo, no entanto tal índice sobe significativamente se o objeto de análise for o longo prazo. No caso específico de Minas Gerais houve um aumento na alíquota de diesel em 2012 e na alíquota de gasolina em 2015, essa segunda já como resposta </w:t>
      </w:r>
      <w:r w:rsidR="00E300DF" w:rsidRPr="00BD0223">
        <w:t>à</w:t>
      </w:r>
      <w:r w:rsidRPr="00BD0223">
        <w:t xml:space="preserve"> queda de arrecadação do estado. Embora a crise te</w:t>
      </w:r>
      <w:r w:rsidR="00D33C45" w:rsidRPr="00BD0223">
        <w:t>nha</w:t>
      </w:r>
      <w:r w:rsidRPr="00BD0223">
        <w:t xml:space="preserve"> afetado a arrecadação de ICMS sobre os combustíveis, mais especificamente em 2015, a recuperação foi rápida e </w:t>
      </w:r>
      <w:r w:rsidR="00D33C45" w:rsidRPr="00BD0223">
        <w:t xml:space="preserve">a </w:t>
      </w:r>
      <w:r w:rsidRPr="00BD0223">
        <w:t>participação proporcional dessa fonte de recursos sobre o total de arrecadação cresceu durante o período de 2010 a 2018</w:t>
      </w:r>
      <w:r w:rsidR="00B21F9A" w:rsidRPr="00BD0223">
        <w:t>, devido a</w:t>
      </w:r>
      <w:r w:rsidR="00D33C45" w:rsidRPr="00BD0223">
        <w:t>o</w:t>
      </w:r>
      <w:r w:rsidR="00B21F9A" w:rsidRPr="00BD0223">
        <w:t xml:space="preserve">s seguintes </w:t>
      </w:r>
      <w:r w:rsidR="00D33C45" w:rsidRPr="00BD0223">
        <w:t>fatores</w:t>
      </w:r>
      <w:r w:rsidR="00B21F9A" w:rsidRPr="00BD0223">
        <w:t xml:space="preserve">: setor com produtos </w:t>
      </w:r>
      <w:r w:rsidR="00D33C45" w:rsidRPr="00BD0223">
        <w:t>que possuem</w:t>
      </w:r>
      <w:r w:rsidR="00B21F9A" w:rsidRPr="00BD0223">
        <w:t xml:space="preserve"> baixa elasticidade preço demanda e baixa elasticidade preço renda ao menos no curto prazo</w:t>
      </w:r>
      <w:r w:rsidR="00E300DF" w:rsidRPr="00BD0223">
        <w:t xml:space="preserve">, e o fato de o </w:t>
      </w:r>
      <w:r w:rsidR="00B21F9A" w:rsidRPr="00BD0223">
        <w:t xml:space="preserve">choque econômico </w:t>
      </w:r>
      <w:r w:rsidR="00E300DF" w:rsidRPr="00BD0223">
        <w:t>ter afetado</w:t>
      </w:r>
      <w:r w:rsidR="00B21F9A" w:rsidRPr="00BD0223">
        <w:t xml:space="preserve"> o recolhimento de ICMS sobre a indústria, comércio e serviços em geral (principalmente no que diz respeito a empresas que utilizam o Simples Nacional)</w:t>
      </w:r>
      <w:r w:rsidR="008C587F" w:rsidRPr="00BD0223">
        <w:t>;</w:t>
      </w:r>
      <w:r w:rsidR="005B3C7E" w:rsidRPr="00BD0223">
        <w:t xml:space="preserve"> resultando em um decrescimento proporcional dessas rubricas sobre o total da arrecadação</w:t>
      </w:r>
      <w:r w:rsidR="00D33C45" w:rsidRPr="00BD0223">
        <w:t>.</w:t>
      </w:r>
      <w:r w:rsidR="00B21F9A" w:rsidRPr="00BD0223">
        <w:t xml:space="preserve"> </w:t>
      </w:r>
      <w:r w:rsidR="00D33C45" w:rsidRPr="00BD0223">
        <w:t>O</w:t>
      </w:r>
      <w:r w:rsidR="00B21F9A" w:rsidRPr="00BD0223">
        <w:t xml:space="preserve"> contexto</w:t>
      </w:r>
      <w:r w:rsidR="00D33C45" w:rsidRPr="00BD0223">
        <w:t xml:space="preserve"> </w:t>
      </w:r>
      <w:r w:rsidR="005B3C7E" w:rsidRPr="00BD0223">
        <w:t>colocado</w:t>
      </w:r>
      <w:r w:rsidR="00D33C45" w:rsidRPr="00BD0223">
        <w:t xml:space="preserve"> pela crise econômica e pela deterioração das contas públicas estaduais do estado de Minas Gerais</w:t>
      </w:r>
      <w:r w:rsidR="00B21F9A" w:rsidRPr="00BD0223">
        <w:t xml:space="preserve"> resultou em uma maior importância da arrecadação de ICMS sobre produtos específicos, dentre eles os combustíveis, os quais possuem alíquotas específicas de incidência.</w:t>
      </w:r>
      <w:bookmarkStart w:id="29" w:name="_Toc55329406"/>
    </w:p>
    <w:p w14:paraId="36B3D6C8" w14:textId="77777777" w:rsidR="004F409C" w:rsidRDefault="004F409C" w:rsidP="007C0824">
      <w:pPr>
        <w:pStyle w:val="TNORMAL"/>
      </w:pPr>
    </w:p>
    <w:p w14:paraId="6B2FA0B5" w14:textId="41369D6A" w:rsidR="00C117F2" w:rsidRPr="00BD0223" w:rsidRDefault="00142B6E" w:rsidP="007A55C5">
      <w:pPr>
        <w:pStyle w:val="Tfigura-titulo"/>
        <w:jc w:val="both"/>
      </w:pPr>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11</w:t>
      </w:r>
      <w:r w:rsidRPr="00BD0223">
        <w:fldChar w:fldCharType="end"/>
      </w:r>
      <w:r w:rsidRPr="00BD0223">
        <w:t xml:space="preserve"> ― </w:t>
      </w:r>
      <w:r w:rsidR="00C117F2" w:rsidRPr="00BD0223">
        <w:t>Evolução da arrecadação de ICMS sobre os combustíveis no estado de Minas Gerais durante o período 2010-2018 com valores deflacionados a preços de 2010 (em bilhões de R$)</w:t>
      </w:r>
      <w:bookmarkEnd w:id="29"/>
    </w:p>
    <w:p w14:paraId="325AE2D1" w14:textId="6855F749" w:rsidR="00B21F9A" w:rsidRPr="00BD0223" w:rsidRDefault="00B21F9A" w:rsidP="00142B6E">
      <w:pPr>
        <w:pStyle w:val="Tfigura-figura"/>
        <w:rPr>
          <w:rFonts w:cs="Times New Roman"/>
          <w:sz w:val="28"/>
          <w:szCs w:val="28"/>
        </w:rPr>
      </w:pPr>
      <w:r w:rsidRPr="00BD0223">
        <w:drawing>
          <wp:inline distT="0" distB="0" distL="0" distR="0" wp14:anchorId="05CA0B35" wp14:editId="0D6C7DD9">
            <wp:extent cx="5762625" cy="2743200"/>
            <wp:effectExtent l="0" t="0" r="9525" b="19050"/>
            <wp:docPr id="20" name="Gráfico 20">
              <a:extLst xmlns:a="http://schemas.openxmlformats.org/drawingml/2006/main">
                <a:ext uri="{FF2B5EF4-FFF2-40B4-BE49-F238E27FC236}">
                  <a16:creationId xmlns:a16="http://schemas.microsoft.com/office/drawing/2014/main" id="{55BDBFD3-FD67-41C3-889B-E2FAA5A054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3F466D" w14:textId="77777777" w:rsidR="00C117F2" w:rsidRPr="00BD0223" w:rsidRDefault="00C117F2" w:rsidP="00142B6E">
      <w:pPr>
        <w:pStyle w:val="Ttabela-fonte"/>
      </w:pPr>
      <w:r w:rsidRPr="00BD0223">
        <w:t>Fonte Secretaria de Fazenda do Estado de Minas Gerias, Elaboração Própria</w:t>
      </w:r>
    </w:p>
    <w:p w14:paraId="788E38CE" w14:textId="77777777" w:rsidR="00374C86" w:rsidRDefault="00374C86" w:rsidP="007D7A19">
      <w:pPr>
        <w:pStyle w:val="Tfigura-titulo"/>
      </w:pPr>
      <w:bookmarkStart w:id="30" w:name="_Toc55329407"/>
    </w:p>
    <w:p w14:paraId="6D7BDC8C" w14:textId="77777777" w:rsidR="00374C86" w:rsidRDefault="00374C86" w:rsidP="007D7A19">
      <w:pPr>
        <w:pStyle w:val="Tfigura-titulo"/>
      </w:pPr>
    </w:p>
    <w:p w14:paraId="50DF2B32" w14:textId="305EC27E" w:rsidR="00C117F2" w:rsidRPr="00BD0223" w:rsidRDefault="00142B6E" w:rsidP="007D7A19">
      <w:pPr>
        <w:pStyle w:val="Tfigura-titulo"/>
      </w:pPr>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12</w:t>
      </w:r>
      <w:r w:rsidRPr="00BD0223">
        <w:fldChar w:fldCharType="end"/>
      </w:r>
      <w:r w:rsidRPr="00BD0223">
        <w:t xml:space="preserve"> ― </w:t>
      </w:r>
      <w:r w:rsidR="00C117F2" w:rsidRPr="00BD0223">
        <w:t>Evolução da arrecadação de ICMS sobre combustíveis como proporção da arrecadação de total de ICMS</w:t>
      </w:r>
      <w:bookmarkEnd w:id="30"/>
    </w:p>
    <w:p w14:paraId="5752C550" w14:textId="5CCC9756" w:rsidR="00B21F9A" w:rsidRPr="00BD0223" w:rsidRDefault="00CC798F" w:rsidP="00142B6E">
      <w:pPr>
        <w:pStyle w:val="Tfigura-figura"/>
        <w:rPr>
          <w:rFonts w:cs="Times New Roman"/>
          <w:sz w:val="28"/>
          <w:szCs w:val="28"/>
        </w:rPr>
      </w:pPr>
      <w:r w:rsidRPr="00BD0223">
        <w:drawing>
          <wp:inline distT="0" distB="0" distL="0" distR="0" wp14:anchorId="09BD4E3E" wp14:editId="26BA9D36">
            <wp:extent cx="5762625" cy="2852420"/>
            <wp:effectExtent l="0" t="0" r="9525" b="24130"/>
            <wp:docPr id="22" name="Gráfico 22">
              <a:extLst xmlns:a="http://schemas.openxmlformats.org/drawingml/2006/main">
                <a:ext uri="{FF2B5EF4-FFF2-40B4-BE49-F238E27FC236}">
                  <a16:creationId xmlns:a16="http://schemas.microsoft.com/office/drawing/2014/main" id="{2E910C8C-B628-4819-BAEF-D71DB3F7C5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57D97DA" w14:textId="3C682BDF" w:rsidR="003B5AA5" w:rsidRDefault="00C117F2" w:rsidP="007C0824">
      <w:pPr>
        <w:pStyle w:val="Ttabela-fonte"/>
      </w:pPr>
      <w:r w:rsidRPr="00BD0223">
        <w:t>Fonte: Secretaria de Fazenda do Estado de Minas Gerias, Elaboração Própria</w:t>
      </w:r>
    </w:p>
    <w:p w14:paraId="0367E521" w14:textId="77777777" w:rsidR="004F409C" w:rsidRPr="004F409C" w:rsidRDefault="004F409C" w:rsidP="004F409C">
      <w:pPr>
        <w:pStyle w:val="TNORMAL"/>
        <w:rPr>
          <w:lang w:val="pt-BR" w:eastAsia="pt-PT"/>
        </w:rPr>
      </w:pPr>
    </w:p>
    <w:p w14:paraId="0A37D485" w14:textId="4D90A7AC" w:rsidR="005A75F1" w:rsidRPr="00BD0223" w:rsidRDefault="00C117F2" w:rsidP="004F409C">
      <w:pPr>
        <w:pStyle w:val="TIT1"/>
        <w:jc w:val="center"/>
      </w:pPr>
      <w:bookmarkStart w:id="31" w:name="_Toc55329624"/>
      <w:r w:rsidRPr="00BD0223">
        <w:rPr>
          <w:caps w:val="0"/>
        </w:rPr>
        <w:lastRenderedPageBreak/>
        <w:t>TRIBUTAÇÃO SOBRE OS COMBUSTÍVEIS AUTOMOTORES E O IMPACTO NO VAREJO DE GASOLINA E DIESEL DO TRIÂNGULO MINEIRO</w:t>
      </w:r>
      <w:bookmarkEnd w:id="31"/>
    </w:p>
    <w:p w14:paraId="2A5B499A" w14:textId="3D366819" w:rsidR="005A75F1" w:rsidRPr="00BD0223" w:rsidRDefault="00C117F2" w:rsidP="00C117F2">
      <w:pPr>
        <w:pStyle w:val="TIT2"/>
      </w:pPr>
      <w:bookmarkStart w:id="32" w:name="_Toc55329625"/>
      <w:r w:rsidRPr="00BD0223">
        <w:rPr>
          <w:caps w:val="0"/>
        </w:rPr>
        <w:t>TRIBUTAÇÃO SOBRE A GASOLINA E O DIESEL NO PERÍODO 2010-2018</w:t>
      </w:r>
      <w:bookmarkEnd w:id="32"/>
    </w:p>
    <w:p w14:paraId="7AD1D521" w14:textId="119A0716" w:rsidR="00C379CB" w:rsidRPr="00BD0223" w:rsidRDefault="005A75F1" w:rsidP="00C117F2">
      <w:pPr>
        <w:pStyle w:val="TNORMAL"/>
      </w:pPr>
      <w:r w:rsidRPr="00BD0223">
        <w:t>Como já foi citado anteriormente o Brasil optou no seu passado por introduzir o método da substituição tributária</w:t>
      </w:r>
      <w:r w:rsidR="00365E1F" w:rsidRPr="00BD0223">
        <w:t>,</w:t>
      </w:r>
      <w:r w:rsidRPr="00BD0223">
        <w:t xml:space="preserve"> simplificando assim a relação entre o fisco e o contribuinte. No que se refere aos combustíveis esse método gerou uma distorção a mais nas políticas tributárias, pois o aumento da incidência tributária pode acontecer tanto </w:t>
      </w:r>
      <w:r w:rsidR="00F4269A">
        <w:t xml:space="preserve">por </w:t>
      </w:r>
      <w:r w:rsidRPr="00BD0223">
        <w:t>um aumento da alíquota</w:t>
      </w:r>
      <w:r w:rsidR="00C379CB" w:rsidRPr="00BD0223">
        <w:t xml:space="preserve"> quanto </w:t>
      </w:r>
      <w:r w:rsidR="00F4269A">
        <w:t xml:space="preserve">por </w:t>
      </w:r>
      <w:r w:rsidR="00C379CB" w:rsidRPr="00BD0223">
        <w:t xml:space="preserve">um aumento do </w:t>
      </w:r>
      <w:r w:rsidR="00F4269A">
        <w:t>PMPF (p</w:t>
      </w:r>
      <w:r w:rsidR="00C379CB" w:rsidRPr="00BD0223">
        <w:t xml:space="preserve">reço </w:t>
      </w:r>
      <w:r w:rsidR="00F4269A">
        <w:t>m</w:t>
      </w:r>
      <w:r w:rsidR="00C379CB" w:rsidRPr="00BD0223">
        <w:t xml:space="preserve">édio </w:t>
      </w:r>
      <w:r w:rsidR="00F4269A">
        <w:t>p</w:t>
      </w:r>
      <w:r w:rsidR="00C379CB" w:rsidRPr="00BD0223">
        <w:t xml:space="preserve">onderado ao </w:t>
      </w:r>
      <w:r w:rsidR="00F4269A">
        <w:t>c</w:t>
      </w:r>
      <w:r w:rsidR="00C379CB" w:rsidRPr="00BD0223">
        <w:t xml:space="preserve">onsumidor </w:t>
      </w:r>
      <w:r w:rsidR="00F4269A">
        <w:t>f</w:t>
      </w:r>
      <w:r w:rsidR="00C379CB" w:rsidRPr="00BD0223">
        <w:t>inal</w:t>
      </w:r>
      <w:r w:rsidR="00F4269A">
        <w:t>)</w:t>
      </w:r>
      <w:r w:rsidR="00C379CB" w:rsidRPr="00BD0223">
        <w:t>. O PMPF muda de estado para estado e o Confaz é responsável por atualizar a tabela de preços quinzenalmente para os seguintes produtos</w:t>
      </w:r>
      <w:r w:rsidR="00F4269A">
        <w:t xml:space="preserve"> </w:t>
      </w:r>
      <w:r w:rsidR="00C379CB" w:rsidRPr="00BD0223">
        <w:t xml:space="preserve">gasolina, etanol e diesel. </w:t>
      </w:r>
      <w:r w:rsidR="000A7C71" w:rsidRPr="00BD0223">
        <w:t>A divulgação de tal preço acontece para que a refinaria recolha o imposto referente tanto a parcela do atacado quanto do varejo</w:t>
      </w:r>
      <w:r w:rsidR="00F4269A">
        <w:t>. No</w:t>
      </w:r>
      <w:r w:rsidR="000A7C71" w:rsidRPr="00BD0223">
        <w:t xml:space="preserve"> caso da gasolina e do diesel os recursos são destinados aos estados de destino do consumo e no caso do etanol aos estados produtores.</w:t>
      </w:r>
    </w:p>
    <w:p w14:paraId="02392449" w14:textId="5D0E9867" w:rsidR="00DC3E12" w:rsidRPr="00BD0223" w:rsidRDefault="00DC3E12" w:rsidP="00C117F2">
      <w:pPr>
        <w:pStyle w:val="TNORMAL"/>
      </w:pPr>
      <w:r w:rsidRPr="00BD0223">
        <w:t>Um estudo feito pela Fundação Getúlio Vargas</w:t>
      </w:r>
      <w:r w:rsidR="00AB6AC1" w:rsidRPr="00BD0223">
        <w:t xml:space="preserve"> estimou o potencial de arrecadação de ICMS sobre vendas combustíveis automobilísticos em R$ 95,1 bilhões no ano de 2018, aproximadamente R$ </w:t>
      </w:r>
      <w:r w:rsidR="00BF3FBB" w:rsidRPr="00BD0223">
        <w:t>5</w:t>
      </w:r>
      <w:r w:rsidR="00AB6AC1" w:rsidRPr="00BD0223">
        <w:t xml:space="preserve"> bilhões a mais do que foi realmente arrecadado. A distorção da relação entre o fisco e o contribuinte do setor ocorre devido </w:t>
      </w:r>
      <w:r w:rsidR="000F6AAB" w:rsidRPr="00BD0223">
        <w:t>à</w:t>
      </w:r>
      <w:r w:rsidR="00AB6AC1" w:rsidRPr="00BD0223">
        <w:t xml:space="preserve"> complexidade do sistema tributário. Há</w:t>
      </w:r>
      <w:r w:rsidR="00BF3FBB" w:rsidRPr="00BD0223">
        <w:t>, por exemplo,</w:t>
      </w:r>
      <w:r w:rsidR="00AB6AC1" w:rsidRPr="00BD0223">
        <w:t xml:space="preserve"> a reivindicação de créditos por parte de varejistas e atacadistas que comercializam combustíveis abaixo do preço médio ponderado ao consumidor final, e os agentes que vendem acima de alguma forma não arcam com a totalidade da alíquota</w:t>
      </w:r>
      <w:r w:rsidR="00BF3FBB" w:rsidRPr="00BD0223">
        <w:t>.</w:t>
      </w:r>
    </w:p>
    <w:p w14:paraId="4D413924" w14:textId="0FBCA967" w:rsidR="00BF3FBB" w:rsidRPr="00BD0223" w:rsidRDefault="00BF3FBB" w:rsidP="00C117F2">
      <w:pPr>
        <w:pStyle w:val="TNORMAL"/>
      </w:pPr>
      <w:r w:rsidRPr="00BD0223">
        <w:t>A extinção do preço médio ponderado ao consumidor final, apesar de</w:t>
      </w:r>
      <w:r w:rsidR="009034B1" w:rsidRPr="00BD0223">
        <w:t xml:space="preserve"> o mesmo</w:t>
      </w:r>
      <w:r w:rsidRPr="00BD0223">
        <w:t xml:space="preserve"> gerar distorções na cadeia de petróleo e gás, pode </w:t>
      </w:r>
      <w:r w:rsidR="009034B1" w:rsidRPr="00BD0223">
        <w:t>ocasionar</w:t>
      </w:r>
      <w:r w:rsidRPr="00BD0223">
        <w:t xml:space="preserve"> aumento de impostos,</w:t>
      </w:r>
      <w:r w:rsidR="00A04F4D" w:rsidRPr="00BD0223">
        <w:t xml:space="preserve"> pois</w:t>
      </w:r>
      <w:r w:rsidRPr="00BD0223">
        <w:t xml:space="preserve"> se não feita de maneira planejada tenderia a causar mais cumulatividade. Para resolver tais problemas sem gerar </w:t>
      </w:r>
      <w:r w:rsidR="00A04F4D" w:rsidRPr="00BD0223">
        <w:t xml:space="preserve">outros seria necessário, como está nas propostas de criação do IBS, a </w:t>
      </w:r>
      <w:r w:rsidR="00365E1F" w:rsidRPr="00BD0223">
        <w:t>introdução</w:t>
      </w:r>
      <w:r w:rsidR="00A04F4D" w:rsidRPr="00BD0223">
        <w:t xml:space="preserve"> de um IVA de base ampla e uniforme sobre todos os produtos </w:t>
      </w:r>
      <w:r w:rsidR="00365E1F" w:rsidRPr="00BD0223">
        <w:t>gerando</w:t>
      </w:r>
      <w:r w:rsidR="00A04F4D" w:rsidRPr="00BD0223">
        <w:t xml:space="preserve"> créditos tributários a cadeias anteriores.</w:t>
      </w:r>
    </w:p>
    <w:p w14:paraId="1DC2951A" w14:textId="1AE2A395" w:rsidR="000A7C71" w:rsidRPr="00BD0223" w:rsidRDefault="00C117F2" w:rsidP="00C117F2">
      <w:pPr>
        <w:pStyle w:val="TIT2"/>
      </w:pPr>
      <w:bookmarkStart w:id="33" w:name="_Toc55329626"/>
      <w:r w:rsidRPr="00BD0223">
        <w:rPr>
          <w:caps w:val="0"/>
        </w:rPr>
        <w:lastRenderedPageBreak/>
        <w:t>O ETANOL COMO CONCORRENTE SUBSTITUTO DA GASOLINA E A POLÍTICA DE ALÍQUOTAS DE ICMS DOS ESTADOS DE MINAS GERAIS E SÃO PAULO</w:t>
      </w:r>
      <w:bookmarkEnd w:id="33"/>
    </w:p>
    <w:p w14:paraId="5D4AD5F9" w14:textId="0108C15D" w:rsidR="004C4878" w:rsidRPr="00BD0223" w:rsidRDefault="00A04F4D" w:rsidP="00C117F2">
      <w:pPr>
        <w:pStyle w:val="TNORMAL"/>
      </w:pPr>
      <w:r w:rsidRPr="00BD0223">
        <w:t>A segunda década do século XXI</w:t>
      </w:r>
      <w:r w:rsidR="00365E1F" w:rsidRPr="00BD0223">
        <w:t xml:space="preserve"> apresentou</w:t>
      </w:r>
      <w:r w:rsidR="009034B1" w:rsidRPr="00BD0223">
        <w:t>, no que diz respeito ao mercado de combustíveis,</w:t>
      </w:r>
      <w:r w:rsidRPr="00BD0223">
        <w:t xml:space="preserve"> diversas características turbulentas principalmente no período que vai de 2010 a 2015. Já em 2010 era previsto um aumento maior na demanda por etanol em relação a gasolina, o que não </w:t>
      </w:r>
      <w:r w:rsidR="00365E1F" w:rsidRPr="00BD0223">
        <w:t>ocorreu</w:t>
      </w:r>
      <w:r w:rsidRPr="00BD0223">
        <w:t xml:space="preserve"> na velocidade esperada</w:t>
      </w:r>
      <w:r w:rsidR="00365E1F" w:rsidRPr="00BD0223">
        <w:t xml:space="preserve"> nos anos seguintes</w:t>
      </w:r>
      <w:r w:rsidRPr="00BD0223">
        <w:t xml:space="preserve">. Os esforços da Petrobras se concentraram em construir mais capacidade de produção de diesel, e se esperava uma evolução no setor de cana de açúcar e etanol, o que fez com que o </w:t>
      </w:r>
      <w:r w:rsidR="00F4269A">
        <w:t>P</w:t>
      </w:r>
      <w:r w:rsidRPr="00BD0223">
        <w:t>aís no início da década tivesse que</w:t>
      </w:r>
      <w:r w:rsidR="00365E1F" w:rsidRPr="00BD0223">
        <w:t xml:space="preserve"> intensificar a</w:t>
      </w:r>
      <w:r w:rsidRPr="00BD0223">
        <w:t xml:space="preserve"> importa</w:t>
      </w:r>
      <w:r w:rsidR="00365E1F" w:rsidRPr="00BD0223">
        <w:t>ção</w:t>
      </w:r>
      <w:r w:rsidRPr="00BD0223">
        <w:t xml:space="preserve"> </w:t>
      </w:r>
      <w:r w:rsidR="00F4269A">
        <w:t xml:space="preserve">de </w:t>
      </w:r>
      <w:r w:rsidRPr="00BD0223">
        <w:t>gasolina</w:t>
      </w:r>
      <w:r w:rsidR="004C4878" w:rsidRPr="00BD0223">
        <w:t xml:space="preserve">. Antes de 2014 os </w:t>
      </w:r>
      <w:r w:rsidR="004C4878" w:rsidRPr="007A55C5">
        <w:t>relatório</w:t>
      </w:r>
      <w:r w:rsidR="007A55C5" w:rsidRPr="007A55C5">
        <w:t>s</w:t>
      </w:r>
      <w:r w:rsidR="004C4878" w:rsidRPr="007A55C5">
        <w:t xml:space="preserve"> da Fecombustíve</w:t>
      </w:r>
      <w:r w:rsidR="007A55C5" w:rsidRPr="007A55C5">
        <w:t>is (RELATÓRIOS ANUAIS DE REVENDA, 2010-2017)</w:t>
      </w:r>
      <w:r w:rsidR="004C4878" w:rsidRPr="007A55C5">
        <w:t xml:space="preserve"> </w:t>
      </w:r>
      <w:r w:rsidR="004C4878" w:rsidRPr="00BD0223">
        <w:t>já alertavam para situação de aumento da importação de gasolina e queda na margem de lucro da Petrobr</w:t>
      </w:r>
      <w:r w:rsidR="00F4269A">
        <w:t>á</w:t>
      </w:r>
      <w:r w:rsidR="004C4878" w:rsidRPr="00BD0223">
        <w:t>s devido a política de segurar os preços para o consumidor final. Esse contexto foi amenizado na segunda</w:t>
      </w:r>
      <w:r w:rsidR="00365E1F" w:rsidRPr="00BD0223">
        <w:t xml:space="preserve"> metade da</w:t>
      </w:r>
      <w:r w:rsidR="004C4878" w:rsidRPr="00BD0223">
        <w:t xml:space="preserve"> década devido ao aumento da utilização das refinarias de diesel que estavam em construção anteriormente</w:t>
      </w:r>
      <w:r w:rsidR="00F4269A">
        <w:t xml:space="preserve">, </w:t>
      </w:r>
      <w:r w:rsidR="004C4878" w:rsidRPr="00BD0223">
        <w:t>possibilit</w:t>
      </w:r>
      <w:r w:rsidR="00F4269A">
        <w:t>ando</w:t>
      </w:r>
      <w:r w:rsidR="004C4878" w:rsidRPr="00BD0223">
        <w:t xml:space="preserve"> </w:t>
      </w:r>
      <w:r w:rsidR="00D419E7" w:rsidRPr="00BD0223">
        <w:t>à</w:t>
      </w:r>
      <w:r w:rsidR="004C4878" w:rsidRPr="00BD0223">
        <w:t>s refinarias mais antigas</w:t>
      </w:r>
      <w:r w:rsidR="00D419E7" w:rsidRPr="00BD0223">
        <w:t>,</w:t>
      </w:r>
      <w:r w:rsidR="004C4878" w:rsidRPr="00BD0223">
        <w:t xml:space="preserve"> que antes tinham que suprir a demanda por gasolina e diesel</w:t>
      </w:r>
      <w:r w:rsidR="00D419E7" w:rsidRPr="00BD0223">
        <w:t>,</w:t>
      </w:r>
      <w:r w:rsidR="004C4878" w:rsidRPr="00BD0223">
        <w:t xml:space="preserve"> se concentrarem apenas na produção de gasolina.</w:t>
      </w:r>
    </w:p>
    <w:p w14:paraId="2B5E9314" w14:textId="44872333" w:rsidR="002F0EB3" w:rsidRDefault="00CE09F8" w:rsidP="00C117F2">
      <w:pPr>
        <w:pStyle w:val="TNORMAL"/>
      </w:pPr>
      <w:r w:rsidRPr="00BD0223">
        <w:t>Relacionado a política de ICMS</w:t>
      </w:r>
      <w:r w:rsidR="00365E1F" w:rsidRPr="00BD0223">
        <w:t xml:space="preserve"> historicamente</w:t>
      </w:r>
      <w:r w:rsidRPr="00BD0223">
        <w:t xml:space="preserve"> o estado de São Paulo apresent</w:t>
      </w:r>
      <w:r w:rsidR="00365E1F" w:rsidRPr="00BD0223">
        <w:t>a</w:t>
      </w:r>
      <w:r w:rsidRPr="00BD0223">
        <w:t xml:space="preserve"> alíquotas</w:t>
      </w:r>
      <w:r w:rsidR="0016129D" w:rsidRPr="00BD0223">
        <w:t xml:space="preserve"> de ICMS</w:t>
      </w:r>
      <w:r w:rsidRPr="00BD0223">
        <w:t xml:space="preserve"> abaixo da média nacional tanto no que se refere a</w:t>
      </w:r>
      <w:r w:rsidR="0016129D" w:rsidRPr="00BD0223">
        <w:t xml:space="preserve"> gasolina</w:t>
      </w:r>
      <w:r w:rsidRPr="00BD0223">
        <w:t xml:space="preserve"> quanto a</w:t>
      </w:r>
      <w:r w:rsidR="0016129D" w:rsidRPr="00BD0223">
        <w:t>o</w:t>
      </w:r>
      <w:r w:rsidRPr="00BD0223">
        <w:t xml:space="preserve"> </w:t>
      </w:r>
      <w:r w:rsidR="0016129D" w:rsidRPr="00BD0223">
        <w:t>etanol</w:t>
      </w:r>
      <w:r w:rsidRPr="00BD0223">
        <w:t>, mantendo a incidência para ambas em</w:t>
      </w:r>
      <w:r w:rsidR="0016129D" w:rsidRPr="00BD0223">
        <w:t xml:space="preserve"> 25% e 12% respectivamente durante o período de 2010 a 2018. Minas Gerais em 2010 possuía uma alíquota de 25% de ICMS na gasolina, a qual foi aumentada em 2011 para 27%, passou para 29% em 2015 e sofreu outro aumento em 2018 passando para 31%. Os aumentos seguidos de alíquotas de ICMS sobre a gasolina foram necessários para atenuar o efeito da queda de arrecadação advinda da crise econômica de 201</w:t>
      </w:r>
      <w:r w:rsidR="009034B1" w:rsidRPr="00BD0223">
        <w:t>4-</w:t>
      </w:r>
      <w:r w:rsidR="0016129D" w:rsidRPr="00BD0223">
        <w:t>201</w:t>
      </w:r>
      <w:r w:rsidR="009034B1" w:rsidRPr="00BD0223">
        <w:t>6</w:t>
      </w:r>
      <w:r w:rsidR="0016129D" w:rsidRPr="00BD0223">
        <w:t>, como mais tarde</w:t>
      </w:r>
      <w:r w:rsidRPr="00BD0223">
        <w:t xml:space="preserve"> </w:t>
      </w:r>
      <w:r w:rsidR="0016129D" w:rsidRPr="00BD0223">
        <w:t>a situação fiscal do estado permaneceu deteriorada teve que se lançar mão do aumento de alíquota em 2018</w:t>
      </w:r>
      <w:r w:rsidR="006A6980" w:rsidRPr="00BD0223">
        <w:t>. No tocante ao etanol durante a maior parte do período 2010-2018 o governo de Minas Gerais apresentou tendências de redução da tributação, em 2011 a alíquota que era de 25% no ano anterior pass</w:t>
      </w:r>
      <w:r w:rsidR="009034B1" w:rsidRPr="00BD0223">
        <w:t>ou</w:t>
      </w:r>
      <w:r w:rsidR="006A6980" w:rsidRPr="00BD0223">
        <w:t xml:space="preserve"> para 22%, chegando na porcentagem de 14% em 2014 bem próxima ao que era praticado no estado de São Paulo, em 2018 ocorreu a mudança da alíquota de 14% para 16%</w:t>
      </w:r>
      <w:r w:rsidR="007777ED">
        <w:t>. Tal política de redução de alíquotas foi muito comum em diversos estados com o objetivo de incentivar a produção.</w:t>
      </w:r>
      <w:r w:rsidR="006A6980" w:rsidRPr="00BD0223">
        <w:t xml:space="preserve"> </w:t>
      </w:r>
    </w:p>
    <w:p w14:paraId="640D49C5" w14:textId="77777777" w:rsidR="007777ED" w:rsidRPr="00F4269A" w:rsidRDefault="007777ED" w:rsidP="00C117F2">
      <w:pPr>
        <w:pStyle w:val="TNORMAL"/>
        <w:rPr>
          <w:color w:val="FF0000"/>
        </w:rPr>
      </w:pPr>
    </w:p>
    <w:p w14:paraId="667F0D8A" w14:textId="1CFE2735" w:rsidR="00040CEC" w:rsidRPr="00BD0223" w:rsidRDefault="00142B6E" w:rsidP="007777ED">
      <w:pPr>
        <w:pStyle w:val="Tfigura-titulo"/>
        <w:jc w:val="both"/>
      </w:pPr>
      <w:bookmarkStart w:id="34" w:name="_Toc55329426"/>
      <w:r w:rsidRPr="00BD0223">
        <w:lastRenderedPageBreak/>
        <w:t xml:space="preserve">Tabela </w:t>
      </w:r>
      <w:r w:rsidRPr="00BD0223">
        <w:fldChar w:fldCharType="begin"/>
      </w:r>
      <w:r w:rsidRPr="00BD0223">
        <w:instrText xml:space="preserve"> SEQ Tabela \* ARABIC </w:instrText>
      </w:r>
      <w:r w:rsidRPr="00BD0223">
        <w:fldChar w:fldCharType="separate"/>
      </w:r>
      <w:r w:rsidR="009A5BEE">
        <w:rPr>
          <w:noProof/>
        </w:rPr>
        <w:t>1</w:t>
      </w:r>
      <w:r w:rsidRPr="00BD0223">
        <w:fldChar w:fldCharType="end"/>
      </w:r>
      <w:r w:rsidRPr="00BD0223">
        <w:t xml:space="preserve"> ― </w:t>
      </w:r>
      <w:r w:rsidR="00CA4FF5" w:rsidRPr="00BD0223">
        <w:t xml:space="preserve">Preço médio ao consumidor final com impostos da gasolina segundo a pesquisa da Agência Nacional de Petróleo </w:t>
      </w:r>
      <w:r w:rsidR="00CA4FF5" w:rsidRPr="007777ED">
        <w:t xml:space="preserve">no ano de 2010 </w:t>
      </w:r>
      <w:r w:rsidR="007777ED" w:rsidRPr="007777ED">
        <w:t>e</w:t>
      </w:r>
      <w:r w:rsidR="00CA4FF5" w:rsidRPr="007777ED">
        <w:t xml:space="preserve">m </w:t>
      </w:r>
      <w:r w:rsidR="00CA4FF5" w:rsidRPr="00BD0223">
        <w:t>São Paulo e Minas Gerais</w:t>
      </w:r>
      <w:r w:rsidRPr="00BD0223">
        <w:t>.</w:t>
      </w:r>
      <w:bookmarkEnd w:id="34"/>
    </w:p>
    <w:tbl>
      <w:tblPr>
        <w:tblW w:w="4946" w:type="pct"/>
        <w:jc w:val="center"/>
        <w:tblCellMar>
          <w:left w:w="70" w:type="dxa"/>
          <w:right w:w="70" w:type="dxa"/>
        </w:tblCellMar>
        <w:tblLook w:val="04A0" w:firstRow="1" w:lastRow="0" w:firstColumn="1" w:lastColumn="0" w:noHBand="0" w:noVBand="1"/>
      </w:tblPr>
      <w:tblGrid>
        <w:gridCol w:w="2763"/>
        <w:gridCol w:w="3384"/>
        <w:gridCol w:w="2914"/>
      </w:tblGrid>
      <w:tr w:rsidR="006260EF" w:rsidRPr="00BD0223" w14:paraId="4DC697E2" w14:textId="77777777" w:rsidTr="007D7A19">
        <w:trPr>
          <w:trHeight w:val="315"/>
          <w:jc w:val="center"/>
        </w:trPr>
        <w:tc>
          <w:tcPr>
            <w:tcW w:w="2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87467" w14:textId="301BCDA2"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bookmarkStart w:id="35" w:name="_Hlk54710767"/>
          </w:p>
        </w:tc>
        <w:tc>
          <w:tcPr>
            <w:tcW w:w="3403" w:type="dxa"/>
            <w:tcBorders>
              <w:top w:val="single" w:sz="4" w:space="0" w:color="auto"/>
              <w:left w:val="nil"/>
              <w:bottom w:val="single" w:sz="4" w:space="0" w:color="auto"/>
              <w:right w:val="single" w:sz="4" w:space="0" w:color="auto"/>
            </w:tcBorders>
            <w:shd w:val="clear" w:color="auto" w:fill="auto"/>
            <w:noWrap/>
            <w:vAlign w:val="bottom"/>
            <w:hideMark/>
          </w:tcPr>
          <w:p w14:paraId="709676C5"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Minas Gerais</w:t>
            </w:r>
          </w:p>
        </w:tc>
        <w:tc>
          <w:tcPr>
            <w:tcW w:w="2930" w:type="dxa"/>
            <w:tcBorders>
              <w:top w:val="single" w:sz="4" w:space="0" w:color="auto"/>
              <w:left w:val="nil"/>
              <w:bottom w:val="single" w:sz="4" w:space="0" w:color="auto"/>
              <w:right w:val="single" w:sz="4" w:space="0" w:color="auto"/>
            </w:tcBorders>
            <w:shd w:val="clear" w:color="auto" w:fill="auto"/>
            <w:noWrap/>
            <w:vAlign w:val="bottom"/>
            <w:hideMark/>
          </w:tcPr>
          <w:p w14:paraId="57575E39"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São Paulo</w:t>
            </w:r>
          </w:p>
        </w:tc>
      </w:tr>
      <w:tr w:rsidR="006260EF" w:rsidRPr="00BD0223" w14:paraId="547F7EAD" w14:textId="77777777" w:rsidTr="007D7A19">
        <w:trPr>
          <w:trHeight w:val="315"/>
          <w:jc w:val="center"/>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14:paraId="56BD9783"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Janeiro</w:t>
            </w:r>
          </w:p>
        </w:tc>
        <w:tc>
          <w:tcPr>
            <w:tcW w:w="3403" w:type="dxa"/>
            <w:tcBorders>
              <w:top w:val="nil"/>
              <w:left w:val="nil"/>
              <w:bottom w:val="single" w:sz="4" w:space="0" w:color="auto"/>
              <w:right w:val="single" w:sz="4" w:space="0" w:color="auto"/>
            </w:tcBorders>
            <w:shd w:val="clear" w:color="auto" w:fill="auto"/>
            <w:noWrap/>
            <w:vAlign w:val="bottom"/>
            <w:hideMark/>
          </w:tcPr>
          <w:p w14:paraId="426A5155"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2,525</w:t>
            </w:r>
          </w:p>
        </w:tc>
        <w:tc>
          <w:tcPr>
            <w:tcW w:w="2930" w:type="dxa"/>
            <w:tcBorders>
              <w:top w:val="nil"/>
              <w:left w:val="nil"/>
              <w:bottom w:val="single" w:sz="4" w:space="0" w:color="auto"/>
              <w:right w:val="single" w:sz="4" w:space="0" w:color="auto"/>
            </w:tcBorders>
            <w:shd w:val="clear" w:color="auto" w:fill="auto"/>
            <w:noWrap/>
            <w:vAlign w:val="bottom"/>
            <w:hideMark/>
          </w:tcPr>
          <w:p w14:paraId="03BF146E"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2,49</w:t>
            </w:r>
          </w:p>
        </w:tc>
      </w:tr>
      <w:tr w:rsidR="006260EF" w:rsidRPr="00BD0223" w14:paraId="6C11CE7B" w14:textId="77777777" w:rsidTr="007D7A19">
        <w:trPr>
          <w:trHeight w:val="315"/>
          <w:jc w:val="center"/>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14:paraId="3A2B8DF6"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Fevereiro</w:t>
            </w:r>
          </w:p>
        </w:tc>
        <w:tc>
          <w:tcPr>
            <w:tcW w:w="3403" w:type="dxa"/>
            <w:tcBorders>
              <w:top w:val="nil"/>
              <w:left w:val="nil"/>
              <w:bottom w:val="single" w:sz="4" w:space="0" w:color="auto"/>
              <w:right w:val="single" w:sz="4" w:space="0" w:color="auto"/>
            </w:tcBorders>
            <w:shd w:val="clear" w:color="auto" w:fill="auto"/>
            <w:noWrap/>
            <w:vAlign w:val="bottom"/>
            <w:hideMark/>
          </w:tcPr>
          <w:p w14:paraId="33F1EB69"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2,557</w:t>
            </w:r>
          </w:p>
        </w:tc>
        <w:tc>
          <w:tcPr>
            <w:tcW w:w="2930" w:type="dxa"/>
            <w:tcBorders>
              <w:top w:val="nil"/>
              <w:left w:val="nil"/>
              <w:bottom w:val="single" w:sz="4" w:space="0" w:color="auto"/>
              <w:right w:val="single" w:sz="4" w:space="0" w:color="auto"/>
            </w:tcBorders>
            <w:shd w:val="clear" w:color="auto" w:fill="auto"/>
            <w:noWrap/>
            <w:vAlign w:val="bottom"/>
            <w:hideMark/>
          </w:tcPr>
          <w:p w14:paraId="62E0FB33"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2,518</w:t>
            </w:r>
          </w:p>
        </w:tc>
      </w:tr>
      <w:tr w:rsidR="006260EF" w:rsidRPr="00BD0223" w14:paraId="13F79A8B" w14:textId="77777777" w:rsidTr="007D7A19">
        <w:trPr>
          <w:trHeight w:val="315"/>
          <w:jc w:val="center"/>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14:paraId="022B47AA"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Março</w:t>
            </w:r>
          </w:p>
        </w:tc>
        <w:tc>
          <w:tcPr>
            <w:tcW w:w="3403" w:type="dxa"/>
            <w:tcBorders>
              <w:top w:val="nil"/>
              <w:left w:val="nil"/>
              <w:bottom w:val="single" w:sz="4" w:space="0" w:color="auto"/>
              <w:right w:val="single" w:sz="4" w:space="0" w:color="auto"/>
            </w:tcBorders>
            <w:shd w:val="clear" w:color="auto" w:fill="auto"/>
            <w:noWrap/>
            <w:vAlign w:val="bottom"/>
            <w:hideMark/>
          </w:tcPr>
          <w:p w14:paraId="5168E55A"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2,532</w:t>
            </w:r>
          </w:p>
        </w:tc>
        <w:tc>
          <w:tcPr>
            <w:tcW w:w="2930" w:type="dxa"/>
            <w:tcBorders>
              <w:top w:val="nil"/>
              <w:left w:val="nil"/>
              <w:bottom w:val="single" w:sz="4" w:space="0" w:color="auto"/>
              <w:right w:val="single" w:sz="4" w:space="0" w:color="auto"/>
            </w:tcBorders>
            <w:shd w:val="clear" w:color="auto" w:fill="auto"/>
            <w:noWrap/>
            <w:vAlign w:val="bottom"/>
            <w:hideMark/>
          </w:tcPr>
          <w:p w14:paraId="40338810"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2,483</w:t>
            </w:r>
          </w:p>
        </w:tc>
      </w:tr>
      <w:tr w:rsidR="006260EF" w:rsidRPr="00BD0223" w14:paraId="7A652576" w14:textId="77777777" w:rsidTr="007D7A19">
        <w:trPr>
          <w:trHeight w:val="315"/>
          <w:jc w:val="center"/>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14:paraId="1CF079F9"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Abril</w:t>
            </w:r>
          </w:p>
        </w:tc>
        <w:tc>
          <w:tcPr>
            <w:tcW w:w="3403" w:type="dxa"/>
            <w:tcBorders>
              <w:top w:val="nil"/>
              <w:left w:val="nil"/>
              <w:bottom w:val="single" w:sz="4" w:space="0" w:color="auto"/>
              <w:right w:val="single" w:sz="4" w:space="0" w:color="auto"/>
            </w:tcBorders>
            <w:shd w:val="clear" w:color="auto" w:fill="auto"/>
            <w:noWrap/>
            <w:vAlign w:val="bottom"/>
            <w:hideMark/>
          </w:tcPr>
          <w:p w14:paraId="50841721"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2,498</w:t>
            </w:r>
          </w:p>
        </w:tc>
        <w:tc>
          <w:tcPr>
            <w:tcW w:w="2930" w:type="dxa"/>
            <w:tcBorders>
              <w:top w:val="nil"/>
              <w:left w:val="nil"/>
              <w:bottom w:val="single" w:sz="4" w:space="0" w:color="auto"/>
              <w:right w:val="single" w:sz="4" w:space="0" w:color="auto"/>
            </w:tcBorders>
            <w:shd w:val="clear" w:color="auto" w:fill="auto"/>
            <w:noWrap/>
            <w:vAlign w:val="bottom"/>
            <w:hideMark/>
          </w:tcPr>
          <w:p w14:paraId="76782660"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2,454</w:t>
            </w:r>
          </w:p>
        </w:tc>
      </w:tr>
      <w:tr w:rsidR="006260EF" w:rsidRPr="00BD0223" w14:paraId="3B146FB9" w14:textId="77777777" w:rsidTr="007D7A19">
        <w:trPr>
          <w:trHeight w:val="315"/>
          <w:jc w:val="center"/>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14:paraId="155B11FC"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Maio</w:t>
            </w:r>
          </w:p>
        </w:tc>
        <w:tc>
          <w:tcPr>
            <w:tcW w:w="3403" w:type="dxa"/>
            <w:tcBorders>
              <w:top w:val="nil"/>
              <w:left w:val="nil"/>
              <w:bottom w:val="single" w:sz="4" w:space="0" w:color="auto"/>
              <w:right w:val="single" w:sz="4" w:space="0" w:color="auto"/>
            </w:tcBorders>
            <w:shd w:val="clear" w:color="auto" w:fill="auto"/>
            <w:noWrap/>
            <w:vAlign w:val="bottom"/>
            <w:hideMark/>
          </w:tcPr>
          <w:p w14:paraId="61CDBC99"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2,495</w:t>
            </w:r>
          </w:p>
        </w:tc>
        <w:tc>
          <w:tcPr>
            <w:tcW w:w="2930" w:type="dxa"/>
            <w:tcBorders>
              <w:top w:val="nil"/>
              <w:left w:val="nil"/>
              <w:bottom w:val="single" w:sz="4" w:space="0" w:color="auto"/>
              <w:right w:val="single" w:sz="4" w:space="0" w:color="auto"/>
            </w:tcBorders>
            <w:shd w:val="clear" w:color="auto" w:fill="auto"/>
            <w:noWrap/>
            <w:vAlign w:val="bottom"/>
            <w:hideMark/>
          </w:tcPr>
          <w:p w14:paraId="2CC9216F"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2,436</w:t>
            </w:r>
          </w:p>
        </w:tc>
      </w:tr>
      <w:tr w:rsidR="006260EF" w:rsidRPr="00BD0223" w14:paraId="7FE11F7D" w14:textId="77777777" w:rsidTr="007D7A19">
        <w:trPr>
          <w:trHeight w:val="315"/>
          <w:jc w:val="center"/>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14:paraId="1A0EE23A"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Junho</w:t>
            </w:r>
          </w:p>
        </w:tc>
        <w:tc>
          <w:tcPr>
            <w:tcW w:w="3403" w:type="dxa"/>
            <w:tcBorders>
              <w:top w:val="nil"/>
              <w:left w:val="nil"/>
              <w:bottom w:val="single" w:sz="4" w:space="0" w:color="auto"/>
              <w:right w:val="single" w:sz="4" w:space="0" w:color="auto"/>
            </w:tcBorders>
            <w:shd w:val="clear" w:color="auto" w:fill="auto"/>
            <w:noWrap/>
            <w:vAlign w:val="bottom"/>
            <w:hideMark/>
          </w:tcPr>
          <w:p w14:paraId="480992A0"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2,481</w:t>
            </w:r>
          </w:p>
        </w:tc>
        <w:tc>
          <w:tcPr>
            <w:tcW w:w="2930" w:type="dxa"/>
            <w:tcBorders>
              <w:top w:val="nil"/>
              <w:left w:val="nil"/>
              <w:bottom w:val="single" w:sz="4" w:space="0" w:color="auto"/>
              <w:right w:val="single" w:sz="4" w:space="0" w:color="auto"/>
            </w:tcBorders>
            <w:shd w:val="clear" w:color="auto" w:fill="auto"/>
            <w:noWrap/>
            <w:vAlign w:val="bottom"/>
            <w:hideMark/>
          </w:tcPr>
          <w:p w14:paraId="324AEFDF"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2,424</w:t>
            </w:r>
          </w:p>
        </w:tc>
      </w:tr>
      <w:tr w:rsidR="006260EF" w:rsidRPr="00BD0223" w14:paraId="140A2D30" w14:textId="77777777" w:rsidTr="007D7A19">
        <w:trPr>
          <w:trHeight w:val="315"/>
          <w:jc w:val="center"/>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14:paraId="7A820AAC"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Julho</w:t>
            </w:r>
          </w:p>
        </w:tc>
        <w:tc>
          <w:tcPr>
            <w:tcW w:w="3403" w:type="dxa"/>
            <w:tcBorders>
              <w:top w:val="nil"/>
              <w:left w:val="nil"/>
              <w:bottom w:val="single" w:sz="4" w:space="0" w:color="auto"/>
              <w:right w:val="single" w:sz="4" w:space="0" w:color="auto"/>
            </w:tcBorders>
            <w:shd w:val="clear" w:color="auto" w:fill="auto"/>
            <w:noWrap/>
            <w:vAlign w:val="bottom"/>
            <w:hideMark/>
          </w:tcPr>
          <w:p w14:paraId="69E069E2"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2,498</w:t>
            </w:r>
          </w:p>
        </w:tc>
        <w:tc>
          <w:tcPr>
            <w:tcW w:w="2930" w:type="dxa"/>
            <w:tcBorders>
              <w:top w:val="nil"/>
              <w:left w:val="nil"/>
              <w:bottom w:val="single" w:sz="4" w:space="0" w:color="auto"/>
              <w:right w:val="single" w:sz="4" w:space="0" w:color="auto"/>
            </w:tcBorders>
            <w:shd w:val="clear" w:color="auto" w:fill="auto"/>
            <w:noWrap/>
            <w:vAlign w:val="bottom"/>
            <w:hideMark/>
          </w:tcPr>
          <w:p w14:paraId="614AF79D"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2,428</w:t>
            </w:r>
          </w:p>
        </w:tc>
      </w:tr>
      <w:tr w:rsidR="006260EF" w:rsidRPr="00BD0223" w14:paraId="74EE86CF" w14:textId="77777777" w:rsidTr="007D7A19">
        <w:trPr>
          <w:trHeight w:val="315"/>
          <w:jc w:val="center"/>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14:paraId="6574342C"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Agosto</w:t>
            </w:r>
          </w:p>
        </w:tc>
        <w:tc>
          <w:tcPr>
            <w:tcW w:w="3403" w:type="dxa"/>
            <w:tcBorders>
              <w:top w:val="nil"/>
              <w:left w:val="nil"/>
              <w:bottom w:val="single" w:sz="4" w:space="0" w:color="auto"/>
              <w:right w:val="single" w:sz="4" w:space="0" w:color="auto"/>
            </w:tcBorders>
            <w:shd w:val="clear" w:color="auto" w:fill="auto"/>
            <w:noWrap/>
            <w:vAlign w:val="bottom"/>
            <w:hideMark/>
          </w:tcPr>
          <w:p w14:paraId="36025C7E"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2,501</w:t>
            </w:r>
          </w:p>
        </w:tc>
        <w:tc>
          <w:tcPr>
            <w:tcW w:w="2930" w:type="dxa"/>
            <w:tcBorders>
              <w:top w:val="nil"/>
              <w:left w:val="nil"/>
              <w:bottom w:val="single" w:sz="4" w:space="0" w:color="auto"/>
              <w:right w:val="single" w:sz="4" w:space="0" w:color="auto"/>
            </w:tcBorders>
            <w:shd w:val="clear" w:color="auto" w:fill="auto"/>
            <w:noWrap/>
            <w:vAlign w:val="bottom"/>
            <w:hideMark/>
          </w:tcPr>
          <w:p w14:paraId="13A325D1"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2,434</w:t>
            </w:r>
          </w:p>
        </w:tc>
      </w:tr>
      <w:tr w:rsidR="006260EF" w:rsidRPr="00BD0223" w14:paraId="4AE7F15C" w14:textId="77777777" w:rsidTr="007D7A19">
        <w:trPr>
          <w:trHeight w:val="315"/>
          <w:jc w:val="center"/>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14:paraId="7DB6A2C4"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Setembro</w:t>
            </w:r>
          </w:p>
        </w:tc>
        <w:tc>
          <w:tcPr>
            <w:tcW w:w="3403" w:type="dxa"/>
            <w:tcBorders>
              <w:top w:val="nil"/>
              <w:left w:val="nil"/>
              <w:bottom w:val="single" w:sz="4" w:space="0" w:color="auto"/>
              <w:right w:val="single" w:sz="4" w:space="0" w:color="auto"/>
            </w:tcBorders>
            <w:shd w:val="clear" w:color="auto" w:fill="auto"/>
            <w:noWrap/>
            <w:vAlign w:val="bottom"/>
            <w:hideMark/>
          </w:tcPr>
          <w:p w14:paraId="628F24E0"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w:t>
            </w:r>
          </w:p>
        </w:tc>
        <w:tc>
          <w:tcPr>
            <w:tcW w:w="2930" w:type="dxa"/>
            <w:tcBorders>
              <w:top w:val="nil"/>
              <w:left w:val="nil"/>
              <w:bottom w:val="single" w:sz="4" w:space="0" w:color="auto"/>
              <w:right w:val="single" w:sz="4" w:space="0" w:color="auto"/>
            </w:tcBorders>
            <w:shd w:val="clear" w:color="auto" w:fill="auto"/>
            <w:noWrap/>
            <w:vAlign w:val="bottom"/>
            <w:hideMark/>
          </w:tcPr>
          <w:p w14:paraId="28867FF7"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2,437</w:t>
            </w:r>
          </w:p>
        </w:tc>
      </w:tr>
      <w:tr w:rsidR="006260EF" w:rsidRPr="00BD0223" w14:paraId="69ACBBFC" w14:textId="77777777" w:rsidTr="007D7A19">
        <w:trPr>
          <w:trHeight w:val="315"/>
          <w:jc w:val="center"/>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14:paraId="3F232CF7"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Outubro</w:t>
            </w:r>
          </w:p>
        </w:tc>
        <w:tc>
          <w:tcPr>
            <w:tcW w:w="3403" w:type="dxa"/>
            <w:tcBorders>
              <w:top w:val="nil"/>
              <w:left w:val="nil"/>
              <w:bottom w:val="single" w:sz="4" w:space="0" w:color="auto"/>
              <w:right w:val="single" w:sz="4" w:space="0" w:color="auto"/>
            </w:tcBorders>
            <w:shd w:val="clear" w:color="auto" w:fill="auto"/>
            <w:noWrap/>
            <w:vAlign w:val="bottom"/>
            <w:hideMark/>
          </w:tcPr>
          <w:p w14:paraId="4380D1B4"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2,522</w:t>
            </w:r>
          </w:p>
        </w:tc>
        <w:tc>
          <w:tcPr>
            <w:tcW w:w="2930" w:type="dxa"/>
            <w:tcBorders>
              <w:top w:val="nil"/>
              <w:left w:val="nil"/>
              <w:bottom w:val="single" w:sz="4" w:space="0" w:color="auto"/>
              <w:right w:val="single" w:sz="4" w:space="0" w:color="auto"/>
            </w:tcBorders>
            <w:shd w:val="clear" w:color="auto" w:fill="auto"/>
            <w:noWrap/>
            <w:vAlign w:val="bottom"/>
            <w:hideMark/>
          </w:tcPr>
          <w:p w14:paraId="3FF9B54A"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2,47</w:t>
            </w:r>
          </w:p>
        </w:tc>
      </w:tr>
      <w:tr w:rsidR="006260EF" w:rsidRPr="00BD0223" w14:paraId="59861749" w14:textId="77777777" w:rsidTr="007D7A19">
        <w:trPr>
          <w:trHeight w:val="315"/>
          <w:jc w:val="center"/>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14:paraId="22B4A62A"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Novembro</w:t>
            </w:r>
          </w:p>
        </w:tc>
        <w:tc>
          <w:tcPr>
            <w:tcW w:w="3403" w:type="dxa"/>
            <w:tcBorders>
              <w:top w:val="nil"/>
              <w:left w:val="nil"/>
              <w:bottom w:val="single" w:sz="4" w:space="0" w:color="auto"/>
              <w:right w:val="single" w:sz="4" w:space="0" w:color="auto"/>
            </w:tcBorders>
            <w:shd w:val="clear" w:color="auto" w:fill="auto"/>
            <w:noWrap/>
            <w:vAlign w:val="bottom"/>
            <w:hideMark/>
          </w:tcPr>
          <w:p w14:paraId="07575727"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2,534</w:t>
            </w:r>
          </w:p>
        </w:tc>
        <w:tc>
          <w:tcPr>
            <w:tcW w:w="2930" w:type="dxa"/>
            <w:tcBorders>
              <w:top w:val="nil"/>
              <w:left w:val="nil"/>
              <w:bottom w:val="single" w:sz="4" w:space="0" w:color="auto"/>
              <w:right w:val="single" w:sz="4" w:space="0" w:color="auto"/>
            </w:tcBorders>
            <w:shd w:val="clear" w:color="auto" w:fill="auto"/>
            <w:noWrap/>
            <w:vAlign w:val="bottom"/>
            <w:hideMark/>
          </w:tcPr>
          <w:p w14:paraId="3CB727FE"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2,483</w:t>
            </w:r>
          </w:p>
        </w:tc>
      </w:tr>
      <w:tr w:rsidR="006260EF" w:rsidRPr="00BD0223" w14:paraId="53A29C26" w14:textId="77777777" w:rsidTr="007D7A19">
        <w:trPr>
          <w:trHeight w:val="315"/>
          <w:jc w:val="center"/>
        </w:trPr>
        <w:tc>
          <w:tcPr>
            <w:tcW w:w="2778" w:type="dxa"/>
            <w:tcBorders>
              <w:top w:val="nil"/>
              <w:left w:val="single" w:sz="4" w:space="0" w:color="auto"/>
              <w:bottom w:val="single" w:sz="4" w:space="0" w:color="auto"/>
              <w:right w:val="single" w:sz="4" w:space="0" w:color="auto"/>
            </w:tcBorders>
            <w:shd w:val="clear" w:color="auto" w:fill="auto"/>
            <w:noWrap/>
            <w:vAlign w:val="bottom"/>
            <w:hideMark/>
          </w:tcPr>
          <w:p w14:paraId="08382776"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Dezembro</w:t>
            </w:r>
          </w:p>
        </w:tc>
        <w:tc>
          <w:tcPr>
            <w:tcW w:w="3403" w:type="dxa"/>
            <w:tcBorders>
              <w:top w:val="nil"/>
              <w:left w:val="nil"/>
              <w:bottom w:val="single" w:sz="4" w:space="0" w:color="auto"/>
              <w:right w:val="single" w:sz="4" w:space="0" w:color="auto"/>
            </w:tcBorders>
            <w:shd w:val="clear" w:color="auto" w:fill="auto"/>
            <w:noWrap/>
            <w:vAlign w:val="bottom"/>
            <w:hideMark/>
          </w:tcPr>
          <w:p w14:paraId="6D4E8878" w14:textId="77777777" w:rsidR="006260EF" w:rsidRPr="00BD0223" w:rsidRDefault="006260EF" w:rsidP="006260EF">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2,549</w:t>
            </w:r>
          </w:p>
        </w:tc>
        <w:tc>
          <w:tcPr>
            <w:tcW w:w="2930" w:type="dxa"/>
            <w:tcBorders>
              <w:top w:val="nil"/>
              <w:left w:val="nil"/>
              <w:bottom w:val="single" w:sz="4" w:space="0" w:color="auto"/>
              <w:right w:val="single" w:sz="4" w:space="0" w:color="auto"/>
            </w:tcBorders>
            <w:shd w:val="clear" w:color="auto" w:fill="auto"/>
            <w:noWrap/>
            <w:vAlign w:val="bottom"/>
            <w:hideMark/>
          </w:tcPr>
          <w:p w14:paraId="78D6630B" w14:textId="77777777" w:rsidR="006260EF" w:rsidRPr="00BD0223" w:rsidRDefault="006260EF" w:rsidP="006260EF">
            <w:pPr>
              <w:keepNext/>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2,499</w:t>
            </w:r>
          </w:p>
        </w:tc>
      </w:tr>
    </w:tbl>
    <w:bookmarkEnd w:id="35"/>
    <w:p w14:paraId="6010FBDD" w14:textId="436EE0E2" w:rsidR="00AA4D1B" w:rsidRDefault="007D7A19" w:rsidP="007C0824">
      <w:pPr>
        <w:pStyle w:val="Ttabela-fonte"/>
      </w:pPr>
      <w:r w:rsidRPr="007777ED">
        <w:t>Fonte: ANP</w:t>
      </w:r>
      <w:r w:rsidR="007777ED" w:rsidRPr="007777ED">
        <w:t>, Elaboração Própria</w:t>
      </w:r>
      <w:bookmarkStart w:id="36" w:name="_Toc55329427"/>
    </w:p>
    <w:p w14:paraId="679EA770" w14:textId="4A0D5BD4" w:rsidR="007777ED" w:rsidRDefault="00142B6E" w:rsidP="007777ED">
      <w:pPr>
        <w:pStyle w:val="Tfigura-titulo"/>
        <w:jc w:val="both"/>
      </w:pPr>
      <w:r w:rsidRPr="00BD0223">
        <w:t xml:space="preserve">Tabela </w:t>
      </w:r>
      <w:r w:rsidRPr="00BD0223">
        <w:fldChar w:fldCharType="begin"/>
      </w:r>
      <w:r w:rsidRPr="00BD0223">
        <w:instrText xml:space="preserve"> SEQ Tabela \* ARABIC </w:instrText>
      </w:r>
      <w:r w:rsidRPr="00BD0223">
        <w:fldChar w:fldCharType="separate"/>
      </w:r>
      <w:r w:rsidR="009A5BEE">
        <w:rPr>
          <w:noProof/>
        </w:rPr>
        <w:t>2</w:t>
      </w:r>
      <w:r w:rsidRPr="00BD0223">
        <w:fldChar w:fldCharType="end"/>
      </w:r>
      <w:r w:rsidRPr="00BD0223">
        <w:t xml:space="preserve"> ― Preço médio ao consumidor final com impostos da gasolina segundo a pesquisa da Agência Nacional de Petróleo no ano de</w:t>
      </w:r>
      <w:r w:rsidR="007777ED">
        <w:t xml:space="preserve"> </w:t>
      </w:r>
      <w:r w:rsidRPr="00BD0223">
        <w:t xml:space="preserve">2011 em São Paulo e Minas Gerais. </w:t>
      </w:r>
    </w:p>
    <w:bookmarkEnd w:id="36"/>
    <w:p w14:paraId="446BC0D6" w14:textId="45DFC42C" w:rsidR="00142B6E" w:rsidRPr="00BD0223" w:rsidRDefault="00142B6E" w:rsidP="007777ED">
      <w:pPr>
        <w:pStyle w:val="Tfigura-figura"/>
        <w:rPr>
          <w:lang w:val="pt-PT" w:eastAsia="pt-PT"/>
        </w:rPr>
      </w:pPr>
      <w:r w:rsidRPr="00BD0223">
        <w:drawing>
          <wp:inline distT="0" distB="0" distL="0" distR="0" wp14:anchorId="6F83FCAF" wp14:editId="5ED9772C">
            <wp:extent cx="5768503" cy="2508885"/>
            <wp:effectExtent l="0" t="0" r="3810" b="5715"/>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l="2145" r="975" b="2475"/>
                    <a:stretch/>
                  </pic:blipFill>
                  <pic:spPr bwMode="auto">
                    <a:xfrm>
                      <a:off x="0" y="0"/>
                      <a:ext cx="5779411" cy="2513629"/>
                    </a:xfrm>
                    <a:prstGeom prst="rect">
                      <a:avLst/>
                    </a:prstGeom>
                    <a:noFill/>
                    <a:ln>
                      <a:noFill/>
                    </a:ln>
                    <a:extLst>
                      <a:ext uri="{53640926-AAD7-44D8-BBD7-CCE9431645EC}">
                        <a14:shadowObscured xmlns:a14="http://schemas.microsoft.com/office/drawing/2010/main"/>
                      </a:ext>
                    </a:extLst>
                  </pic:spPr>
                </pic:pic>
              </a:graphicData>
            </a:graphic>
          </wp:inline>
        </w:drawing>
      </w:r>
    </w:p>
    <w:p w14:paraId="09BA227B" w14:textId="0FB619BE" w:rsidR="00AA4D1B" w:rsidRDefault="00142B6E" w:rsidP="007C0824">
      <w:pPr>
        <w:pStyle w:val="Ttabela-fonte"/>
      </w:pPr>
      <w:r w:rsidRPr="00BD0223">
        <w:t>Fonte</w:t>
      </w:r>
      <w:r w:rsidRPr="00BD0223">
        <w:rPr>
          <w:rFonts w:cs="Times New Roman"/>
          <w:szCs w:val="20"/>
        </w:rPr>
        <w:t>: ANP</w:t>
      </w:r>
      <w:r w:rsidR="007777ED">
        <w:rPr>
          <w:rFonts w:cs="Times New Roman"/>
          <w:szCs w:val="20"/>
        </w:rPr>
        <w:t>, Elaboração Própria</w:t>
      </w:r>
    </w:p>
    <w:p w14:paraId="0190185B" w14:textId="5806471E" w:rsidR="00AA4D1B" w:rsidRPr="00BD0223" w:rsidRDefault="00CE5A19" w:rsidP="007C0824">
      <w:pPr>
        <w:pStyle w:val="TNORMAL"/>
      </w:pPr>
      <w:r w:rsidRPr="00BD0223">
        <w:t xml:space="preserve">As </w:t>
      </w:r>
      <w:r w:rsidR="00E41E4E">
        <w:t>T</w:t>
      </w:r>
      <w:r w:rsidRPr="00BD0223">
        <w:t>abelas 1 e 2 mostram que no ano de 2010 quando os estados de São Paulo e Minas Gerais possuíam a mesma alíquota de 25% de ICMS incidente sobre a gasolina, já havia uma diferença de preços entre os dois estados</w:t>
      </w:r>
      <w:r w:rsidR="00C771FA" w:rsidRPr="00BD0223">
        <w:t>. A</w:t>
      </w:r>
      <w:r w:rsidRPr="00BD0223">
        <w:t xml:space="preserve"> diferença de </w:t>
      </w:r>
      <w:r w:rsidR="00C771FA" w:rsidRPr="00BD0223">
        <w:t xml:space="preserve">valor cobrado nos postos </w:t>
      </w:r>
      <w:r w:rsidR="00AA364C" w:rsidRPr="00BD0223">
        <w:t>combustíveis aument</w:t>
      </w:r>
      <w:r w:rsidR="000F6AAB" w:rsidRPr="00BD0223">
        <w:t>ou</w:t>
      </w:r>
      <w:r w:rsidR="009034B1" w:rsidRPr="00BD0223">
        <w:t xml:space="preserve"> em 2011</w:t>
      </w:r>
      <w:r w:rsidRPr="00BD0223">
        <w:t xml:space="preserve"> devido ao repasse ao consumidor</w:t>
      </w:r>
      <w:r w:rsidR="00C771FA" w:rsidRPr="00BD0223">
        <w:t xml:space="preserve"> do aumento da alíquota de ICMS do estado mineiro</w:t>
      </w:r>
      <w:r w:rsidR="00365E1F" w:rsidRPr="00BD0223">
        <w:t>,</w:t>
      </w:r>
      <w:r w:rsidR="00C771FA" w:rsidRPr="00BD0223">
        <w:t xml:space="preserve"> em 2010 a diferença variava entre </w:t>
      </w:r>
      <w:r w:rsidR="00AA364C" w:rsidRPr="00BD0223">
        <w:t>3 e 7 centavos</w:t>
      </w:r>
      <w:r w:rsidR="008F6045" w:rsidRPr="00BD0223">
        <w:t xml:space="preserve"> </w:t>
      </w:r>
      <w:r w:rsidR="00AA364C" w:rsidRPr="00BD0223">
        <w:t>aumenta</w:t>
      </w:r>
      <w:r w:rsidR="008F6045" w:rsidRPr="00BD0223">
        <w:t>ndo</w:t>
      </w:r>
      <w:r w:rsidR="00AA364C" w:rsidRPr="00BD0223">
        <w:t xml:space="preserve"> para fa</w:t>
      </w:r>
      <w:r w:rsidR="00E41E4E">
        <w:t>ixa</w:t>
      </w:r>
      <w:r w:rsidR="00AA364C" w:rsidRPr="00BD0223">
        <w:t xml:space="preserve"> de aproximadamente 15 centavos em 2011 chegando em até 17 e 18 centavos em alguns meses. </w:t>
      </w:r>
      <w:r w:rsidR="0075021F" w:rsidRPr="00BD0223">
        <w:lastRenderedPageBreak/>
        <w:t xml:space="preserve">No ano de 2014 de acordo com a </w:t>
      </w:r>
      <w:r w:rsidR="00E41E4E">
        <w:t>T</w:t>
      </w:r>
      <w:r w:rsidR="0075021F" w:rsidRPr="00BD0223">
        <w:t xml:space="preserve">abela 3 a diferença entre os preços médios dos dois estados se encontrava próxima a 10 centavos, no ano seguinte houve aumento na alíquota de ICMS da gasolina por parte do </w:t>
      </w:r>
      <w:r w:rsidR="00E41E4E">
        <w:t>G</w:t>
      </w:r>
      <w:r w:rsidR="0075021F" w:rsidRPr="00BD0223">
        <w:t xml:space="preserve">overno mineiro para 29% o que aumentou a diferença de preços para próximo de 20 a 24 centavos em alguns meses. O último aumento de ICMS por parte do governo de Minas Gerais ocorreu em 2018, o qual elevou alíquota para 31% fazendo com que a diferença de preços entre os dois estados se elevasse significativamente </w:t>
      </w:r>
      <w:r w:rsidR="00974809" w:rsidRPr="00BD0223">
        <w:t>a aproximadamente 50 centavos.</w:t>
      </w:r>
    </w:p>
    <w:p w14:paraId="777B8702" w14:textId="5046C86F" w:rsidR="00974809" w:rsidRPr="00BD0223" w:rsidRDefault="007D7A19" w:rsidP="007777ED">
      <w:pPr>
        <w:pStyle w:val="Tfigura-titulo"/>
        <w:jc w:val="both"/>
      </w:pPr>
      <w:bookmarkStart w:id="37" w:name="_Toc55329428"/>
      <w:r w:rsidRPr="00BD0223">
        <w:t xml:space="preserve">Tabela </w:t>
      </w:r>
      <w:r w:rsidRPr="00BD0223">
        <w:fldChar w:fldCharType="begin"/>
      </w:r>
      <w:r w:rsidRPr="00BD0223">
        <w:instrText xml:space="preserve"> SEQ Tabela \* ARABIC </w:instrText>
      </w:r>
      <w:r w:rsidRPr="00BD0223">
        <w:fldChar w:fldCharType="separate"/>
      </w:r>
      <w:r w:rsidR="009A5BEE">
        <w:rPr>
          <w:noProof/>
        </w:rPr>
        <w:t>3</w:t>
      </w:r>
      <w:r w:rsidRPr="00BD0223">
        <w:fldChar w:fldCharType="end"/>
      </w:r>
      <w:r w:rsidRPr="00BD0223">
        <w:t xml:space="preserve"> ― </w:t>
      </w:r>
      <w:r w:rsidR="00974809" w:rsidRPr="00BD0223">
        <w:t>Preço médio ao consumidor final com impostos da gasolina segundo a pesquisa da Agência Nacional de Petróleo no ano de 2014 em São Paulo e Minas Gerais</w:t>
      </w:r>
      <w:r w:rsidRPr="00BD0223">
        <w:t>.</w:t>
      </w:r>
      <w:bookmarkEnd w:id="37"/>
    </w:p>
    <w:p w14:paraId="6656D103" w14:textId="19E4D620" w:rsidR="007D7A19" w:rsidRPr="00BD0223" w:rsidRDefault="007D7A19" w:rsidP="007D7A19">
      <w:pPr>
        <w:pStyle w:val="Tfigura-figura"/>
      </w:pPr>
      <w:r w:rsidRPr="00BD0223">
        <w:drawing>
          <wp:inline distT="0" distB="0" distL="0" distR="0" wp14:anchorId="74BBBD69" wp14:editId="7239B4A8">
            <wp:extent cx="5797685" cy="2349500"/>
            <wp:effectExtent l="0" t="0" r="0" b="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983" r="1178" b="3481"/>
                    <a:stretch/>
                  </pic:blipFill>
                  <pic:spPr bwMode="auto">
                    <a:xfrm>
                      <a:off x="0" y="0"/>
                      <a:ext cx="5810659" cy="2354758"/>
                    </a:xfrm>
                    <a:prstGeom prst="rect">
                      <a:avLst/>
                    </a:prstGeom>
                    <a:noFill/>
                    <a:ln>
                      <a:noFill/>
                    </a:ln>
                    <a:extLst>
                      <a:ext uri="{53640926-AAD7-44D8-BBD7-CCE9431645EC}">
                        <a14:shadowObscured xmlns:a14="http://schemas.microsoft.com/office/drawing/2010/main"/>
                      </a:ext>
                    </a:extLst>
                  </pic:spPr>
                </pic:pic>
              </a:graphicData>
            </a:graphic>
          </wp:inline>
        </w:drawing>
      </w:r>
    </w:p>
    <w:p w14:paraId="473B14C0" w14:textId="03E3337A" w:rsidR="00016269" w:rsidRDefault="007D7A19" w:rsidP="007C0824">
      <w:pPr>
        <w:pStyle w:val="Ttabela-fonte"/>
      </w:pPr>
      <w:r w:rsidRPr="00BD0223">
        <w:t>Fonte: ANP</w:t>
      </w:r>
      <w:r w:rsidR="007777ED">
        <w:t>, Elaboração Própria</w:t>
      </w:r>
      <w:bookmarkStart w:id="38" w:name="_Toc55329429"/>
    </w:p>
    <w:p w14:paraId="4EE97135" w14:textId="1527BC20" w:rsidR="00974809" w:rsidRPr="00BD0223" w:rsidRDefault="007D7A19" w:rsidP="007777ED">
      <w:pPr>
        <w:pStyle w:val="Tfigura-titulo"/>
        <w:jc w:val="both"/>
      </w:pPr>
      <w:r w:rsidRPr="00BD0223">
        <w:t xml:space="preserve">Tabela </w:t>
      </w:r>
      <w:r w:rsidRPr="00BD0223">
        <w:fldChar w:fldCharType="begin"/>
      </w:r>
      <w:r w:rsidRPr="00BD0223">
        <w:instrText xml:space="preserve"> SEQ Tabela \* ARABIC </w:instrText>
      </w:r>
      <w:r w:rsidRPr="00BD0223">
        <w:fldChar w:fldCharType="separate"/>
      </w:r>
      <w:r w:rsidR="009A5BEE">
        <w:rPr>
          <w:noProof/>
        </w:rPr>
        <w:t>4</w:t>
      </w:r>
      <w:r w:rsidRPr="00BD0223">
        <w:fldChar w:fldCharType="end"/>
      </w:r>
      <w:r w:rsidRPr="00BD0223">
        <w:t xml:space="preserve"> ― Preço médio ao consumidor final com impostos da gasolina segundo a pesquisa da Agência Nacional de Petróleo no</w:t>
      </w:r>
      <w:r w:rsidR="007777ED">
        <w:t>e</w:t>
      </w:r>
      <w:r w:rsidRPr="00BD0223">
        <w:t xml:space="preserve"> ano d</w:t>
      </w:r>
      <w:r w:rsidR="007777ED">
        <w:t>e</w:t>
      </w:r>
      <w:r w:rsidRPr="00BD0223">
        <w:t xml:space="preserve"> 2015 em São Paulo e Minas Gerais. </w:t>
      </w:r>
      <w:bookmarkEnd w:id="38"/>
    </w:p>
    <w:p w14:paraId="3E533CB3" w14:textId="5E31B98D" w:rsidR="007D7A19" w:rsidRPr="00BD0223" w:rsidRDefault="007D7A19" w:rsidP="00E30DEB">
      <w:pPr>
        <w:pStyle w:val="Tfigura-figura"/>
      </w:pPr>
      <w:r w:rsidRPr="00BD0223">
        <w:drawing>
          <wp:inline distT="0" distB="0" distL="0" distR="0" wp14:anchorId="3F6CB97C" wp14:editId="43CF65B6">
            <wp:extent cx="2371060" cy="2339163"/>
            <wp:effectExtent l="0" t="0" r="0" b="4445"/>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b="3918"/>
                    <a:stretch/>
                  </pic:blipFill>
                  <pic:spPr bwMode="auto">
                    <a:xfrm>
                      <a:off x="0" y="0"/>
                      <a:ext cx="2371090" cy="2339193"/>
                    </a:xfrm>
                    <a:prstGeom prst="rect">
                      <a:avLst/>
                    </a:prstGeom>
                    <a:noFill/>
                    <a:ln>
                      <a:noFill/>
                    </a:ln>
                    <a:extLst>
                      <a:ext uri="{53640926-AAD7-44D8-BBD7-CCE9431645EC}">
                        <a14:shadowObscured xmlns:a14="http://schemas.microsoft.com/office/drawing/2010/main"/>
                      </a:ext>
                    </a:extLst>
                  </pic:spPr>
                </pic:pic>
              </a:graphicData>
            </a:graphic>
          </wp:inline>
        </w:drawing>
      </w:r>
    </w:p>
    <w:p w14:paraId="2937E4AF" w14:textId="3E3A802D" w:rsidR="00AA4D1B" w:rsidRDefault="00974809" w:rsidP="007C0824">
      <w:pPr>
        <w:pStyle w:val="Ttabela-fonte"/>
        <w:ind w:left="2694"/>
      </w:pPr>
      <w:r w:rsidRPr="00BD0223">
        <w:t>Fonte: ANP</w:t>
      </w:r>
      <w:r w:rsidR="007777ED">
        <w:t>, Elaboração Própria</w:t>
      </w:r>
    </w:p>
    <w:p w14:paraId="332B5593" w14:textId="34BD7E64" w:rsidR="007D7A19" w:rsidRPr="00BD0223" w:rsidRDefault="007D7A19" w:rsidP="007777ED">
      <w:pPr>
        <w:pStyle w:val="Tfigura-titulo"/>
        <w:jc w:val="both"/>
      </w:pPr>
      <w:bookmarkStart w:id="39" w:name="_Toc55329430"/>
      <w:r w:rsidRPr="00BD0223">
        <w:lastRenderedPageBreak/>
        <w:t xml:space="preserve">Tabela </w:t>
      </w:r>
      <w:r w:rsidRPr="00BD0223">
        <w:fldChar w:fldCharType="begin"/>
      </w:r>
      <w:r w:rsidRPr="00BD0223">
        <w:instrText xml:space="preserve"> SEQ Tabela \* ARABIC </w:instrText>
      </w:r>
      <w:r w:rsidRPr="00BD0223">
        <w:fldChar w:fldCharType="separate"/>
      </w:r>
      <w:r w:rsidR="009A5BEE">
        <w:rPr>
          <w:noProof/>
        </w:rPr>
        <w:t>5</w:t>
      </w:r>
      <w:r w:rsidRPr="00BD0223">
        <w:fldChar w:fldCharType="end"/>
      </w:r>
      <w:r w:rsidRPr="00BD0223">
        <w:t xml:space="preserve"> ― </w:t>
      </w:r>
      <w:r w:rsidR="00974809" w:rsidRPr="00BD0223">
        <w:t>Preço médio ao consumidor final com impostos da gasolina segundo a pesquisa da Agência Nacional de Petróleo no ano de 2017 em São Paulo e Minas Gerais</w:t>
      </w:r>
      <w:r w:rsidRPr="00BD0223">
        <w:t xml:space="preserve">. </w:t>
      </w:r>
      <w:bookmarkEnd w:id="39"/>
    </w:p>
    <w:p w14:paraId="5CE261F4" w14:textId="7A4332B9" w:rsidR="007D7A19" w:rsidRPr="00BD0223" w:rsidRDefault="007D7A19" w:rsidP="007D7A19">
      <w:pPr>
        <w:pStyle w:val="Tfigura-figura"/>
      </w:pPr>
      <w:r w:rsidRPr="00BD0223">
        <w:drawing>
          <wp:inline distT="0" distB="0" distL="0" distR="0" wp14:anchorId="1CBCE82F" wp14:editId="1035165F">
            <wp:extent cx="2222205" cy="2328530"/>
            <wp:effectExtent l="0" t="0" r="6985"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a:extLst>
                        <a:ext uri="{28A0092B-C50C-407E-A947-70E740481C1C}">
                          <a14:useLocalDpi xmlns:a14="http://schemas.microsoft.com/office/drawing/2010/main" val="0"/>
                        </a:ext>
                      </a:extLst>
                    </a:blip>
                    <a:srcRect l="7113" t="3004" r="5439" b="2991"/>
                    <a:stretch/>
                  </pic:blipFill>
                  <pic:spPr bwMode="auto">
                    <a:xfrm>
                      <a:off x="0" y="0"/>
                      <a:ext cx="2222282" cy="2328611"/>
                    </a:xfrm>
                    <a:prstGeom prst="rect">
                      <a:avLst/>
                    </a:prstGeom>
                    <a:noFill/>
                    <a:ln>
                      <a:noFill/>
                    </a:ln>
                    <a:extLst>
                      <a:ext uri="{53640926-AAD7-44D8-BBD7-CCE9431645EC}">
                        <a14:shadowObscured xmlns:a14="http://schemas.microsoft.com/office/drawing/2010/main"/>
                      </a:ext>
                    </a:extLst>
                  </pic:spPr>
                </pic:pic>
              </a:graphicData>
            </a:graphic>
          </wp:inline>
        </w:drawing>
      </w:r>
    </w:p>
    <w:p w14:paraId="6A58920F" w14:textId="1A4C7086" w:rsidR="007D7A19" w:rsidRPr="00BD0223" w:rsidRDefault="007D7A19" w:rsidP="00E30DEB">
      <w:pPr>
        <w:pStyle w:val="Ttabela-fonte"/>
        <w:ind w:left="2835"/>
        <w:rPr>
          <w:b/>
          <w:bCs/>
        </w:rPr>
      </w:pPr>
      <w:r w:rsidRPr="00BD0223">
        <w:t>Fonte: ANP</w:t>
      </w:r>
      <w:r w:rsidR="007777ED">
        <w:t>, Elaboração Própria</w:t>
      </w:r>
    </w:p>
    <w:p w14:paraId="1E5C0585" w14:textId="77777777" w:rsidR="00016269" w:rsidRDefault="00016269" w:rsidP="00E30DEB">
      <w:pPr>
        <w:pStyle w:val="Tfigura-titulo"/>
      </w:pPr>
      <w:bookmarkStart w:id="40" w:name="_Toc55329431"/>
    </w:p>
    <w:p w14:paraId="728502EE" w14:textId="1D52328C" w:rsidR="00974809" w:rsidRPr="00BD0223" w:rsidRDefault="00E30DEB" w:rsidP="007777ED">
      <w:pPr>
        <w:pStyle w:val="Tfigura-titulo"/>
        <w:jc w:val="both"/>
      </w:pPr>
      <w:r w:rsidRPr="00BD0223">
        <w:t xml:space="preserve">Tabela </w:t>
      </w:r>
      <w:r w:rsidRPr="00BD0223">
        <w:fldChar w:fldCharType="begin"/>
      </w:r>
      <w:r w:rsidRPr="00BD0223">
        <w:instrText xml:space="preserve"> SEQ Tabela \* ARABIC </w:instrText>
      </w:r>
      <w:r w:rsidRPr="00BD0223">
        <w:fldChar w:fldCharType="separate"/>
      </w:r>
      <w:r w:rsidR="009A5BEE">
        <w:rPr>
          <w:noProof/>
        </w:rPr>
        <w:t>6</w:t>
      </w:r>
      <w:r w:rsidRPr="00BD0223">
        <w:fldChar w:fldCharType="end"/>
      </w:r>
      <w:r w:rsidRPr="00BD0223">
        <w:t xml:space="preserve"> ― Preço médio ao consumidor final com impostos da gasolina segundo a pesquisa da Agência Nacional de Petróleo no ano de</w:t>
      </w:r>
      <w:r w:rsidR="007777ED">
        <w:t xml:space="preserve"> </w:t>
      </w:r>
      <w:r w:rsidRPr="00BD0223">
        <w:t>2018 em São Paulo e Minas Gerais. (</w:t>
      </w:r>
      <w:r w:rsidR="00974809" w:rsidRPr="00BD0223">
        <w:t>2018</w:t>
      </w:r>
      <w:r w:rsidRPr="00BD0223">
        <w:t>)</w:t>
      </w:r>
      <w:bookmarkEnd w:id="40"/>
    </w:p>
    <w:p w14:paraId="690B1EF9" w14:textId="0B1AD8A3" w:rsidR="007D7A19" w:rsidRPr="00BD0223" w:rsidRDefault="007D7A19" w:rsidP="00E30DEB">
      <w:pPr>
        <w:pStyle w:val="Tfigura-figura"/>
      </w:pPr>
      <w:r w:rsidRPr="00BD0223">
        <w:drawing>
          <wp:inline distT="0" distB="0" distL="0" distR="0" wp14:anchorId="5936FC88" wp14:editId="455DAC2E">
            <wp:extent cx="5273749" cy="2402958"/>
            <wp:effectExtent l="0" t="0" r="3175"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a:extLst>
                        <a:ext uri="{28A0092B-C50C-407E-A947-70E740481C1C}">
                          <a14:useLocalDpi xmlns:a14="http://schemas.microsoft.com/office/drawing/2010/main" val="0"/>
                        </a:ext>
                      </a:extLst>
                    </a:blip>
                    <a:srcRect l="1946" t="2101" r="1556" b="2933"/>
                    <a:stretch/>
                  </pic:blipFill>
                  <pic:spPr bwMode="auto">
                    <a:xfrm>
                      <a:off x="0" y="0"/>
                      <a:ext cx="5274047" cy="2403094"/>
                    </a:xfrm>
                    <a:prstGeom prst="rect">
                      <a:avLst/>
                    </a:prstGeom>
                    <a:noFill/>
                    <a:ln>
                      <a:noFill/>
                    </a:ln>
                    <a:extLst>
                      <a:ext uri="{53640926-AAD7-44D8-BBD7-CCE9431645EC}">
                        <a14:shadowObscured xmlns:a14="http://schemas.microsoft.com/office/drawing/2010/main"/>
                      </a:ext>
                    </a:extLst>
                  </pic:spPr>
                </pic:pic>
              </a:graphicData>
            </a:graphic>
          </wp:inline>
        </w:drawing>
      </w:r>
    </w:p>
    <w:p w14:paraId="14595844" w14:textId="0D77BC04" w:rsidR="007D7A19" w:rsidRPr="00BD0223" w:rsidRDefault="007D7A19" w:rsidP="00E30DEB">
      <w:pPr>
        <w:pStyle w:val="Ttabela-fonte"/>
        <w:ind w:left="426"/>
        <w:rPr>
          <w:b/>
          <w:bCs/>
        </w:rPr>
      </w:pPr>
      <w:r w:rsidRPr="00BD0223">
        <w:t>Fonte: ANP</w:t>
      </w:r>
      <w:r w:rsidR="007777ED">
        <w:t>, Elaboração Própria</w:t>
      </w:r>
    </w:p>
    <w:p w14:paraId="52A55BD6" w14:textId="77777777" w:rsidR="00016269" w:rsidRDefault="00016269" w:rsidP="00040CEC">
      <w:pPr>
        <w:pStyle w:val="TNORMAL"/>
      </w:pPr>
    </w:p>
    <w:p w14:paraId="6883F80C" w14:textId="5B29CF2D" w:rsidR="00CA4FF5" w:rsidRPr="00BD0223" w:rsidRDefault="00432F70" w:rsidP="00040CEC">
      <w:pPr>
        <w:pStyle w:val="TNORMAL"/>
      </w:pPr>
      <w:r w:rsidRPr="00BD0223">
        <w:t xml:space="preserve">Embora </w:t>
      </w:r>
      <w:r w:rsidR="004B026D" w:rsidRPr="00BD0223">
        <w:t>haja por parte dos donos de postos e atacadistas de combustíveis de Minas Gerais discussões relacionadas ao elevado imposto que o estado cobra na gasolina, as vendas desse tipo de combustível quando comparada</w:t>
      </w:r>
      <w:r w:rsidR="000F6AAB" w:rsidRPr="00BD0223">
        <w:t>s as do</w:t>
      </w:r>
      <w:r w:rsidR="004B026D" w:rsidRPr="00BD0223">
        <w:t xml:space="preserve"> estado de São Paulo, </w:t>
      </w:r>
      <w:r w:rsidR="00E41E4E">
        <w:t>n</w:t>
      </w:r>
      <w:r w:rsidR="004B026D" w:rsidRPr="00BD0223">
        <w:t>o qual</w:t>
      </w:r>
      <w:r w:rsidR="00E41E4E">
        <w:t xml:space="preserve"> incide </w:t>
      </w:r>
      <w:r w:rsidR="004B026D" w:rsidRPr="00BD0223">
        <w:t>alíquota inferior, não ap</w:t>
      </w:r>
      <w:r w:rsidR="00E41E4E">
        <w:t>r</w:t>
      </w:r>
      <w:r w:rsidR="004B026D" w:rsidRPr="00BD0223">
        <w:t>esenta</w:t>
      </w:r>
      <w:r w:rsidR="000F6AAB" w:rsidRPr="00BD0223">
        <w:t>ram</w:t>
      </w:r>
      <w:r w:rsidR="004B026D" w:rsidRPr="00BD0223">
        <w:t xml:space="preserve"> trajetória distinta ou </w:t>
      </w:r>
      <w:r w:rsidR="00E41E4E">
        <w:t xml:space="preserve">mesmo </w:t>
      </w:r>
      <w:r w:rsidR="004B026D" w:rsidRPr="00BD0223">
        <w:t xml:space="preserve">indicações de que há uma fuga em massa de consumidores do estado de Minas Gerais para o estado de São Paulo. Quando se </w:t>
      </w:r>
      <w:r w:rsidR="004B026D" w:rsidRPr="00BD0223">
        <w:lastRenderedPageBreak/>
        <w:t xml:space="preserve">analisa </w:t>
      </w:r>
      <w:r w:rsidR="00AA2EF4">
        <w:t xml:space="preserve">municípios </w:t>
      </w:r>
      <w:r w:rsidR="004B026D" w:rsidRPr="00BD0223">
        <w:t>do Triângulo Mineiro</w:t>
      </w:r>
      <w:r w:rsidR="00842A29" w:rsidRPr="00BD0223">
        <w:t>,</w:t>
      </w:r>
      <w:r w:rsidR="004B026D" w:rsidRPr="00BD0223">
        <w:t xml:space="preserve"> da </w:t>
      </w:r>
      <w:r w:rsidR="002D1AD7" w:rsidRPr="00BD0223">
        <w:t>Mesorregião</w:t>
      </w:r>
      <w:r w:rsidR="004B026D" w:rsidRPr="00BD0223">
        <w:t xml:space="preserve"> de Ribeir</w:t>
      </w:r>
      <w:r w:rsidR="002D1AD7" w:rsidRPr="00BD0223">
        <w:t>ão Preto</w:t>
      </w:r>
      <w:r w:rsidR="00880B63" w:rsidRPr="00BD0223">
        <w:t xml:space="preserve"> e da Mesorregião de São José Rio Preto</w:t>
      </w:r>
      <w:r w:rsidR="002D1AD7" w:rsidRPr="00BD0223">
        <w:t xml:space="preserve"> fica mais evidente que os mercados de gasolina dos dois estados foram impactado</w:t>
      </w:r>
      <w:r w:rsidR="00842A29" w:rsidRPr="00BD0223">
        <w:t>s</w:t>
      </w:r>
      <w:r w:rsidR="002D1AD7" w:rsidRPr="00BD0223">
        <w:t xml:space="preserve"> igualmente pelos ciclos econômicos e que a evolução da alíquota de ICMS do estado de Minas Gerais não gerou</w:t>
      </w:r>
      <w:r w:rsidR="00E41E4E">
        <w:t xml:space="preserve">, neste contexto, </w:t>
      </w:r>
      <w:r w:rsidR="002D1AD7" w:rsidRPr="00BD0223">
        <w:t>diferenças</w:t>
      </w:r>
      <w:r w:rsidR="00E41E4E">
        <w:t xml:space="preserve"> significativas</w:t>
      </w:r>
      <w:r w:rsidR="002D1AD7" w:rsidRPr="00BD0223">
        <w:t>.</w:t>
      </w:r>
    </w:p>
    <w:p w14:paraId="568D29C5" w14:textId="1A9CC8EB" w:rsidR="00880B63" w:rsidRPr="00BD0223" w:rsidRDefault="00E30DEB" w:rsidP="007777ED">
      <w:pPr>
        <w:pStyle w:val="Tfigura-titulo"/>
        <w:jc w:val="both"/>
      </w:pPr>
      <w:bookmarkStart w:id="41" w:name="_Toc55329408"/>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13</w:t>
      </w:r>
      <w:r w:rsidRPr="00BD0223">
        <w:fldChar w:fldCharType="end"/>
      </w:r>
      <w:r w:rsidRPr="00BD0223">
        <w:t xml:space="preserve"> ― </w:t>
      </w:r>
      <w:r w:rsidR="00093223" w:rsidRPr="00BD0223">
        <w:t>Evolução do número de vendas de gasolina em</w:t>
      </w:r>
      <w:r w:rsidR="00390C16" w:rsidRPr="00BD0223">
        <w:t xml:space="preserve"> milhões de</w:t>
      </w:r>
      <w:r w:rsidR="00093223" w:rsidRPr="00BD0223">
        <w:t xml:space="preserve"> litros</w:t>
      </w:r>
      <w:r w:rsidR="00AF6E39">
        <w:t xml:space="preserve"> nos</w:t>
      </w:r>
      <w:r w:rsidR="00093223" w:rsidRPr="00BD0223">
        <w:t xml:space="preserve"> </w:t>
      </w:r>
      <w:r w:rsidR="00AF6E39">
        <w:t>municípios</w:t>
      </w:r>
      <w:r w:rsidR="00093223" w:rsidRPr="00BD0223">
        <w:t xml:space="preserve"> de Uberlândia e Ribeirão Preto durante o período 2010-2018</w:t>
      </w:r>
      <w:bookmarkEnd w:id="41"/>
    </w:p>
    <w:p w14:paraId="3D869DF6" w14:textId="68674169" w:rsidR="00390C16" w:rsidRPr="00BD0223" w:rsidRDefault="00390C16" w:rsidP="00E30DEB">
      <w:pPr>
        <w:pStyle w:val="Tfigura-figura"/>
        <w:rPr>
          <w:rFonts w:cs="Times New Roman"/>
          <w:b/>
          <w:bCs/>
          <w:sz w:val="28"/>
          <w:szCs w:val="28"/>
        </w:rPr>
      </w:pPr>
      <w:r w:rsidRPr="00BD0223">
        <w:drawing>
          <wp:inline distT="0" distB="0" distL="0" distR="0" wp14:anchorId="31FF77C5" wp14:editId="5C454783">
            <wp:extent cx="5762625" cy="2809875"/>
            <wp:effectExtent l="0" t="0" r="9525" b="9525"/>
            <wp:docPr id="60" name="Gráfico 60">
              <a:extLst xmlns:a="http://schemas.openxmlformats.org/drawingml/2006/main">
                <a:ext uri="{FF2B5EF4-FFF2-40B4-BE49-F238E27FC236}">
                  <a16:creationId xmlns:a16="http://schemas.microsoft.com/office/drawing/2014/main" id="{785585B0-1178-4E86-8C8C-F7EAC066F7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120A5E7" w14:textId="6554024E" w:rsidR="00016269" w:rsidRDefault="00E30DEB" w:rsidP="007C0824">
      <w:pPr>
        <w:pStyle w:val="Ttabela-fonte"/>
        <w:rPr>
          <w:noProof/>
        </w:rPr>
      </w:pPr>
      <w:r w:rsidRPr="00BD0223">
        <w:t>Fonte: ANP, Elaboração Própria</w:t>
      </w:r>
      <w:bookmarkStart w:id="42" w:name="_Toc55329409"/>
    </w:p>
    <w:p w14:paraId="62D62523" w14:textId="21778DEC" w:rsidR="00093223" w:rsidRPr="00BD0223" w:rsidRDefault="00E30DEB" w:rsidP="007777ED">
      <w:pPr>
        <w:pStyle w:val="Tfigura-titulo"/>
        <w:jc w:val="both"/>
      </w:pPr>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14</w:t>
      </w:r>
      <w:r w:rsidRPr="00BD0223">
        <w:fldChar w:fldCharType="end"/>
      </w:r>
      <w:r w:rsidRPr="00BD0223">
        <w:t xml:space="preserve"> ― </w:t>
      </w:r>
      <w:r w:rsidR="00093223" w:rsidRPr="00BD0223">
        <w:t>Evolução do número de vendas de gasolina em</w:t>
      </w:r>
      <w:r w:rsidR="006260EF" w:rsidRPr="00BD0223">
        <w:t xml:space="preserve"> milhões de</w:t>
      </w:r>
      <w:r w:rsidR="00093223" w:rsidRPr="00BD0223">
        <w:t xml:space="preserve"> litros </w:t>
      </w:r>
      <w:r w:rsidR="00AF6E39">
        <w:t>nos municípios</w:t>
      </w:r>
      <w:r w:rsidR="00093223" w:rsidRPr="00BD0223">
        <w:t xml:space="preserve"> de </w:t>
      </w:r>
      <w:r w:rsidR="001B526B" w:rsidRPr="00BD0223">
        <w:t>Uberaba</w:t>
      </w:r>
      <w:r w:rsidR="00093223" w:rsidRPr="00BD0223">
        <w:t xml:space="preserve"> e </w:t>
      </w:r>
      <w:r w:rsidR="001B526B" w:rsidRPr="00BD0223">
        <w:t>Franca</w:t>
      </w:r>
      <w:r w:rsidR="00093223" w:rsidRPr="00BD0223">
        <w:t xml:space="preserve"> durante o período 2010-2018</w:t>
      </w:r>
      <w:bookmarkEnd w:id="42"/>
    </w:p>
    <w:p w14:paraId="41E49F12" w14:textId="608A411B" w:rsidR="001B526B" w:rsidRPr="00BD0223" w:rsidRDefault="006260EF" w:rsidP="00E30DEB">
      <w:pPr>
        <w:pStyle w:val="Tfigura-figura"/>
        <w:rPr>
          <w:rFonts w:cs="Times New Roman"/>
        </w:rPr>
      </w:pPr>
      <w:r w:rsidRPr="00BD0223">
        <w:drawing>
          <wp:inline distT="0" distB="0" distL="0" distR="0" wp14:anchorId="70DCE049" wp14:editId="32F0A437">
            <wp:extent cx="5857875" cy="2743200"/>
            <wp:effectExtent l="0" t="0" r="9525" b="19050"/>
            <wp:docPr id="62" name="Gráfico 62">
              <a:extLst xmlns:a="http://schemas.openxmlformats.org/drawingml/2006/main">
                <a:ext uri="{FF2B5EF4-FFF2-40B4-BE49-F238E27FC236}">
                  <a16:creationId xmlns:a16="http://schemas.microsoft.com/office/drawing/2014/main" id="{E8B40E95-99E5-4F2E-AACE-C30A2867CE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832FE3B" w14:textId="77777777" w:rsidR="00E30DEB" w:rsidRPr="00BD0223" w:rsidRDefault="00E30DEB" w:rsidP="00E30DEB">
      <w:pPr>
        <w:pStyle w:val="Ttabela-fonte"/>
        <w:rPr>
          <w:noProof/>
        </w:rPr>
      </w:pPr>
      <w:r w:rsidRPr="00BD0223">
        <w:t>Fonte: ANP, Elaboração Própria</w:t>
      </w:r>
    </w:p>
    <w:p w14:paraId="1707626A" w14:textId="77777777" w:rsidR="00016269" w:rsidRDefault="00016269" w:rsidP="00040CEC">
      <w:pPr>
        <w:pStyle w:val="TNORMAL"/>
      </w:pPr>
    </w:p>
    <w:p w14:paraId="260B81CA" w14:textId="7E2E3137" w:rsidR="00CA4FF5" w:rsidRPr="00BD0223" w:rsidRDefault="001B526B" w:rsidP="00040CEC">
      <w:pPr>
        <w:pStyle w:val="TNORMAL"/>
      </w:pPr>
      <w:r w:rsidRPr="00BD0223">
        <w:t>Uberaba fica bem próxima da fronteira de Minas Gerais com</w:t>
      </w:r>
      <w:r w:rsidR="008C4917" w:rsidRPr="00BD0223">
        <w:t xml:space="preserve"> São Paulo e ainda assim não apresentou uma trajetória de vendas de combustível diferente quando comparada a </w:t>
      </w:r>
      <w:r w:rsidR="007C0824">
        <w:t>municípios</w:t>
      </w:r>
      <w:r w:rsidR="008C4917" w:rsidRPr="00BD0223">
        <w:t xml:space="preserve"> paulistas. No </w:t>
      </w:r>
      <w:r w:rsidR="00E41E4E">
        <w:t>A</w:t>
      </w:r>
      <w:r w:rsidR="008C4917" w:rsidRPr="00BD0223">
        <w:t>pêndice do trabalho está registrado as cidades selecionadas para análise</w:t>
      </w:r>
      <w:r w:rsidR="008D0925" w:rsidRPr="00BD0223">
        <w:t>.</w:t>
      </w:r>
      <w:r w:rsidR="008C4917" w:rsidRPr="00BD0223">
        <w:t xml:space="preserve"> </w:t>
      </w:r>
      <w:r w:rsidR="008D0925" w:rsidRPr="00BD0223">
        <w:t>D</w:t>
      </w:r>
      <w:r w:rsidR="008C4917" w:rsidRPr="00BD0223">
        <w:t>evido a heterogeneidade de características</w:t>
      </w:r>
      <w:r w:rsidR="008F6045" w:rsidRPr="00BD0223">
        <w:t>,</w:t>
      </w:r>
      <w:r w:rsidR="008C4917" w:rsidRPr="00BD0223">
        <w:t xml:space="preserve"> municípios com população de tamanho igual podem apresentar diferenças significativas</w:t>
      </w:r>
      <w:r w:rsidR="008D0925" w:rsidRPr="00BD0223">
        <w:t xml:space="preserve"> o</w:t>
      </w:r>
      <w:r w:rsidR="008C4917" w:rsidRPr="00BD0223">
        <w:t xml:space="preserve"> que geralmente é resultado da localização dos mesmos, o município de Prata</w:t>
      </w:r>
      <w:r w:rsidR="008D0925" w:rsidRPr="00BD0223">
        <w:t>,</w:t>
      </w:r>
      <w:r w:rsidR="008C4917" w:rsidRPr="00BD0223">
        <w:t xml:space="preserve"> por exemplo</w:t>
      </w:r>
      <w:r w:rsidR="008D0925" w:rsidRPr="00BD0223">
        <w:t>,</w:t>
      </w:r>
      <w:r w:rsidR="008C4917" w:rsidRPr="00BD0223">
        <w:t xml:space="preserve"> que possui uma população de aproximadamente 27 mil habitantes de acordo com IBGE,  por se encontrar </w:t>
      </w:r>
      <w:r w:rsidR="005E01D5" w:rsidRPr="00BD0223">
        <w:t>próximo a BR-153</w:t>
      </w:r>
      <w:r w:rsidR="008D0925" w:rsidRPr="00BD0223">
        <w:t>,</w:t>
      </w:r>
      <w:r w:rsidR="005E01D5" w:rsidRPr="00BD0223">
        <w:t xml:space="preserve"> uma importante rodovia brasileira que se estende do estado do Pará até o estado do Rio Grande do Sul</w:t>
      </w:r>
      <w:r w:rsidR="008D0925" w:rsidRPr="00BD0223">
        <w:t>,</w:t>
      </w:r>
      <w:r w:rsidR="008C4917" w:rsidRPr="00BD0223">
        <w:t xml:space="preserve"> </w:t>
      </w:r>
      <w:r w:rsidR="005E01D5" w:rsidRPr="00BD0223">
        <w:t>apresenta um mercado de varejo de combustíveis forte tanto na gasolina quanto no diesel</w:t>
      </w:r>
      <w:r w:rsidR="00E41E4E">
        <w:t xml:space="preserve">, </w:t>
      </w:r>
      <w:r w:rsidR="005E01D5" w:rsidRPr="00BD0223">
        <w:t>como se analisará mais adiante.</w:t>
      </w:r>
    </w:p>
    <w:p w14:paraId="1460239F" w14:textId="11572D97" w:rsidR="005E01D5" w:rsidRDefault="005E01D5" w:rsidP="00040CEC">
      <w:pPr>
        <w:pStyle w:val="TNORMAL"/>
      </w:pPr>
      <w:r w:rsidRPr="00BD0223">
        <w:t>O total de vendas de gasolina dos estados de Minas Gerais e São Paulo apresentam trajetórias semelhantes às das cidades individua</w:t>
      </w:r>
      <w:r w:rsidR="00E41E4E">
        <w:t>lmente</w:t>
      </w:r>
      <w:r w:rsidRPr="00BD0223">
        <w:t>, o que mostra que a crise de 2014-2016 impactou significativamente o setor. Em relação a queda que o</w:t>
      </w:r>
      <w:r w:rsidR="008F6045" w:rsidRPr="00BD0223">
        <w:t>s</w:t>
      </w:r>
      <w:r w:rsidRPr="00BD0223">
        <w:t xml:space="preserve"> varej</w:t>
      </w:r>
      <w:r w:rsidR="008F6045" w:rsidRPr="00BD0223">
        <w:t>istas</w:t>
      </w:r>
      <w:r w:rsidRPr="00BD0223">
        <w:t xml:space="preserve"> de gasolina </w:t>
      </w:r>
      <w:r w:rsidR="00881C17" w:rsidRPr="00BD0223">
        <w:t>das cidades de Ribeirão Preto, Franca, Uberlândia e Uberaba tiveram, a mesma foi verificada nas outras cidades dos dois estados e foi resultado de uma mudança no comportamento dos consumidores que optaram por utilizar mais o etanol em 2018. Enquanto o mercado de gasolina teve queda</w:t>
      </w:r>
      <w:r w:rsidR="000F6AAB" w:rsidRPr="00BD0223">
        <w:t>, em litros,</w:t>
      </w:r>
      <w:r w:rsidR="00881C17" w:rsidRPr="00BD0223">
        <w:t xml:space="preserve"> de aproximadamente 2 bilhões no estado de São Paulo e 1 bilhão no estado de Minas Gerais, o consumo de etanol aumentou próximo a queda das vendas de gasolina</w:t>
      </w:r>
      <w:r w:rsidR="008F6045" w:rsidRPr="00BD0223">
        <w:t xml:space="preserve"> em ambos os estados</w:t>
      </w:r>
      <w:r w:rsidR="00881C17" w:rsidRPr="00BD0223">
        <w:t>.</w:t>
      </w:r>
    </w:p>
    <w:p w14:paraId="587CAC5B" w14:textId="77777777" w:rsidR="00016269" w:rsidRPr="00BD0223" w:rsidRDefault="00016269" w:rsidP="00040CEC">
      <w:pPr>
        <w:pStyle w:val="TNORMAL"/>
      </w:pPr>
    </w:p>
    <w:p w14:paraId="2857E1A6" w14:textId="4CA9B8F0" w:rsidR="00881C17" w:rsidRPr="00BD0223" w:rsidRDefault="00E30DEB" w:rsidP="007777ED">
      <w:pPr>
        <w:pStyle w:val="Tfigura-titulo"/>
        <w:jc w:val="both"/>
      </w:pPr>
      <w:bookmarkStart w:id="43" w:name="_Toc55329410"/>
      <w:r w:rsidRPr="00BD0223">
        <w:lastRenderedPageBreak/>
        <w:t xml:space="preserve">Gráfico </w:t>
      </w:r>
      <w:r w:rsidRPr="00BD0223">
        <w:fldChar w:fldCharType="begin"/>
      </w:r>
      <w:r w:rsidRPr="00BD0223">
        <w:instrText xml:space="preserve"> SEQ Gráfico \* ARABIC </w:instrText>
      </w:r>
      <w:r w:rsidRPr="00BD0223">
        <w:fldChar w:fldCharType="separate"/>
      </w:r>
      <w:r w:rsidR="009A5BEE">
        <w:rPr>
          <w:noProof/>
        </w:rPr>
        <w:t>15</w:t>
      </w:r>
      <w:r w:rsidRPr="00BD0223">
        <w:fldChar w:fldCharType="end"/>
      </w:r>
      <w:r w:rsidRPr="00BD0223">
        <w:t xml:space="preserve"> ― </w:t>
      </w:r>
      <w:r w:rsidR="00881C17" w:rsidRPr="00BD0223">
        <w:t xml:space="preserve">Evolução das vendas de gasolina e etanol em </w:t>
      </w:r>
      <w:r w:rsidR="00041EA9" w:rsidRPr="00BD0223">
        <w:t>milhões de litros</w:t>
      </w:r>
      <w:r w:rsidR="00881C17" w:rsidRPr="00BD0223">
        <w:t xml:space="preserve"> no</w:t>
      </w:r>
      <w:r w:rsidR="00A56969" w:rsidRPr="00BD0223">
        <w:t xml:space="preserve"> estado de Minas Gerais</w:t>
      </w:r>
      <w:bookmarkEnd w:id="43"/>
    </w:p>
    <w:p w14:paraId="6566456C" w14:textId="7BDD0F92" w:rsidR="00CA4FF5" w:rsidRPr="00BD0223" w:rsidRDefault="00041EA9" w:rsidP="00E30DEB">
      <w:pPr>
        <w:pStyle w:val="Tfigura-figura"/>
        <w:rPr>
          <w:rFonts w:cs="Times New Roman"/>
        </w:rPr>
      </w:pPr>
      <w:r w:rsidRPr="00BD0223">
        <w:drawing>
          <wp:inline distT="0" distB="0" distL="0" distR="0" wp14:anchorId="4CF3D696" wp14:editId="6AAB51EB">
            <wp:extent cx="5743575" cy="2743200"/>
            <wp:effectExtent l="0" t="0" r="9525" b="19050"/>
            <wp:docPr id="63" name="Gráfico 63">
              <a:extLst xmlns:a="http://schemas.openxmlformats.org/drawingml/2006/main">
                <a:ext uri="{FF2B5EF4-FFF2-40B4-BE49-F238E27FC236}">
                  <a16:creationId xmlns:a16="http://schemas.microsoft.com/office/drawing/2014/main" id="{881826A3-2BC8-4DF3-9C17-6D1F085987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946A4F1" w14:textId="77777777" w:rsidR="00E30DEB" w:rsidRPr="00BD0223" w:rsidRDefault="00E30DEB" w:rsidP="00E30DEB">
      <w:pPr>
        <w:pStyle w:val="Ttabela-fonte"/>
        <w:rPr>
          <w:noProof/>
        </w:rPr>
      </w:pPr>
      <w:r w:rsidRPr="00BD0223">
        <w:t>Fonte: ANP, Elaboração Própria</w:t>
      </w:r>
    </w:p>
    <w:p w14:paraId="59294D37" w14:textId="7A1B0206" w:rsidR="008C01E7" w:rsidRPr="00BD0223" w:rsidRDefault="00E30DEB" w:rsidP="007777ED">
      <w:pPr>
        <w:pStyle w:val="Tfigura-titulo"/>
        <w:jc w:val="both"/>
      </w:pPr>
      <w:bookmarkStart w:id="44" w:name="_Toc55329411"/>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16</w:t>
      </w:r>
      <w:r w:rsidRPr="00BD0223">
        <w:fldChar w:fldCharType="end"/>
      </w:r>
      <w:r w:rsidRPr="00BD0223">
        <w:t xml:space="preserve"> ― </w:t>
      </w:r>
      <w:r w:rsidR="008C01E7" w:rsidRPr="00BD0223">
        <w:t>Evolução das vendas de gasolina e etanol em</w:t>
      </w:r>
      <w:r w:rsidR="00DF684F" w:rsidRPr="00BD0223">
        <w:t xml:space="preserve"> milhões</w:t>
      </w:r>
      <w:r w:rsidR="008C01E7" w:rsidRPr="00BD0223">
        <w:t xml:space="preserve"> litros no estado de São Paulo</w:t>
      </w:r>
      <w:bookmarkEnd w:id="44"/>
    </w:p>
    <w:p w14:paraId="676E0184" w14:textId="23602867" w:rsidR="00794FC2" w:rsidRPr="00BD0223" w:rsidRDefault="00855683" w:rsidP="00E30DEB">
      <w:pPr>
        <w:pStyle w:val="Tfigura-figura"/>
        <w:rPr>
          <w:rFonts w:cs="Times New Roman"/>
          <w:sz w:val="28"/>
          <w:szCs w:val="28"/>
        </w:rPr>
      </w:pPr>
      <w:r w:rsidRPr="00BD0223">
        <w:drawing>
          <wp:inline distT="0" distB="0" distL="0" distR="0" wp14:anchorId="01B51D68" wp14:editId="3AFAB097">
            <wp:extent cx="5762625" cy="2409825"/>
            <wp:effectExtent l="0" t="0" r="9525" b="9525"/>
            <wp:docPr id="64" name="Gráfico 64">
              <a:extLst xmlns:a="http://schemas.openxmlformats.org/drawingml/2006/main">
                <a:ext uri="{FF2B5EF4-FFF2-40B4-BE49-F238E27FC236}">
                  <a16:creationId xmlns:a16="http://schemas.microsoft.com/office/drawing/2014/main" id="{94CFF792-8D73-422F-8AB1-AFB486FE7B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B923B5D" w14:textId="77777777" w:rsidR="00E30DEB" w:rsidRPr="00BD0223" w:rsidRDefault="00E30DEB" w:rsidP="00E30DEB">
      <w:pPr>
        <w:pStyle w:val="Ttabela-fonte"/>
        <w:rPr>
          <w:noProof/>
        </w:rPr>
      </w:pPr>
      <w:r w:rsidRPr="00BD0223">
        <w:t>Fonte: ANP, Elaboração Própria</w:t>
      </w:r>
    </w:p>
    <w:p w14:paraId="3D880509" w14:textId="77777777" w:rsidR="00016269" w:rsidRDefault="00016269" w:rsidP="00040CEC">
      <w:pPr>
        <w:pStyle w:val="TNORMAL"/>
      </w:pPr>
    </w:p>
    <w:p w14:paraId="44322D42" w14:textId="41ED093B" w:rsidR="00BE7859" w:rsidRPr="00BD0223" w:rsidRDefault="00842A29" w:rsidP="00040CEC">
      <w:pPr>
        <w:pStyle w:val="TNORMAL"/>
      </w:pPr>
      <w:r w:rsidRPr="00BD0223">
        <w:t xml:space="preserve">Não será analisado neste trabalho detalhes sobre o potencial de arrecadação de ICMS do etanol ou o número de vendas locais deste tipo de combustível, pois o mesmo apresenta uma tributação diferenciada </w:t>
      </w:r>
      <w:r w:rsidR="008F6045" w:rsidRPr="00BD0223">
        <w:t>quando comparada</w:t>
      </w:r>
      <w:r w:rsidRPr="00BD0223">
        <w:t xml:space="preserve"> a gasolina e ao diesel</w:t>
      </w:r>
      <w:r w:rsidR="00EB07F0" w:rsidRPr="00BD0223">
        <w:t>. Enquanto os últimos são tributados pelo princípio de destino o primeiro é tributado pelo princípio da origem</w:t>
      </w:r>
      <w:r w:rsidR="008D0925" w:rsidRPr="00BD0223">
        <w:t>,</w:t>
      </w:r>
      <w:r w:rsidR="00EB07F0" w:rsidRPr="00BD0223">
        <w:t xml:space="preserve"> o que </w:t>
      </w:r>
      <w:r w:rsidR="00EB07F0" w:rsidRPr="00BD0223">
        <w:lastRenderedPageBreak/>
        <w:t>requereria uma análise mais concentrada na produção e nas políticas regionais de cada estado</w:t>
      </w:r>
      <w:r w:rsidR="002E1408" w:rsidRPr="00BD0223">
        <w:t>, e não no impacto das alíquotas de ICMS no consumo como é o objetivo des</w:t>
      </w:r>
      <w:r w:rsidR="008F6045" w:rsidRPr="00BD0223">
        <w:t>t</w:t>
      </w:r>
      <w:r w:rsidR="002E1408" w:rsidRPr="00BD0223">
        <w:t>e trabalho.</w:t>
      </w:r>
    </w:p>
    <w:p w14:paraId="74338CBE" w14:textId="2A345B55" w:rsidR="00CA4FF5" w:rsidRPr="00BD0223" w:rsidRDefault="00BE7859" w:rsidP="00040CEC">
      <w:pPr>
        <w:pStyle w:val="TNORMAL"/>
      </w:pPr>
      <w:r w:rsidRPr="00BD0223">
        <w:t xml:space="preserve">Embora não haja dados disponíveis relacionados a arrecadação de cada tipo de combustível individual é possível estimar valores próximos baseado nas alíquotas aplicadas ano a ano e nos preços médios registrados fornecidos pela Agência Nacional do Petróleo. </w:t>
      </w:r>
      <w:r w:rsidR="009A209F">
        <w:t>Ademais, n</w:t>
      </w:r>
      <w:r w:rsidRPr="00BD0223">
        <w:t>ão foi usado para esse estudo os preços médios ponderados ao consumidor final que são divulgados pelo Confaz, pois durante algum período o estado de São Paulo não utilizava os mesmos para</w:t>
      </w:r>
      <w:r w:rsidR="000F6AAB" w:rsidRPr="00BD0223">
        <w:t xml:space="preserve"> o</w:t>
      </w:r>
      <w:r w:rsidRPr="00BD0223">
        <w:t xml:space="preserve"> cálculo de arrecadação.</w:t>
      </w:r>
    </w:p>
    <w:p w14:paraId="040366BA" w14:textId="2A0E0F57" w:rsidR="00040CEC" w:rsidRPr="00BD0223" w:rsidRDefault="00E30DEB" w:rsidP="007777ED">
      <w:pPr>
        <w:pStyle w:val="Tfigura-titulo"/>
        <w:jc w:val="both"/>
      </w:pPr>
      <w:bookmarkStart w:id="45" w:name="_Toc55329412"/>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17</w:t>
      </w:r>
      <w:r w:rsidRPr="00BD0223">
        <w:fldChar w:fldCharType="end"/>
      </w:r>
      <w:r w:rsidRPr="00BD0223">
        <w:t xml:space="preserve"> ― </w:t>
      </w:r>
      <w:r w:rsidR="00040CEC" w:rsidRPr="00BD0223">
        <w:t>Arrecadação estimada de gasolina nos estados de Minas Gerais e São Paulo deflacionada a preços de 2010 durante o período 2010-2018 (em bilhões de R$)</w:t>
      </w:r>
      <w:bookmarkEnd w:id="45"/>
    </w:p>
    <w:p w14:paraId="4BE878A2" w14:textId="3A37B176" w:rsidR="00BE7859" w:rsidRPr="00BD0223" w:rsidRDefault="00BE7859" w:rsidP="00E30DEB">
      <w:pPr>
        <w:pStyle w:val="Tfigura-figura"/>
        <w:rPr>
          <w:rFonts w:cs="Times New Roman"/>
          <w:sz w:val="28"/>
          <w:szCs w:val="28"/>
        </w:rPr>
      </w:pPr>
      <w:r w:rsidRPr="00BD0223">
        <w:drawing>
          <wp:inline distT="0" distB="0" distL="0" distR="0" wp14:anchorId="11B94249" wp14:editId="75D372B2">
            <wp:extent cx="5762625" cy="2871470"/>
            <wp:effectExtent l="0" t="0" r="9525" b="24130"/>
            <wp:docPr id="34" name="Gráfico 34">
              <a:extLst xmlns:a="http://schemas.openxmlformats.org/drawingml/2006/main">
                <a:ext uri="{FF2B5EF4-FFF2-40B4-BE49-F238E27FC236}">
                  <a16:creationId xmlns:a16="http://schemas.microsoft.com/office/drawing/2014/main" id="{D4E806F3-D555-4676-B43D-F7828B64B5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D295748" w14:textId="2635F3A0" w:rsidR="00040CEC" w:rsidRDefault="00040CEC" w:rsidP="00E30DEB">
      <w:pPr>
        <w:pStyle w:val="Ttabela-fonte"/>
      </w:pPr>
      <w:r w:rsidRPr="00BD0223">
        <w:t>Fonte: Elaboração Própria com base nos dados fornecidos pela ANP</w:t>
      </w:r>
    </w:p>
    <w:p w14:paraId="7ED0144B" w14:textId="77777777" w:rsidR="00016269" w:rsidRPr="00016269" w:rsidRDefault="00016269" w:rsidP="00016269">
      <w:pPr>
        <w:pStyle w:val="TNORMAL"/>
        <w:rPr>
          <w:lang w:val="pt-BR" w:eastAsia="pt-PT"/>
        </w:rPr>
      </w:pPr>
    </w:p>
    <w:p w14:paraId="527C180A" w14:textId="2B10D5CE" w:rsidR="00BE7859" w:rsidRPr="00BD0223" w:rsidRDefault="00B10EFF" w:rsidP="00040CEC">
      <w:pPr>
        <w:pStyle w:val="TNORMAL"/>
      </w:pPr>
      <w:r w:rsidRPr="00BD0223">
        <w:t xml:space="preserve">Como o </w:t>
      </w:r>
      <w:r w:rsidR="009A209F">
        <w:t>G</w:t>
      </w:r>
      <w:r w:rsidRPr="00BD0223">
        <w:t>ráfico</w:t>
      </w:r>
      <w:r w:rsidR="009A209F">
        <w:t xml:space="preserve"> 17</w:t>
      </w:r>
      <w:r w:rsidRPr="00BD0223">
        <w:t xml:space="preserve"> acima contém dados em valores reais é possível ver quedas na arrecadação que quando se analisa apenas valores correntes não </w:t>
      </w:r>
      <w:r w:rsidR="000F6AAB" w:rsidRPr="00BD0223">
        <w:t>são visíveis</w:t>
      </w:r>
      <w:r w:rsidRPr="00BD0223">
        <w:t>, isso é importante pois salários, obrigações estaduais e os custos de se manter o estado funcionando em geral aument</w:t>
      </w:r>
      <w:r w:rsidR="008F6045" w:rsidRPr="00BD0223">
        <w:t>aram</w:t>
      </w:r>
      <w:r w:rsidRPr="00BD0223">
        <w:t xml:space="preserve"> significativamente durante o período</w:t>
      </w:r>
      <w:r w:rsidR="008D0925" w:rsidRPr="00BD0223">
        <w:t xml:space="preserve"> analisado</w:t>
      </w:r>
      <w:r w:rsidRPr="00BD0223">
        <w:t xml:space="preserve"> devido as razões listadas no capítulo anterior. Em relação aos valores correntes a única queda observada ocorreu em São Paulo no ano de 2012, no geral os dois estados mantiveram uma arrecadação de ICMS nominal crescente.</w:t>
      </w:r>
    </w:p>
    <w:p w14:paraId="227BFD16" w14:textId="7A232E08" w:rsidR="00D9691F" w:rsidRPr="00AF6E39" w:rsidRDefault="00B10EFF" w:rsidP="00040CEC">
      <w:pPr>
        <w:pStyle w:val="TNORMAL"/>
      </w:pPr>
      <w:r w:rsidRPr="00BD0223">
        <w:t>Embora haja uma pressão tanto setorial quanto por parte dos consumidores mineiros reclamando d</w:t>
      </w:r>
      <w:r w:rsidR="008F6045" w:rsidRPr="00BD0223">
        <w:t>as</w:t>
      </w:r>
      <w:r w:rsidRPr="00BD0223">
        <w:t xml:space="preserve"> elevadas alíquotas para gasolina, tal política não é injustificada</w:t>
      </w:r>
      <w:r w:rsidR="008F6045" w:rsidRPr="00BD0223">
        <w:t>,</w:t>
      </w:r>
      <w:r w:rsidRPr="00BD0223">
        <w:t xml:space="preserve"> mesmo que</w:t>
      </w:r>
      <w:r w:rsidR="005C76E0" w:rsidRPr="00BD0223">
        <w:t xml:space="preserve"> a </w:t>
      </w:r>
      <w:r w:rsidR="005C76E0" w:rsidRPr="00BD0223">
        <w:lastRenderedPageBreak/>
        <w:t>argumentação para defend</w:t>
      </w:r>
      <w:r w:rsidR="009A209F">
        <w:t>ê</w:t>
      </w:r>
      <w:r w:rsidR="005C76E0" w:rsidRPr="00BD0223">
        <w:t xml:space="preserve">-la não seja relacionada ao potencial de arrecadação do produto. A maior alíquota de ICMS sobre a gasolina tem o efeito de desincentivar o uso de combustíveis não renováveis e poluentes, contribuindo no caso brasileiro para uma maior demanda pelo etanol, </w:t>
      </w:r>
      <w:r w:rsidR="005C76E0" w:rsidRPr="007777ED">
        <w:t xml:space="preserve">embora isso não signifique dizer que a intenção do governo </w:t>
      </w:r>
      <w:r w:rsidR="005C76E0" w:rsidRPr="00BD0223">
        <w:t>mineiro durante o período 2010-2018 fosse essa</w:t>
      </w:r>
      <w:r w:rsidR="007777ED">
        <w:t>, já que a principal razão era a necessidade de recursos para combater a crise fiscal do estado</w:t>
      </w:r>
      <w:r w:rsidR="005C76E0" w:rsidRPr="00BD0223">
        <w:t xml:space="preserve">. O que deve ser revisto está relacionado ao efeito da política de tributação sobre o consumo no geral, já que a migração de consumidores da gasolina para o etanol apesar de ser benéfica do ponto de vista sustentável não gera grandes benefícios para o estado consumidor </w:t>
      </w:r>
      <w:r w:rsidR="005C76E0" w:rsidRPr="00AF6E39">
        <w:t>pois os recursos não são aplicados no destino</w:t>
      </w:r>
      <w:r w:rsidR="007777ED" w:rsidRPr="00AF6E39">
        <w:t xml:space="preserve"> </w:t>
      </w:r>
      <w:r w:rsidR="00AF6E39" w:rsidRPr="00AF6E39">
        <w:t>e sim na origem onde ocorre a produção</w:t>
      </w:r>
      <w:r w:rsidR="005C76E0" w:rsidRPr="00AF6E39">
        <w:t>.</w:t>
      </w:r>
    </w:p>
    <w:p w14:paraId="12F509BF" w14:textId="4DBB8E56" w:rsidR="009C374A" w:rsidRPr="00BD0223" w:rsidRDefault="00040CEC" w:rsidP="00040CEC">
      <w:pPr>
        <w:pStyle w:val="TIT2"/>
      </w:pPr>
      <w:bookmarkStart w:id="46" w:name="_Toc55329627"/>
      <w:r w:rsidRPr="00BD0223">
        <w:rPr>
          <w:caps w:val="0"/>
        </w:rPr>
        <w:t>DIESEL</w:t>
      </w:r>
      <w:bookmarkEnd w:id="46"/>
    </w:p>
    <w:p w14:paraId="43AC691C" w14:textId="03776DDF" w:rsidR="00CE09F8" w:rsidRPr="00BD0223" w:rsidRDefault="002F0EB3" w:rsidP="00040CEC">
      <w:pPr>
        <w:pStyle w:val="TNORMAL"/>
      </w:pPr>
      <w:r w:rsidRPr="00BD0223">
        <w:t xml:space="preserve">No </w:t>
      </w:r>
      <w:r w:rsidR="00803224" w:rsidRPr="00BD0223">
        <w:t xml:space="preserve">que diz respeito ao </w:t>
      </w:r>
      <w:r w:rsidRPr="00BD0223">
        <w:t>setor de varejo de óleo diesel o</w:t>
      </w:r>
      <w:r w:rsidR="004C4878" w:rsidRPr="00BD0223">
        <w:t xml:space="preserve"> ano de 2018 foi </w:t>
      </w:r>
      <w:r w:rsidRPr="00BD0223">
        <w:t>o mais marcante da última década</w:t>
      </w:r>
      <w:r w:rsidR="004C4878" w:rsidRPr="00BD0223">
        <w:t xml:space="preserve"> </w:t>
      </w:r>
      <w:r w:rsidRPr="00BD0223">
        <w:t>devido à</w:t>
      </w:r>
      <w:r w:rsidR="004C4878" w:rsidRPr="00BD0223">
        <w:t xml:space="preserve"> greve dos</w:t>
      </w:r>
      <w:r w:rsidRPr="00BD0223">
        <w:t xml:space="preserve"> </w:t>
      </w:r>
      <w:r w:rsidR="004C4878" w:rsidRPr="00BD0223">
        <w:t>caminhoneir</w:t>
      </w:r>
      <w:r w:rsidRPr="00BD0223">
        <w:t xml:space="preserve">os, a qual até os dias atuais é motivo de debate e controvérsias em relação </w:t>
      </w:r>
      <w:r w:rsidR="009A209F">
        <w:t>às suas motivações</w:t>
      </w:r>
      <w:r w:rsidR="004C4878" w:rsidRPr="00BD0223">
        <w:t>.</w:t>
      </w:r>
      <w:r w:rsidR="00241302" w:rsidRPr="00BD0223">
        <w:t xml:space="preserve"> Embora tenha-se colocado a culpa do movimento no excesso de caminhões</w:t>
      </w:r>
      <w:r w:rsidR="00945988" w:rsidRPr="00BD0223">
        <w:t xml:space="preserve"> vendidos, o</w:t>
      </w:r>
      <w:r w:rsidR="00241302" w:rsidRPr="00BD0223">
        <w:t xml:space="preserve"> que teria gerado queda</w:t>
      </w:r>
      <w:r w:rsidR="00945988" w:rsidRPr="00BD0223">
        <w:t xml:space="preserve"> nas</w:t>
      </w:r>
      <w:r w:rsidR="00241302" w:rsidRPr="00BD0223">
        <w:t xml:space="preserve"> margens de lucro, </w:t>
      </w:r>
      <w:r w:rsidR="00566FE6">
        <w:t xml:space="preserve">(BORGES, </w:t>
      </w:r>
      <w:r w:rsidR="00241302" w:rsidRPr="00BD0223">
        <w:t xml:space="preserve">2018) mostra que a queda da margem de lucro </w:t>
      </w:r>
      <w:r w:rsidR="00500E73" w:rsidRPr="00BD0223">
        <w:t>d</w:t>
      </w:r>
      <w:r w:rsidR="00241302" w:rsidRPr="00BD0223">
        <w:t>o setor foi resultado d</w:t>
      </w:r>
      <w:r w:rsidR="00500E73" w:rsidRPr="00BD0223">
        <w:t>o</w:t>
      </w:r>
      <w:r w:rsidR="00241302" w:rsidRPr="00BD0223">
        <w:t xml:space="preserve"> aumento </w:t>
      </w:r>
      <w:r w:rsidR="00500E73" w:rsidRPr="00BD0223">
        <w:t>de</w:t>
      </w:r>
      <w:r w:rsidR="00241302" w:rsidRPr="00BD0223">
        <w:t xml:space="preserve"> custos</w:t>
      </w:r>
      <w:r w:rsidR="00D4755A" w:rsidRPr="00BD0223">
        <w:t>,</w:t>
      </w:r>
      <w:r w:rsidR="00241302" w:rsidRPr="00BD0223">
        <w:t xml:space="preserve"> e não </w:t>
      </w:r>
      <w:r w:rsidR="00500E73" w:rsidRPr="00BD0223">
        <w:t>consequência</w:t>
      </w:r>
      <w:r w:rsidR="00241302" w:rsidRPr="00BD0223">
        <w:t xml:space="preserve"> da política do BNDES no início da década relacionad</w:t>
      </w:r>
      <w:r w:rsidR="00503D1C" w:rsidRPr="00BD0223">
        <w:t>a</w:t>
      </w:r>
      <w:r w:rsidR="00241302" w:rsidRPr="00BD0223">
        <w:t xml:space="preserve"> a linhas de créditos para caminhões. Como </w:t>
      </w:r>
      <w:r w:rsidR="009A209F">
        <w:t xml:space="preserve">Ele </w:t>
      </w:r>
      <w:r w:rsidR="00241302" w:rsidRPr="00BD0223">
        <w:t>mostra</w:t>
      </w:r>
      <w:r w:rsidR="009A209F">
        <w:t xml:space="preserve">, </w:t>
      </w:r>
      <w:r w:rsidR="00241302" w:rsidRPr="00BD0223">
        <w:t>o aumento da demanda por caminhões ocorre</w:t>
      </w:r>
      <w:r w:rsidR="0092751A" w:rsidRPr="00BD0223">
        <w:t>u</w:t>
      </w:r>
      <w:r w:rsidR="00241302" w:rsidRPr="00BD0223">
        <w:t xml:space="preserve"> em 2011 devido a diversos agentes econômicos estarem naquele momento antecipando compras</w:t>
      </w:r>
      <w:r w:rsidR="00CE09F8" w:rsidRPr="00BD0223">
        <w:t>,</w:t>
      </w:r>
      <w:r w:rsidR="00241302" w:rsidRPr="00BD0223">
        <w:t xml:space="preserve"> já que</w:t>
      </w:r>
      <w:r w:rsidR="00CE09F8" w:rsidRPr="00BD0223">
        <w:t xml:space="preserve"> em</w:t>
      </w:r>
      <w:r w:rsidR="00241302" w:rsidRPr="00BD0223">
        <w:t xml:space="preserve"> 2012 seria o ano que as montadoras teriam que adotar a tecnologia Euro </w:t>
      </w:r>
      <w:r w:rsidR="00CE09F8" w:rsidRPr="00BD0223">
        <w:t>V o que encarece</w:t>
      </w:r>
      <w:r w:rsidR="0092751A" w:rsidRPr="00BD0223">
        <w:t>ria</w:t>
      </w:r>
      <w:r w:rsidR="00CE09F8" w:rsidRPr="00BD0223">
        <w:t xml:space="preserve"> os caminhões. De acordo com </w:t>
      </w:r>
      <w:r w:rsidR="00566FE6">
        <w:t>(</w:t>
      </w:r>
      <w:r w:rsidR="00E30DEB" w:rsidRPr="00BD0223">
        <w:t>B</w:t>
      </w:r>
      <w:r w:rsidR="00566FE6">
        <w:t xml:space="preserve">ORGES, </w:t>
      </w:r>
      <w:r w:rsidR="00CE09F8" w:rsidRPr="00BD0223">
        <w:t>2018) a greve dos caminhoneiros é</w:t>
      </w:r>
      <w:r w:rsidR="008D0925" w:rsidRPr="00BD0223">
        <w:t xml:space="preserve"> </w:t>
      </w:r>
      <w:r w:rsidR="00CE09F8" w:rsidRPr="00BD0223">
        <w:t xml:space="preserve">resultado de um aumento de custos e da queda no PIB </w:t>
      </w:r>
      <w:r w:rsidR="009A209F">
        <w:t xml:space="preserve">nos </w:t>
      </w:r>
      <w:r w:rsidR="00CE09F8" w:rsidRPr="00BD0223">
        <w:t>setores que demandam</w:t>
      </w:r>
      <w:r w:rsidR="008D0925" w:rsidRPr="00BD0223">
        <w:t>,</w:t>
      </w:r>
      <w:r w:rsidR="00CE09F8" w:rsidRPr="00BD0223">
        <w:t xml:space="preserve"> em números </w:t>
      </w:r>
      <w:r w:rsidR="008D0925" w:rsidRPr="00BD0223">
        <w:t>relevantes,</w:t>
      </w:r>
      <w:r w:rsidR="00CE09F8" w:rsidRPr="00BD0223">
        <w:t xml:space="preserve"> serviços de fretes, como a indústria de transformação, comércio e a importação de bens</w:t>
      </w:r>
      <w:r w:rsidR="002E1408" w:rsidRPr="00BD0223">
        <w:t xml:space="preserve"> e</w:t>
      </w:r>
      <w:r w:rsidR="00CE09F8" w:rsidRPr="00BD0223">
        <w:t xml:space="preserve"> serviços.</w:t>
      </w:r>
    </w:p>
    <w:p w14:paraId="7DBE92AB" w14:textId="535FAD4F" w:rsidR="002F0EB3" w:rsidRPr="00BD0223" w:rsidRDefault="002F0EB3" w:rsidP="00040CEC">
      <w:pPr>
        <w:pStyle w:val="TNORMAL"/>
      </w:pPr>
      <w:r w:rsidRPr="00BD0223">
        <w:t>Em relação à política de alíquotas</w:t>
      </w:r>
      <w:r w:rsidR="009A209F">
        <w:t>,</w:t>
      </w:r>
      <w:r w:rsidRPr="00BD0223">
        <w:t xml:space="preserve"> em 2010</w:t>
      </w:r>
      <w:r w:rsidR="009A209F">
        <w:t>,</w:t>
      </w:r>
      <w:r w:rsidRPr="00BD0223">
        <w:t xml:space="preserve"> ambos </w:t>
      </w:r>
      <w:r w:rsidR="009A209F">
        <w:t xml:space="preserve">os </w:t>
      </w:r>
      <w:r w:rsidRPr="00BD0223">
        <w:t>estados possuíam alíquotas de ICMS sobre o diesel iguais de 12%</w:t>
      </w:r>
      <w:r w:rsidR="009A209F">
        <w:t>. E</w:t>
      </w:r>
      <w:r w:rsidRPr="00BD0223">
        <w:t xml:space="preserve">m janeiro de 2012 o </w:t>
      </w:r>
      <w:r w:rsidR="009A209F">
        <w:t>G</w:t>
      </w:r>
      <w:r w:rsidRPr="00BD0223">
        <w:t>overno mineiro aumentou a alíquota para 15% o que não impactou diretamente nas vendas totais de diesel do estado de Minas Gerais que mantiveram trajetória ascendente só diminuindo no período que compreende a recessão entre 2014 e 2016</w:t>
      </w:r>
      <w:r w:rsidR="00D4755A" w:rsidRPr="00BD0223">
        <w:t>,</w:t>
      </w:r>
      <w:r w:rsidRPr="00BD0223">
        <w:t xml:space="preserve"> a qual afetou igualmente o estado de São Paulo. Embora possua uma alíquota </w:t>
      </w:r>
      <w:r w:rsidR="00981BEB" w:rsidRPr="00BD0223">
        <w:t xml:space="preserve">superior </w:t>
      </w:r>
      <w:r w:rsidR="009A209F">
        <w:t>à do</w:t>
      </w:r>
      <w:r w:rsidR="00981BEB" w:rsidRPr="00BD0223">
        <w:t xml:space="preserve"> estado de São Paulo, </w:t>
      </w:r>
      <w:r w:rsidR="00500E73" w:rsidRPr="00BD0223">
        <w:t xml:space="preserve">a </w:t>
      </w:r>
      <w:r w:rsidR="00981BEB" w:rsidRPr="00BD0223">
        <w:t>alíquota</w:t>
      </w:r>
      <w:r w:rsidR="00500E73" w:rsidRPr="00BD0223">
        <w:t xml:space="preserve"> de ICMS</w:t>
      </w:r>
      <w:r w:rsidR="00981BEB" w:rsidRPr="00BD0223">
        <w:t xml:space="preserve"> sobre o diesel </w:t>
      </w:r>
      <w:r w:rsidR="009A209F">
        <w:t xml:space="preserve">em </w:t>
      </w:r>
      <w:r w:rsidR="00981BEB" w:rsidRPr="00BD0223">
        <w:t>Minas Gerais ainda está abaixo da média nacional de 17%</w:t>
      </w:r>
      <w:r w:rsidR="009A209F">
        <w:t xml:space="preserve">; ao passo que esta </w:t>
      </w:r>
      <w:r w:rsidR="00981BEB" w:rsidRPr="00BD0223">
        <w:t xml:space="preserve">média é bastante influenciada pelos </w:t>
      </w:r>
      <w:r w:rsidR="00981BEB" w:rsidRPr="00BD0223">
        <w:lastRenderedPageBreak/>
        <w:t>estados</w:t>
      </w:r>
      <w:r w:rsidR="009A209F">
        <w:t xml:space="preserve"> </w:t>
      </w:r>
      <w:r w:rsidR="00981BEB" w:rsidRPr="00BD0223">
        <w:t>da</w:t>
      </w:r>
      <w:r w:rsidR="009A209F">
        <w:t>s R</w:t>
      </w:r>
      <w:r w:rsidR="00981BEB" w:rsidRPr="00BD0223">
        <w:t>egi</w:t>
      </w:r>
      <w:r w:rsidR="009A209F">
        <w:t>ões</w:t>
      </w:r>
      <w:r w:rsidR="00981BEB" w:rsidRPr="00BD0223">
        <w:t xml:space="preserve"> Norte e Nordeste. O estado de Goiás</w:t>
      </w:r>
      <w:r w:rsidR="009A209F">
        <w:t xml:space="preserve">, </w:t>
      </w:r>
      <w:r w:rsidR="00981BEB" w:rsidRPr="00BD0223">
        <w:t>vizinho do estado mineiro</w:t>
      </w:r>
      <w:r w:rsidR="009A209F">
        <w:t>,</w:t>
      </w:r>
      <w:r w:rsidR="00981BEB" w:rsidRPr="00BD0223">
        <w:t xml:space="preserve"> possui atualmente uma alíquota de 14%, no entanto só a diminuiu em 2018, </w:t>
      </w:r>
      <w:r w:rsidR="009A209F">
        <w:t xml:space="preserve">mantendo </w:t>
      </w:r>
      <w:r w:rsidR="00981BEB" w:rsidRPr="00BD0223">
        <w:t>a mesma no patamar de 16% nos anos anteriores.</w:t>
      </w:r>
    </w:p>
    <w:p w14:paraId="68A0F6CE" w14:textId="48538D57" w:rsidR="00803224" w:rsidRPr="00BD0223" w:rsidRDefault="00803224" w:rsidP="00040CEC">
      <w:pPr>
        <w:pStyle w:val="TNORMAL"/>
      </w:pPr>
      <w:r w:rsidRPr="00BD0223">
        <w:t>Embora não haja perda significativa relacionada ao varejo total de óleo diesel mineiro no período posterior ao aumento da alíquota</w:t>
      </w:r>
      <w:r w:rsidR="00DB69F8" w:rsidRPr="00BD0223">
        <w:t>,</w:t>
      </w:r>
      <w:r w:rsidRPr="00BD0223">
        <w:t xml:space="preserve"> é possível que cidades do Triângulo Mineiro tenham sido impactadas, já que tal mesorregião se encontra em uma importante localização nacional próxima ao estado de São Paulo</w:t>
      </w:r>
      <w:r w:rsidR="00DB69F8" w:rsidRPr="00BD0223">
        <w:t xml:space="preserve">, </w:t>
      </w:r>
      <w:r w:rsidRPr="00BD0223">
        <w:t>possuindo em seu território trechos d</w:t>
      </w:r>
      <w:r w:rsidR="00DB69F8" w:rsidRPr="00BD0223">
        <w:t>e</w:t>
      </w:r>
      <w:r w:rsidRPr="00BD0223">
        <w:t xml:space="preserve"> importantes rodovias do país. Observando o histórico de preços coletados de acordo com a pesquisa da Agência Nacional de Petróleo se percebe que em 2011</w:t>
      </w:r>
      <w:r w:rsidR="00DB69F8" w:rsidRPr="00BD0223">
        <w:t>,</w:t>
      </w:r>
      <w:r w:rsidRPr="00BD0223">
        <w:t xml:space="preserve"> ano anterior ao aumento da alíquota de ICMS no estado de Minas Gerais</w:t>
      </w:r>
      <w:r w:rsidR="00DB69F8" w:rsidRPr="00BD0223">
        <w:t>,</w:t>
      </w:r>
      <w:r w:rsidRPr="00BD0223">
        <w:t xml:space="preserve"> os preços dos postos mineiros e paulistas eram praticamente os mesmos</w:t>
      </w:r>
      <w:r w:rsidR="009A209F">
        <w:t>;</w:t>
      </w:r>
      <w:r w:rsidR="000420B2" w:rsidRPr="00BD0223">
        <w:t xml:space="preserve"> a partir de 2012 começ</w:t>
      </w:r>
      <w:r w:rsidR="00D4755A" w:rsidRPr="00BD0223">
        <w:t>aram</w:t>
      </w:r>
      <w:r w:rsidR="000420B2" w:rsidRPr="00BD0223">
        <w:t xml:space="preserve"> a ser registrad</w:t>
      </w:r>
      <w:r w:rsidR="00D4755A" w:rsidRPr="00BD0223">
        <w:t>as</w:t>
      </w:r>
      <w:r w:rsidR="000420B2" w:rsidRPr="00BD0223">
        <w:t xml:space="preserve"> diferenças.</w:t>
      </w:r>
    </w:p>
    <w:p w14:paraId="16D9C852" w14:textId="77777777" w:rsidR="00E61580" w:rsidRDefault="00E61580" w:rsidP="00AF6E39">
      <w:pPr>
        <w:pStyle w:val="Tfigura-titulo"/>
        <w:jc w:val="both"/>
      </w:pPr>
      <w:bookmarkStart w:id="47" w:name="_Toc55329432"/>
    </w:p>
    <w:p w14:paraId="3DA7E982" w14:textId="353CDE69" w:rsidR="00E30DEB" w:rsidRPr="00BD0223" w:rsidRDefault="00E30DEB" w:rsidP="00AF6E39">
      <w:pPr>
        <w:pStyle w:val="Tfigura-titulo"/>
        <w:jc w:val="both"/>
      </w:pPr>
      <w:r w:rsidRPr="00BD0223">
        <w:t xml:space="preserve">Tabela </w:t>
      </w:r>
      <w:r w:rsidRPr="00BD0223">
        <w:fldChar w:fldCharType="begin"/>
      </w:r>
      <w:r w:rsidRPr="00BD0223">
        <w:instrText xml:space="preserve"> SEQ Tabela \* ARABIC </w:instrText>
      </w:r>
      <w:r w:rsidRPr="00BD0223">
        <w:fldChar w:fldCharType="separate"/>
      </w:r>
      <w:r w:rsidR="009A5BEE">
        <w:rPr>
          <w:noProof/>
        </w:rPr>
        <w:t>7</w:t>
      </w:r>
      <w:r w:rsidRPr="00BD0223">
        <w:fldChar w:fldCharType="end"/>
      </w:r>
      <w:r w:rsidRPr="00BD0223">
        <w:t xml:space="preserve"> ― </w:t>
      </w:r>
      <w:r w:rsidR="000420B2" w:rsidRPr="00BD0223">
        <w:t>Preço médio ao consumidor final com impostos do óleo diesel segundo a pesquisa da Agência Nacional de Petróleo no ano de 2011 em São Paulo e Minas Gerais</w:t>
      </w:r>
      <w:r w:rsidRPr="00BD0223">
        <w:t xml:space="preserve">. </w:t>
      </w:r>
      <w:bookmarkEnd w:id="47"/>
    </w:p>
    <w:p w14:paraId="7DBD3DB1" w14:textId="00442213" w:rsidR="00E30DEB" w:rsidRPr="00BD0223" w:rsidRDefault="00E30DEB" w:rsidP="00E30DEB">
      <w:pPr>
        <w:pStyle w:val="Tfigura-figura"/>
      </w:pPr>
      <w:r w:rsidRPr="00BD0223">
        <w:drawing>
          <wp:inline distT="0" distB="0" distL="0" distR="0" wp14:anchorId="63287DAD" wp14:editId="683D937C">
            <wp:extent cx="5632315" cy="2519680"/>
            <wp:effectExtent l="0" t="0" r="6985"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1">
                      <a:extLst>
                        <a:ext uri="{28A0092B-C50C-407E-A947-70E740481C1C}">
                          <a14:useLocalDpi xmlns:a14="http://schemas.microsoft.com/office/drawing/2010/main" val="0"/>
                        </a:ext>
                      </a:extLst>
                    </a:blip>
                    <a:srcRect l="1402" r="1125" b="2066"/>
                    <a:stretch/>
                  </pic:blipFill>
                  <pic:spPr bwMode="auto">
                    <a:xfrm>
                      <a:off x="0" y="0"/>
                      <a:ext cx="5649528" cy="2527380"/>
                    </a:xfrm>
                    <a:prstGeom prst="rect">
                      <a:avLst/>
                    </a:prstGeom>
                    <a:noFill/>
                    <a:ln>
                      <a:noFill/>
                    </a:ln>
                    <a:extLst>
                      <a:ext uri="{53640926-AAD7-44D8-BBD7-CCE9431645EC}">
                        <a14:shadowObscured xmlns:a14="http://schemas.microsoft.com/office/drawing/2010/main"/>
                      </a:ext>
                    </a:extLst>
                  </pic:spPr>
                </pic:pic>
              </a:graphicData>
            </a:graphic>
          </wp:inline>
        </w:drawing>
      </w:r>
    </w:p>
    <w:p w14:paraId="2B0AB3D3" w14:textId="76184573" w:rsidR="00E30DEB" w:rsidRPr="00BD0223" w:rsidRDefault="00E30DEB" w:rsidP="00E30DEB">
      <w:pPr>
        <w:pStyle w:val="Ttabela-fonte"/>
        <w:ind w:left="426"/>
        <w:rPr>
          <w:noProof/>
        </w:rPr>
      </w:pPr>
      <w:r w:rsidRPr="00BD0223">
        <w:t>Fonte: ANP</w:t>
      </w:r>
      <w:r w:rsidR="00AF6E39">
        <w:t>, Elaboração Própria</w:t>
      </w:r>
    </w:p>
    <w:p w14:paraId="25F0439E" w14:textId="77777777" w:rsidR="00016269" w:rsidRDefault="00016269" w:rsidP="001B3558">
      <w:pPr>
        <w:pStyle w:val="Tfigura-titulo"/>
      </w:pPr>
      <w:bookmarkStart w:id="48" w:name="_Toc55329433"/>
    </w:p>
    <w:p w14:paraId="1C8E8658" w14:textId="5DCCFE49" w:rsidR="00E30DEB" w:rsidRPr="00BD0223" w:rsidRDefault="001B3558" w:rsidP="00AF6E39">
      <w:pPr>
        <w:pStyle w:val="Tfigura-titulo"/>
        <w:jc w:val="both"/>
      </w:pPr>
      <w:r w:rsidRPr="00BD0223">
        <w:t xml:space="preserve">Tabela </w:t>
      </w:r>
      <w:r w:rsidRPr="00BD0223">
        <w:fldChar w:fldCharType="begin"/>
      </w:r>
      <w:r w:rsidRPr="00BD0223">
        <w:instrText xml:space="preserve"> SEQ Tabela \* ARABIC </w:instrText>
      </w:r>
      <w:r w:rsidRPr="00BD0223">
        <w:fldChar w:fldCharType="separate"/>
      </w:r>
      <w:r w:rsidR="009A5BEE">
        <w:rPr>
          <w:noProof/>
        </w:rPr>
        <w:t>8</w:t>
      </w:r>
      <w:r w:rsidRPr="00BD0223">
        <w:fldChar w:fldCharType="end"/>
      </w:r>
      <w:r w:rsidRPr="00BD0223">
        <w:t xml:space="preserve"> ― Preço médio ao consumidor final com impostos do óleo diesel segundo a pesquisa da Agência Nacional de Petróleo nos anos de 2012 em São Paulo e Minas Gerais. </w:t>
      </w:r>
      <w:bookmarkEnd w:id="48"/>
    </w:p>
    <w:p w14:paraId="22C49139" w14:textId="1DE3567E" w:rsidR="00E30DEB" w:rsidRPr="00BD0223" w:rsidRDefault="00E30DEB" w:rsidP="001B3558">
      <w:pPr>
        <w:pStyle w:val="Tfigura-figura"/>
      </w:pPr>
      <w:r w:rsidRPr="00BD0223">
        <w:drawing>
          <wp:inline distT="0" distB="0" distL="0" distR="0" wp14:anchorId="5757C13B" wp14:editId="4F262191">
            <wp:extent cx="5749047" cy="2413000"/>
            <wp:effectExtent l="0" t="0" r="4445" b="635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2">
                      <a:extLst>
                        <a:ext uri="{28A0092B-C50C-407E-A947-70E740481C1C}">
                          <a14:useLocalDpi xmlns:a14="http://schemas.microsoft.com/office/drawing/2010/main" val="0"/>
                        </a:ext>
                      </a:extLst>
                    </a:blip>
                    <a:srcRect l="1953" t="2110" r="977" b="2101"/>
                    <a:stretch/>
                  </pic:blipFill>
                  <pic:spPr bwMode="auto">
                    <a:xfrm>
                      <a:off x="0" y="0"/>
                      <a:ext cx="5759854" cy="2417536"/>
                    </a:xfrm>
                    <a:prstGeom prst="rect">
                      <a:avLst/>
                    </a:prstGeom>
                    <a:noFill/>
                    <a:ln>
                      <a:noFill/>
                    </a:ln>
                    <a:extLst>
                      <a:ext uri="{53640926-AAD7-44D8-BBD7-CCE9431645EC}">
                        <a14:shadowObscured xmlns:a14="http://schemas.microsoft.com/office/drawing/2010/main"/>
                      </a:ext>
                    </a:extLst>
                  </pic:spPr>
                </pic:pic>
              </a:graphicData>
            </a:graphic>
          </wp:inline>
        </w:drawing>
      </w:r>
    </w:p>
    <w:p w14:paraId="05212AF9" w14:textId="2AA433AD" w:rsidR="00383286" w:rsidRPr="00BD0223" w:rsidRDefault="00383286" w:rsidP="001B3558">
      <w:pPr>
        <w:pStyle w:val="Ttabela-fonte"/>
        <w:ind w:left="426"/>
        <w:rPr>
          <w:noProof/>
        </w:rPr>
      </w:pPr>
      <w:r w:rsidRPr="00BD0223">
        <w:t>Fonte: ANP</w:t>
      </w:r>
      <w:r w:rsidR="00AF6E39">
        <w:t>, Elaboração Própria</w:t>
      </w:r>
    </w:p>
    <w:p w14:paraId="05CF3D67" w14:textId="77777777" w:rsidR="00016269" w:rsidRDefault="00016269" w:rsidP="00383286">
      <w:pPr>
        <w:pStyle w:val="TNORMAL"/>
      </w:pPr>
    </w:p>
    <w:p w14:paraId="067920C2" w14:textId="0D5EB841" w:rsidR="00337074" w:rsidRPr="00BD0223" w:rsidRDefault="00B33964" w:rsidP="00383286">
      <w:pPr>
        <w:pStyle w:val="TNORMAL"/>
      </w:pPr>
      <w:r w:rsidRPr="00BD0223">
        <w:t>O estabelecimento de</w:t>
      </w:r>
      <w:r w:rsidR="00DF6627" w:rsidRPr="00BD0223">
        <w:t xml:space="preserve"> métodos e conclusões analíticas na comparação das cidades selecionadas do Triângulo Mineiro com cidades selecionadas das </w:t>
      </w:r>
      <w:r w:rsidR="007E76C1">
        <w:t>M</w:t>
      </w:r>
      <w:r w:rsidR="00DF6627" w:rsidRPr="00BD0223">
        <w:t>esorregiões de Ribeirão Preto e</w:t>
      </w:r>
      <w:r w:rsidRPr="00BD0223">
        <w:t xml:space="preserve"> de</w:t>
      </w:r>
      <w:r w:rsidR="00DF6627" w:rsidRPr="00BD0223">
        <w:t xml:space="preserve"> São José do Rio Preto pode n</w:t>
      </w:r>
      <w:r w:rsidRPr="00BD0223">
        <w:t>ão</w:t>
      </w:r>
      <w:r w:rsidR="00DF6627" w:rsidRPr="00BD0223">
        <w:t xml:space="preserve"> levar a uma conclusão exata, isso porque municípios do mesmo estado podem possuir impactos diferentes direcionados ao varejo do óleo diesel, decorrente de diversos acontecimentos, como</w:t>
      </w:r>
      <w:r w:rsidR="0092751A" w:rsidRPr="00BD0223">
        <w:t xml:space="preserve">: </w:t>
      </w:r>
      <w:r w:rsidR="00DF6627" w:rsidRPr="00BD0223">
        <w:t>crise econômica, aumento de impostos, mudança de preferências dos consumidores</w:t>
      </w:r>
      <w:r w:rsidR="00D4755A" w:rsidRPr="00BD0223">
        <w:t>,</w:t>
      </w:r>
      <w:r w:rsidR="00DF6627" w:rsidRPr="00BD0223">
        <w:t xml:space="preserve"> dentre outros. Analisando o número de vendas de óleo diesel por município coletado para análise percebe-se que, no geral cidades de porte grande com mais </w:t>
      </w:r>
      <w:r w:rsidR="00337074" w:rsidRPr="00BD0223">
        <w:t xml:space="preserve">de </w:t>
      </w:r>
      <w:r w:rsidR="00DF6627" w:rsidRPr="00BD0223">
        <w:t>300 mil habitantes são sempre impactad</w:t>
      </w:r>
      <w:r w:rsidR="00337074" w:rsidRPr="00BD0223">
        <w:t>a</w:t>
      </w:r>
      <w:r w:rsidR="00DF6627" w:rsidRPr="00BD0223">
        <w:t>s pela crise econômica independente de se localizarem no estado de São Paulo ou Minas Gerais, isso porque as mesmas possuem boa parte d</w:t>
      </w:r>
      <w:r w:rsidR="00337074" w:rsidRPr="00BD0223">
        <w:t>o consumo direcionado a empresas e demandantes da própria cidade ou região. Cidades de porte pequeno ou médio</w:t>
      </w:r>
      <w:r w:rsidR="00497180" w:rsidRPr="00BD0223">
        <w:t xml:space="preserve"> possuem um varejo de diesel mais influenciado pelos preços,</w:t>
      </w:r>
      <w:r w:rsidR="00337074" w:rsidRPr="00BD0223">
        <w:t xml:space="preserve"> apresenta</w:t>
      </w:r>
      <w:r w:rsidR="00497180" w:rsidRPr="00BD0223">
        <w:t>ndo um</w:t>
      </w:r>
      <w:r w:rsidR="00337074" w:rsidRPr="00BD0223">
        <w:t xml:space="preserve"> comportamento </w:t>
      </w:r>
      <w:r w:rsidR="00EC6C03" w:rsidRPr="00BD0223">
        <w:t>dependente de certas características relacionadas a localidade</w:t>
      </w:r>
      <w:r w:rsidR="00337074" w:rsidRPr="00BD0223">
        <w:t>, no caso mineiro principalmente se estiverem localizadas em rodovias federais, as quais possuem grande tráfego rodoviário.</w:t>
      </w:r>
    </w:p>
    <w:p w14:paraId="7E4F3526" w14:textId="0B3E6319" w:rsidR="00EC6C03" w:rsidRPr="00BD0223" w:rsidRDefault="00AF6E39" w:rsidP="00383286">
      <w:pPr>
        <w:pStyle w:val="TNORMAL"/>
      </w:pPr>
      <w:r>
        <w:t>GUIMARÃES</w:t>
      </w:r>
      <w:r w:rsidR="001C3EDC">
        <w:t xml:space="preserve"> (</w:t>
      </w:r>
      <w:r w:rsidR="007F4357" w:rsidRPr="00BD0223">
        <w:t>2010) fez um estudo detalhado sobre a região do Triângulo Mineiro relacionado à ascensão de Uberlândia como principal centro econômico da região, mantendo área de influência sobre: cidades vizinhas, Sudoeste de Goiás, parte do Mato Grosso do Sul</w:t>
      </w:r>
      <w:r w:rsidR="00EC6C03" w:rsidRPr="00BD0223">
        <w:t>,</w:t>
      </w:r>
      <w:r w:rsidR="007F4357" w:rsidRPr="00BD0223">
        <w:t xml:space="preserve">  e Noroeste e Norte de Minas Gerais, o que evidencia que apesar de o aumento da alíquota de </w:t>
      </w:r>
      <w:r w:rsidR="007F4357" w:rsidRPr="00BD0223">
        <w:lastRenderedPageBreak/>
        <w:t>ICMS sobre o diesel ter impacta</w:t>
      </w:r>
      <w:r w:rsidR="00EC6C03" w:rsidRPr="00BD0223">
        <w:t>do</w:t>
      </w:r>
      <w:r w:rsidR="007F4357" w:rsidRPr="00BD0223">
        <w:t xml:space="preserve"> o varejo do Triângulo Mineiro, o impacto </w:t>
      </w:r>
      <w:r w:rsidR="00EC6C03" w:rsidRPr="00BD0223">
        <w:t>foi</w:t>
      </w:r>
      <w:r w:rsidR="007F4357" w:rsidRPr="00BD0223">
        <w:t xml:space="preserve"> menor em Uberlândia pela mesma possuir sedes de distribuição de produtos que comercializam com diversos estados e estar localizada dentro de diversas rotas como: BR-365; liga rotas vindas do Nordeste do país e do Norte de Minas ao Sudoeste de Goiás e Mato Grosso do Sul, BR-050; ligação entre Santos, São Paulo e Brasília sendo que algumas rotas principalmente em relação a soja do Centro Oeste utilizam essa rodovia a partir de Uberlândia, BR-497; liga Uberlândia ao Mato Grosso do Sul cruzando a BR-153 no município de Prata</w:t>
      </w:r>
      <w:r w:rsidR="00B33964" w:rsidRPr="00BD0223">
        <w:t>; a qual</w:t>
      </w:r>
      <w:r w:rsidR="007F4357" w:rsidRPr="00BD0223">
        <w:t xml:space="preserve"> liga o Pará ao Rio Grande do Sul e é a quinta maior rodovia do país. O Mato Grosso do Sul por exemplo manteve uma alíquota de 17% de ICMS no óleo diesel até 2018, Goiás também aplicou uma alíquota superior ao estado de Minas Gerais durante quase todo o período entre 2010 e 2018, sendo assim Uberlândia não foi tão afetada pelo aumento de ICMS sobre o óleo diesel</w:t>
      </w:r>
      <w:r w:rsidR="00945988" w:rsidRPr="00BD0223">
        <w:t>,</w:t>
      </w:r>
      <w:r w:rsidR="007F4357" w:rsidRPr="00BD0223">
        <w:t xml:space="preserve"> </w:t>
      </w:r>
      <w:r w:rsidR="00EC6C03" w:rsidRPr="00BD0223">
        <w:t xml:space="preserve">mesmo que tal medida tenha gerado diferença de preços quando se compara com </w:t>
      </w:r>
      <w:r w:rsidR="007E76C1">
        <w:t xml:space="preserve">os do </w:t>
      </w:r>
      <w:r w:rsidR="00EC6C03" w:rsidRPr="00BD0223">
        <w:t>estado de São Paulo</w:t>
      </w:r>
      <w:r w:rsidR="007E76C1">
        <w:t xml:space="preserve"> (Ta</w:t>
      </w:r>
      <w:r w:rsidR="00EC6C03" w:rsidRPr="00BD0223">
        <w:t>belas 7 e 8</w:t>
      </w:r>
      <w:r w:rsidR="007E76C1">
        <w:t>)</w:t>
      </w:r>
      <w:r w:rsidR="00EC6C03" w:rsidRPr="00BD0223">
        <w:t>.</w:t>
      </w:r>
    </w:p>
    <w:p w14:paraId="04AE557E" w14:textId="7D7C29DA" w:rsidR="007A3CF3" w:rsidRPr="00BD0223" w:rsidRDefault="001B3558" w:rsidP="001B3558">
      <w:pPr>
        <w:pStyle w:val="Ttabela-titulo"/>
      </w:pPr>
      <w:bookmarkStart w:id="49" w:name="_Toc55329413"/>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18</w:t>
      </w:r>
      <w:r w:rsidRPr="00BD0223">
        <w:fldChar w:fldCharType="end"/>
      </w:r>
      <w:r w:rsidRPr="00BD0223">
        <w:t xml:space="preserve"> ― </w:t>
      </w:r>
      <w:r w:rsidR="00E86E32" w:rsidRPr="00BD0223">
        <w:t>Evolução de vendas de óleo Diesel em</w:t>
      </w:r>
      <w:r w:rsidR="00970A10" w:rsidRPr="00BD0223">
        <w:t xml:space="preserve"> milhões de</w:t>
      </w:r>
      <w:r w:rsidR="00E86E32" w:rsidRPr="00BD0223">
        <w:t xml:space="preserve"> litros n</w:t>
      </w:r>
      <w:r w:rsidR="00AF6E39">
        <w:t>o</w:t>
      </w:r>
      <w:r w:rsidR="00E86E32" w:rsidRPr="00BD0223">
        <w:t xml:space="preserve"> </w:t>
      </w:r>
      <w:r w:rsidR="00AF6E39">
        <w:t>município</w:t>
      </w:r>
      <w:r w:rsidR="00E86E32" w:rsidRPr="00BD0223">
        <w:t xml:space="preserve"> de Uberlândia</w:t>
      </w:r>
      <w:r w:rsidR="00B33964" w:rsidRPr="00BD0223">
        <w:t>-MG</w:t>
      </w:r>
      <w:r w:rsidR="00E86E32" w:rsidRPr="00BD0223">
        <w:t xml:space="preserve"> durante o período 2010-2018</w:t>
      </w:r>
      <w:bookmarkEnd w:id="49"/>
    </w:p>
    <w:p w14:paraId="4A263215" w14:textId="0FE9F6F5" w:rsidR="00970A10" w:rsidRPr="00BD0223" w:rsidRDefault="00970A10" w:rsidP="001B3558">
      <w:pPr>
        <w:pStyle w:val="Tfigura-figura"/>
        <w:rPr>
          <w:rFonts w:cs="Times New Roman"/>
          <w:b/>
          <w:bCs/>
          <w:sz w:val="28"/>
          <w:szCs w:val="28"/>
        </w:rPr>
      </w:pPr>
      <w:r w:rsidRPr="00BD0223">
        <w:drawing>
          <wp:inline distT="0" distB="0" distL="0" distR="0" wp14:anchorId="1DB3BF44" wp14:editId="0FFABD21">
            <wp:extent cx="5791200" cy="2771775"/>
            <wp:effectExtent l="0" t="0" r="0" b="9525"/>
            <wp:docPr id="26" name="Gráfico 26">
              <a:extLst xmlns:a="http://schemas.openxmlformats.org/drawingml/2006/main">
                <a:ext uri="{FF2B5EF4-FFF2-40B4-BE49-F238E27FC236}">
                  <a16:creationId xmlns:a16="http://schemas.microsoft.com/office/drawing/2014/main" id="{9B2DADA6-2733-4FFC-9D90-1FC3D2BAFE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E0A8EDF" w14:textId="77777777" w:rsidR="00383286" w:rsidRPr="00BD0223" w:rsidRDefault="00383286" w:rsidP="001B3558">
      <w:pPr>
        <w:pStyle w:val="Ttabela-fonte"/>
        <w:rPr>
          <w:noProof/>
        </w:rPr>
      </w:pPr>
      <w:r w:rsidRPr="00BD0223">
        <w:t>Fonte: ANP, Elaboração Própria</w:t>
      </w:r>
    </w:p>
    <w:p w14:paraId="36CB63FD" w14:textId="77777777" w:rsidR="00016269" w:rsidRDefault="00016269" w:rsidP="00383286">
      <w:pPr>
        <w:pStyle w:val="TNORMAL"/>
      </w:pPr>
    </w:p>
    <w:p w14:paraId="6A78BE87" w14:textId="7A735D33" w:rsidR="007A3CF3" w:rsidRPr="00BD0223" w:rsidRDefault="00337074" w:rsidP="00383286">
      <w:pPr>
        <w:pStyle w:val="TNORMAL"/>
        <w:rPr>
          <w:rFonts w:cs="Times New Roman"/>
          <w:szCs w:val="24"/>
        </w:rPr>
      </w:pPr>
      <w:r w:rsidRPr="00BD0223">
        <w:t xml:space="preserve">A BR-050, importante rodovia que liga São Paulo a Brasília passa por 4 cidades do Triângulo Mineiro: Uberlândia, Uberaba, Araguari e Delta. </w:t>
      </w:r>
      <w:r w:rsidR="00EC6C03" w:rsidRPr="00BD0223">
        <w:t xml:space="preserve">Diferentemente de Uberlândia, Uberaba e Araguari sofreram impacto imediato influenciado pelo aumento da alíquota de ICMS do </w:t>
      </w:r>
      <w:r w:rsidR="00500E73" w:rsidRPr="00BD0223">
        <w:t>ó</w:t>
      </w:r>
      <w:r w:rsidR="00EC6C03" w:rsidRPr="00BD0223">
        <w:t xml:space="preserve">leo </w:t>
      </w:r>
      <w:r w:rsidR="00500E73" w:rsidRPr="00BD0223">
        <w:t>d</w:t>
      </w:r>
      <w:r w:rsidR="00EC6C03" w:rsidRPr="00BD0223">
        <w:t>iesel, sendo que apesar d</w:t>
      </w:r>
      <w:r w:rsidR="00945988" w:rsidRPr="00BD0223">
        <w:t>as</w:t>
      </w:r>
      <w:r w:rsidR="00EC6C03" w:rsidRPr="00BD0223">
        <w:t xml:space="preserve"> vendas terem aumentado em alguns anos não voltaram ao </w:t>
      </w:r>
      <w:r w:rsidR="00EC6C03" w:rsidRPr="00BD0223">
        <w:lastRenderedPageBreak/>
        <w:t>mesmo patamar de 2011, ano anterior ao aumento do imposto.</w:t>
      </w:r>
      <w:r w:rsidR="00497180" w:rsidRPr="00BD0223">
        <w:t xml:space="preserve"> A diminuição no número de vendas do varejo</w:t>
      </w:r>
      <w:r w:rsidR="00945988" w:rsidRPr="00BD0223">
        <w:t xml:space="preserve"> de óleo diesel</w:t>
      </w:r>
      <w:r w:rsidR="00497180" w:rsidRPr="00BD0223">
        <w:t xml:space="preserve"> de Uberaba e Araguari foi observada de imediato, pelo fato de as mesmas serem dependentes da rota Santos-São Paulo-Brasília</w:t>
      </w:r>
      <w:r w:rsidR="007E76C1">
        <w:t xml:space="preserve"> </w:t>
      </w:r>
      <w:r w:rsidR="00497180" w:rsidRPr="00BD0223">
        <w:t>(lembrando que tal rota também liga o Sudoeste goiano e o Mato Grosso do Sul)</w:t>
      </w:r>
      <w:r w:rsidR="007E76C1">
        <w:t>. P</w:t>
      </w:r>
      <w:r w:rsidR="00497180" w:rsidRPr="00BD0223">
        <w:t xml:space="preserve">ortanto com o diferencial </w:t>
      </w:r>
      <w:r w:rsidR="00500E73" w:rsidRPr="00BD0223">
        <w:t>de</w:t>
      </w:r>
      <w:r w:rsidR="00497180" w:rsidRPr="00BD0223">
        <w:t xml:space="preserve"> preços entre os dois estados é normal que empresas e profissionais autônomos d</w:t>
      </w:r>
      <w:r w:rsidR="00500E73" w:rsidRPr="00BD0223">
        <w:t>e</w:t>
      </w:r>
      <w:r w:rsidR="00497180" w:rsidRPr="00BD0223">
        <w:t xml:space="preserve"> transporte de cargas optem por abastecer em São Paulo.</w:t>
      </w:r>
    </w:p>
    <w:p w14:paraId="1F9A5278" w14:textId="7D387034" w:rsidR="000420B2" w:rsidRPr="00BD0223" w:rsidRDefault="001B3558" w:rsidP="001B3558">
      <w:pPr>
        <w:pStyle w:val="Ttabela-titulo"/>
      </w:pPr>
      <w:bookmarkStart w:id="50" w:name="_Toc55329414"/>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19</w:t>
      </w:r>
      <w:r w:rsidRPr="00BD0223">
        <w:fldChar w:fldCharType="end"/>
      </w:r>
      <w:r w:rsidRPr="00BD0223">
        <w:t xml:space="preserve"> ― </w:t>
      </w:r>
      <w:r w:rsidR="00AE3D96" w:rsidRPr="00BD0223">
        <w:t>Evolução de vendas de óleo Diesel</w:t>
      </w:r>
      <w:r w:rsidR="00E86E32" w:rsidRPr="00BD0223">
        <w:t xml:space="preserve"> em</w:t>
      </w:r>
      <w:r w:rsidR="00970A10" w:rsidRPr="00BD0223">
        <w:t xml:space="preserve"> milhões de</w:t>
      </w:r>
      <w:r w:rsidR="00E86E32" w:rsidRPr="00BD0223">
        <w:t xml:space="preserve"> litros</w:t>
      </w:r>
      <w:r w:rsidR="00AE3D96" w:rsidRPr="00BD0223">
        <w:t xml:space="preserve"> </w:t>
      </w:r>
      <w:r w:rsidR="00AF6E39" w:rsidRPr="00BD0223">
        <w:t>n</w:t>
      </w:r>
      <w:r w:rsidR="00AF6E39">
        <w:t>o</w:t>
      </w:r>
      <w:r w:rsidR="00AF6E39" w:rsidRPr="00BD0223">
        <w:t xml:space="preserve"> </w:t>
      </w:r>
      <w:r w:rsidR="00AF6E39">
        <w:t>município</w:t>
      </w:r>
      <w:r w:rsidR="00AF6E39" w:rsidRPr="00BD0223">
        <w:t xml:space="preserve"> </w:t>
      </w:r>
      <w:r w:rsidR="00AE3D96" w:rsidRPr="00BD0223">
        <w:t>de Araguari</w:t>
      </w:r>
      <w:r w:rsidR="00B33964" w:rsidRPr="00BD0223">
        <w:t>-MG</w:t>
      </w:r>
      <w:r w:rsidR="00AE3D96" w:rsidRPr="00BD0223">
        <w:t xml:space="preserve"> durante o período 2010-2018</w:t>
      </w:r>
      <w:bookmarkEnd w:id="50"/>
    </w:p>
    <w:p w14:paraId="63F8D352" w14:textId="760AAA82" w:rsidR="00516FFA" w:rsidRPr="00BD0223" w:rsidRDefault="00970A10" w:rsidP="001B3558">
      <w:pPr>
        <w:pStyle w:val="Tfigura-figura"/>
        <w:rPr>
          <w:rFonts w:cs="Times New Roman"/>
          <w:b/>
          <w:bCs/>
          <w:sz w:val="28"/>
          <w:szCs w:val="28"/>
        </w:rPr>
      </w:pPr>
      <w:r w:rsidRPr="00BD0223">
        <w:drawing>
          <wp:inline distT="0" distB="0" distL="0" distR="0" wp14:anchorId="24B462DB" wp14:editId="46952729">
            <wp:extent cx="5762625" cy="2667000"/>
            <wp:effectExtent l="0" t="0" r="9525" b="19050"/>
            <wp:docPr id="28" name="Gráfico 28">
              <a:extLst xmlns:a="http://schemas.openxmlformats.org/drawingml/2006/main">
                <a:ext uri="{FF2B5EF4-FFF2-40B4-BE49-F238E27FC236}">
                  <a16:creationId xmlns:a16="http://schemas.microsoft.com/office/drawing/2014/main" id="{EFEC0CDF-8F8F-43FC-AAFC-C573111941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156DDC9" w14:textId="2C9793C7" w:rsidR="00016269" w:rsidRDefault="00383286" w:rsidP="0039539B">
      <w:pPr>
        <w:pStyle w:val="Ttabela-fonte"/>
        <w:rPr>
          <w:noProof/>
        </w:rPr>
      </w:pPr>
      <w:r w:rsidRPr="00BD0223">
        <w:t>Fonte: ANP, Elaboração Própria</w:t>
      </w:r>
      <w:bookmarkStart w:id="51" w:name="_Toc55329415"/>
    </w:p>
    <w:p w14:paraId="5E950F2F" w14:textId="768B25A5" w:rsidR="00E86E32" w:rsidRPr="00BD0223" w:rsidRDefault="001B3558" w:rsidP="001B3558">
      <w:pPr>
        <w:pStyle w:val="Ttabela-titulo"/>
      </w:pPr>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20</w:t>
      </w:r>
      <w:r w:rsidRPr="00BD0223">
        <w:fldChar w:fldCharType="end"/>
      </w:r>
      <w:r w:rsidRPr="00BD0223">
        <w:t xml:space="preserve"> ― </w:t>
      </w:r>
      <w:r w:rsidR="00E86E32" w:rsidRPr="00BD0223">
        <w:t>Evolução de vendas de Óleo Diesel em</w:t>
      </w:r>
      <w:r w:rsidR="00516FFA" w:rsidRPr="00BD0223">
        <w:t xml:space="preserve"> milhões de</w:t>
      </w:r>
      <w:r w:rsidR="00E86E32" w:rsidRPr="00BD0223">
        <w:t xml:space="preserve"> litros </w:t>
      </w:r>
      <w:r w:rsidR="00AF6E39" w:rsidRPr="00BD0223">
        <w:t>n</w:t>
      </w:r>
      <w:r w:rsidR="00AF6E39">
        <w:t>o</w:t>
      </w:r>
      <w:r w:rsidR="00AF6E39" w:rsidRPr="00BD0223">
        <w:t xml:space="preserve"> </w:t>
      </w:r>
      <w:r w:rsidR="00AF6E39">
        <w:t>município</w:t>
      </w:r>
      <w:r w:rsidR="00AF6E39" w:rsidRPr="00BD0223">
        <w:t xml:space="preserve"> </w:t>
      </w:r>
      <w:r w:rsidR="00E86E32" w:rsidRPr="00BD0223">
        <w:t>de Uberaba</w:t>
      </w:r>
      <w:r w:rsidR="00B33964" w:rsidRPr="00BD0223">
        <w:t>-MG</w:t>
      </w:r>
      <w:r w:rsidR="00E86E32" w:rsidRPr="00BD0223">
        <w:t xml:space="preserve"> durante o período 2010-2018</w:t>
      </w:r>
      <w:bookmarkEnd w:id="51"/>
    </w:p>
    <w:p w14:paraId="780B93E3" w14:textId="43DD4DE8" w:rsidR="00516FFA" w:rsidRPr="00BD0223" w:rsidRDefault="00516FFA" w:rsidP="001B3558">
      <w:pPr>
        <w:pStyle w:val="Tfigura-figura"/>
        <w:rPr>
          <w:rFonts w:cs="Times New Roman"/>
          <w:sz w:val="28"/>
          <w:szCs w:val="28"/>
        </w:rPr>
      </w:pPr>
      <w:r w:rsidRPr="00BD0223">
        <w:drawing>
          <wp:inline distT="0" distB="0" distL="0" distR="0" wp14:anchorId="178D36B0" wp14:editId="647713C3">
            <wp:extent cx="5781675" cy="2638425"/>
            <wp:effectExtent l="0" t="0" r="9525" b="9525"/>
            <wp:docPr id="30" name="Gráfico 30">
              <a:extLst xmlns:a="http://schemas.openxmlformats.org/drawingml/2006/main">
                <a:ext uri="{FF2B5EF4-FFF2-40B4-BE49-F238E27FC236}">
                  <a16:creationId xmlns:a16="http://schemas.microsoft.com/office/drawing/2014/main" id="{3A060F76-AA80-45F2-BFA5-074F1B35C1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80E1399" w14:textId="0642609B" w:rsidR="00016269" w:rsidRDefault="00383286" w:rsidP="007C0824">
      <w:pPr>
        <w:pStyle w:val="Ttabela-fonte"/>
        <w:rPr>
          <w:noProof/>
        </w:rPr>
      </w:pPr>
      <w:r w:rsidRPr="00BD0223">
        <w:t>Fonte: ANP, Elaboração Própria</w:t>
      </w:r>
    </w:p>
    <w:p w14:paraId="1CDC5E69" w14:textId="50E20225" w:rsidR="00016269" w:rsidRPr="00BD0223" w:rsidRDefault="003F3931" w:rsidP="007C0824">
      <w:pPr>
        <w:pStyle w:val="TNORMAL"/>
      </w:pPr>
      <w:r w:rsidRPr="00BD0223">
        <w:lastRenderedPageBreak/>
        <w:t>É importante ressaltar que a crise econômica iniciada em 2014 que se estendeu até 2016 afetou o varejo de óleo diesel dos municípios mineiros e paulistas igualmente, independente da alíquota de ICMS praticada, no entanto as cidades do estado de São Paulo se recuperaram melhor da crise. Para es</w:t>
      </w:r>
      <w:r w:rsidR="00640DCC" w:rsidRPr="00BD0223">
        <w:t>t</w:t>
      </w:r>
      <w:r w:rsidRPr="00BD0223">
        <w:t xml:space="preserve">e estudo foram coletados dados, no caso do Triângulo Mineiro, referentes as Microrregiões de Frutal, </w:t>
      </w:r>
      <w:r w:rsidR="00945988" w:rsidRPr="00BD0223">
        <w:t>Ituiutaba</w:t>
      </w:r>
      <w:r w:rsidRPr="00BD0223">
        <w:t>, Uberaba e Uberlândia</w:t>
      </w:r>
      <w:r w:rsidR="00640DCC" w:rsidRPr="00BD0223">
        <w:t xml:space="preserve">. Municípios como Prata e Ituiutaba, a exemplo de Uberlândia, não demonstraram impacto imediato </w:t>
      </w:r>
      <w:r w:rsidR="00D4755A" w:rsidRPr="00BD0223">
        <w:t>como resultado</w:t>
      </w:r>
      <w:r w:rsidR="00640DCC" w:rsidRPr="00BD0223">
        <w:t xml:space="preserve"> da mudança de alíquota, o que foi decorrente do fato de que o comércio intrarregional de óleo diesel dessas regiões não compreende só ao estado de São Paulo, mas também aos estados de Goiás e do Mato Grosso do Sul</w:t>
      </w:r>
      <w:r w:rsidR="00B33964" w:rsidRPr="00BD0223">
        <w:t>,</w:t>
      </w:r>
      <w:r w:rsidR="00640DCC" w:rsidRPr="00BD0223">
        <w:t xml:space="preserve"> </w:t>
      </w:r>
      <w:r w:rsidR="00B33964" w:rsidRPr="00BD0223">
        <w:t>a</w:t>
      </w:r>
      <w:r w:rsidR="00640DCC" w:rsidRPr="00BD0223">
        <w:t>mbas as cidades se situam em localizações estratégicas: Prata; BR-153, e Ituiutaba; BR-365. Arapor</w:t>
      </w:r>
      <w:r w:rsidR="00EA54A8">
        <w:t>ã</w:t>
      </w:r>
      <w:r w:rsidR="00640DCC" w:rsidRPr="00BD0223">
        <w:t xml:space="preserve">, município que se situa na fronteira dos estados de Minas Gerais e Goiás sofreu um ligeiro decréscimo nas vendas de diesel em 2012, no entanto seu mercado de óleo diesel possui comportamento semelhante ao das cidades de Prata e Ituiutaba. Os municípios do Triangulo Mineiro em geral </w:t>
      </w:r>
      <w:r w:rsidR="00A37F83" w:rsidRPr="00BD0223">
        <w:t xml:space="preserve">apresentaram o seguinte comportamento referente as vendas de óleo diesel: impacto negativo decorrente da crise econômica e recuperação insuficiente </w:t>
      </w:r>
      <w:r w:rsidR="00500E73" w:rsidRPr="00BD0223">
        <w:t>a</w:t>
      </w:r>
      <w:r w:rsidR="00A37F83" w:rsidRPr="00BD0223">
        <w:t>pós</w:t>
      </w:r>
      <w:r w:rsidR="00500E73" w:rsidRPr="00BD0223">
        <w:t xml:space="preserve"> o fim da</w:t>
      </w:r>
      <w:r w:rsidR="0092751A" w:rsidRPr="00BD0223">
        <w:t xml:space="preserve"> </w:t>
      </w:r>
      <w:r w:rsidR="00945988" w:rsidRPr="00BD0223">
        <w:t>recessão</w:t>
      </w:r>
      <w:r w:rsidR="00A37F83" w:rsidRPr="00BD0223">
        <w:t xml:space="preserve">, enquanto os municípios paulistas das </w:t>
      </w:r>
      <w:r w:rsidR="007E76C1">
        <w:t>M</w:t>
      </w:r>
      <w:r w:rsidR="00A37F83" w:rsidRPr="00BD0223">
        <w:t xml:space="preserve">esorregiões de Ribeirão Preto e São José do Rio Preto apesar de terem sido afetados pela crise obtiveram uma recuperação mais vigorosa, </w:t>
      </w:r>
      <w:r w:rsidR="007E76C1">
        <w:t xml:space="preserve">salvo </w:t>
      </w:r>
      <w:r w:rsidR="00A37F83" w:rsidRPr="00BD0223">
        <w:t xml:space="preserve">algumas exceções como o município de São José </w:t>
      </w:r>
      <w:r w:rsidR="00B33964" w:rsidRPr="00BD0223">
        <w:t>do</w:t>
      </w:r>
      <w:r w:rsidR="00A37F83" w:rsidRPr="00BD0223">
        <w:t xml:space="preserve"> Rio Preto. Os </w:t>
      </w:r>
      <w:r w:rsidR="007E76C1">
        <w:t>G</w:t>
      </w:r>
      <w:r w:rsidR="00A37F83" w:rsidRPr="00BD0223">
        <w:t>ráficos</w:t>
      </w:r>
      <w:r w:rsidR="007E76C1">
        <w:t xml:space="preserve">, a seguir, </w:t>
      </w:r>
      <w:r w:rsidR="00A37F83" w:rsidRPr="00BD0223">
        <w:t>ilustra</w:t>
      </w:r>
      <w:r w:rsidR="00A96EA8" w:rsidRPr="00BD0223">
        <w:t>m</w:t>
      </w:r>
      <w:r w:rsidR="00A37F83" w:rsidRPr="00BD0223">
        <w:t xml:space="preserve"> a recuperação do varejo de óleo diesel paulista, como ocorreu em Ribeirão Preto</w:t>
      </w:r>
      <w:r w:rsidR="00A96EA8" w:rsidRPr="00BD0223">
        <w:t>, e a queda acentuada do varejo de óleo diesel mineiro, como já foi mostrado nos gráficos anteriores relacionados a Uberlândia, Uberaba e Araguari.</w:t>
      </w:r>
    </w:p>
    <w:p w14:paraId="2897B03B" w14:textId="2053F790" w:rsidR="00A96EA8" w:rsidRPr="00BD0223" w:rsidRDefault="001B3558" w:rsidP="001B3558">
      <w:pPr>
        <w:pStyle w:val="Ttabela-titulo"/>
      </w:pPr>
      <w:bookmarkStart w:id="52" w:name="_Toc55329416"/>
      <w:r w:rsidRPr="00BD0223">
        <w:lastRenderedPageBreak/>
        <w:t xml:space="preserve">Gráfico </w:t>
      </w:r>
      <w:r w:rsidRPr="00BD0223">
        <w:fldChar w:fldCharType="begin"/>
      </w:r>
      <w:r w:rsidRPr="00BD0223">
        <w:instrText xml:space="preserve"> SEQ Gráfico \* ARABIC </w:instrText>
      </w:r>
      <w:r w:rsidRPr="00BD0223">
        <w:fldChar w:fldCharType="separate"/>
      </w:r>
      <w:r w:rsidR="009A5BEE">
        <w:rPr>
          <w:noProof/>
        </w:rPr>
        <w:t>21</w:t>
      </w:r>
      <w:r w:rsidRPr="00BD0223">
        <w:fldChar w:fldCharType="end"/>
      </w:r>
      <w:r w:rsidRPr="00BD0223">
        <w:t xml:space="preserve"> ― </w:t>
      </w:r>
      <w:r w:rsidR="00A96EA8" w:rsidRPr="00BD0223">
        <w:t>Evolução de vendas de Óleo Diesel em</w:t>
      </w:r>
      <w:r w:rsidR="00F51D90" w:rsidRPr="00BD0223">
        <w:t xml:space="preserve"> milhões de</w:t>
      </w:r>
      <w:r w:rsidR="00A96EA8" w:rsidRPr="00BD0223">
        <w:t xml:space="preserve"> litros </w:t>
      </w:r>
      <w:r w:rsidR="00AF6E39" w:rsidRPr="00BD0223">
        <w:t>n</w:t>
      </w:r>
      <w:r w:rsidR="00AF6E39">
        <w:t>o</w:t>
      </w:r>
      <w:r w:rsidR="00AF6E39" w:rsidRPr="00BD0223">
        <w:t xml:space="preserve"> </w:t>
      </w:r>
      <w:r w:rsidR="00AF6E39">
        <w:t>município</w:t>
      </w:r>
      <w:r w:rsidR="00AF6E39" w:rsidRPr="00BD0223">
        <w:t xml:space="preserve"> </w:t>
      </w:r>
      <w:r w:rsidR="00A96EA8" w:rsidRPr="00BD0223">
        <w:t>de Ribeirão Preto</w:t>
      </w:r>
      <w:r w:rsidR="00DF684F" w:rsidRPr="00BD0223">
        <w:t xml:space="preserve"> </w:t>
      </w:r>
      <w:r w:rsidR="00B33964" w:rsidRPr="00BD0223">
        <w:t>-</w:t>
      </w:r>
      <w:r w:rsidR="00DF684F" w:rsidRPr="00BD0223">
        <w:t xml:space="preserve"> </w:t>
      </w:r>
      <w:r w:rsidR="00B33964" w:rsidRPr="00BD0223">
        <w:t>SP</w:t>
      </w:r>
      <w:r w:rsidR="00A96EA8" w:rsidRPr="00BD0223">
        <w:t xml:space="preserve"> durante o período 2010-2018</w:t>
      </w:r>
      <w:bookmarkEnd w:id="52"/>
    </w:p>
    <w:p w14:paraId="09CB371D" w14:textId="536DB861" w:rsidR="000420B2" w:rsidRPr="00BD0223" w:rsidRDefault="00F51D90" w:rsidP="001B3558">
      <w:pPr>
        <w:pStyle w:val="Tfigura-figura"/>
        <w:rPr>
          <w:rFonts w:cs="Times New Roman"/>
          <w:b/>
          <w:bCs/>
          <w:sz w:val="28"/>
          <w:szCs w:val="28"/>
        </w:rPr>
      </w:pPr>
      <w:r w:rsidRPr="00BD0223">
        <w:drawing>
          <wp:inline distT="0" distB="0" distL="0" distR="0" wp14:anchorId="3E97F581" wp14:editId="334740C6">
            <wp:extent cx="5762625" cy="2743200"/>
            <wp:effectExtent l="0" t="0" r="9525" b="19050"/>
            <wp:docPr id="32" name="Gráfico 32">
              <a:extLst xmlns:a="http://schemas.openxmlformats.org/drawingml/2006/main">
                <a:ext uri="{FF2B5EF4-FFF2-40B4-BE49-F238E27FC236}">
                  <a16:creationId xmlns:a16="http://schemas.microsoft.com/office/drawing/2014/main" id="{EEA6AED7-64C2-42DA-B14A-20B4E101B4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F8CB61C" w14:textId="3BE6B440" w:rsidR="001B3558" w:rsidRDefault="001B3558" w:rsidP="001B3558">
      <w:pPr>
        <w:pStyle w:val="Ttabela-fonte"/>
      </w:pPr>
      <w:r w:rsidRPr="00BD0223">
        <w:t>Fonte: ANP, Elaboração Própria</w:t>
      </w:r>
    </w:p>
    <w:p w14:paraId="1C9DD983" w14:textId="77777777" w:rsidR="00E61580" w:rsidRPr="00E61580" w:rsidRDefault="00E61580" w:rsidP="00E61580">
      <w:pPr>
        <w:pStyle w:val="TNORMAL"/>
        <w:rPr>
          <w:lang w:val="pt-BR" w:eastAsia="pt-PT"/>
        </w:rPr>
      </w:pPr>
    </w:p>
    <w:p w14:paraId="395AEDD3" w14:textId="291954AC" w:rsidR="000420B2" w:rsidRPr="00BD0223" w:rsidRDefault="001B3558" w:rsidP="001B3558">
      <w:pPr>
        <w:pStyle w:val="Ttabela-titulo"/>
      </w:pPr>
      <w:bookmarkStart w:id="53" w:name="_Toc55329417"/>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22</w:t>
      </w:r>
      <w:r w:rsidRPr="00BD0223">
        <w:fldChar w:fldCharType="end"/>
      </w:r>
      <w:r w:rsidRPr="00BD0223">
        <w:t xml:space="preserve"> ― </w:t>
      </w:r>
      <w:r w:rsidR="00A96EA8" w:rsidRPr="00BD0223">
        <w:t>Evolução de vendas de Óleo Diesel em</w:t>
      </w:r>
      <w:r w:rsidR="00F51D90" w:rsidRPr="00BD0223">
        <w:t xml:space="preserve"> milhões de</w:t>
      </w:r>
      <w:r w:rsidR="00A96EA8" w:rsidRPr="00BD0223">
        <w:t xml:space="preserve"> litros </w:t>
      </w:r>
      <w:r w:rsidR="00AF6E39" w:rsidRPr="00BD0223">
        <w:t>n</w:t>
      </w:r>
      <w:r w:rsidR="00AF6E39">
        <w:t>o</w:t>
      </w:r>
      <w:r w:rsidR="00AF6E39" w:rsidRPr="00BD0223">
        <w:t xml:space="preserve"> </w:t>
      </w:r>
      <w:r w:rsidR="00AF6E39">
        <w:t>município</w:t>
      </w:r>
      <w:r w:rsidR="00AF6E39" w:rsidRPr="00BD0223">
        <w:t xml:space="preserve"> </w:t>
      </w:r>
      <w:r w:rsidR="00A96EA8" w:rsidRPr="00BD0223">
        <w:t>de São José</w:t>
      </w:r>
      <w:r w:rsidR="00764C85" w:rsidRPr="00BD0223">
        <w:t xml:space="preserve"> do Rio Preto</w:t>
      </w:r>
      <w:r w:rsidR="00DF684F" w:rsidRPr="00BD0223">
        <w:t xml:space="preserve"> </w:t>
      </w:r>
      <w:r w:rsidR="00B33964" w:rsidRPr="00BD0223">
        <w:t>-</w:t>
      </w:r>
      <w:r w:rsidR="00DF684F" w:rsidRPr="00BD0223">
        <w:t xml:space="preserve"> </w:t>
      </w:r>
      <w:r w:rsidR="00B33964" w:rsidRPr="00BD0223">
        <w:t>SP</w:t>
      </w:r>
      <w:r w:rsidR="00A96EA8" w:rsidRPr="00BD0223">
        <w:t xml:space="preserve"> durante o período 2010-2018</w:t>
      </w:r>
      <w:bookmarkEnd w:id="53"/>
    </w:p>
    <w:p w14:paraId="0DDF3D7A" w14:textId="5C2C7D2B" w:rsidR="00764C85" w:rsidRPr="00BD0223" w:rsidRDefault="00D80AB4" w:rsidP="001B3558">
      <w:pPr>
        <w:pStyle w:val="Tfigura-figura"/>
      </w:pPr>
      <w:r w:rsidRPr="00BD0223">
        <w:drawing>
          <wp:inline distT="0" distB="0" distL="0" distR="0" wp14:anchorId="50DC9347" wp14:editId="31CAC82B">
            <wp:extent cx="5848350" cy="2743200"/>
            <wp:effectExtent l="0" t="0" r="19050" b="19050"/>
            <wp:docPr id="65" name="Gráfico 65">
              <a:extLst xmlns:a="http://schemas.openxmlformats.org/drawingml/2006/main">
                <a:ext uri="{FF2B5EF4-FFF2-40B4-BE49-F238E27FC236}">
                  <a16:creationId xmlns:a16="http://schemas.microsoft.com/office/drawing/2014/main" id="{94875CA0-F066-4BC9-A88F-D454687DB2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DBCF421" w14:textId="4E0D00A0" w:rsidR="00016269" w:rsidRDefault="001B3558" w:rsidP="0039539B">
      <w:pPr>
        <w:pStyle w:val="Ttabela-fonte"/>
        <w:rPr>
          <w:noProof/>
        </w:rPr>
      </w:pPr>
      <w:r w:rsidRPr="00BD0223">
        <w:t>Fonte: ANP, Elaboração Própria</w:t>
      </w:r>
      <w:bookmarkStart w:id="54" w:name="_Toc55329418"/>
    </w:p>
    <w:p w14:paraId="6FDB8BDB" w14:textId="5080D426" w:rsidR="00764C85" w:rsidRPr="00BD0223" w:rsidRDefault="001B3558" w:rsidP="001B3558">
      <w:pPr>
        <w:pStyle w:val="Ttabela-titulo"/>
      </w:pPr>
      <w:r w:rsidRPr="00BD0223">
        <w:lastRenderedPageBreak/>
        <w:t xml:space="preserve">Gráfico </w:t>
      </w:r>
      <w:r w:rsidRPr="00BD0223">
        <w:fldChar w:fldCharType="begin"/>
      </w:r>
      <w:r w:rsidRPr="00BD0223">
        <w:instrText xml:space="preserve"> SEQ Gráfico \* ARABIC </w:instrText>
      </w:r>
      <w:r w:rsidRPr="00BD0223">
        <w:fldChar w:fldCharType="separate"/>
      </w:r>
      <w:r w:rsidR="009A5BEE">
        <w:rPr>
          <w:noProof/>
        </w:rPr>
        <w:t>23</w:t>
      </w:r>
      <w:r w:rsidRPr="00BD0223">
        <w:fldChar w:fldCharType="end"/>
      </w:r>
      <w:r w:rsidRPr="00BD0223">
        <w:t xml:space="preserve"> ― </w:t>
      </w:r>
      <w:r w:rsidR="00764C85" w:rsidRPr="00BD0223">
        <w:t>Evolução de vendas de Óleo Diesel em</w:t>
      </w:r>
      <w:r w:rsidR="0000722A" w:rsidRPr="00BD0223">
        <w:t xml:space="preserve"> milhões</w:t>
      </w:r>
      <w:r w:rsidR="00764C85" w:rsidRPr="00BD0223">
        <w:t xml:space="preserve"> litros </w:t>
      </w:r>
      <w:r w:rsidR="00AF6E39" w:rsidRPr="00BD0223">
        <w:t>n</w:t>
      </w:r>
      <w:r w:rsidR="00AF6E39">
        <w:t>o</w:t>
      </w:r>
      <w:r w:rsidR="00AF6E39" w:rsidRPr="00BD0223">
        <w:t xml:space="preserve"> </w:t>
      </w:r>
      <w:r w:rsidR="00AF6E39">
        <w:t>município</w:t>
      </w:r>
      <w:r w:rsidR="00AF6E39" w:rsidRPr="00BD0223">
        <w:t xml:space="preserve"> </w:t>
      </w:r>
      <w:r w:rsidR="00764C85" w:rsidRPr="00BD0223">
        <w:t>de Guará</w:t>
      </w:r>
      <w:r w:rsidR="00DF684F" w:rsidRPr="00BD0223">
        <w:t xml:space="preserve"> </w:t>
      </w:r>
      <w:r w:rsidR="00B33964" w:rsidRPr="00BD0223">
        <w:t>-</w:t>
      </w:r>
      <w:r w:rsidR="00DF684F" w:rsidRPr="00BD0223">
        <w:t xml:space="preserve"> </w:t>
      </w:r>
      <w:r w:rsidR="00B33964" w:rsidRPr="00BD0223">
        <w:t>SP</w:t>
      </w:r>
      <w:r w:rsidR="00764C85" w:rsidRPr="00BD0223">
        <w:t xml:space="preserve"> do durante o período 2010-2018</w:t>
      </w:r>
      <w:bookmarkEnd w:id="54"/>
    </w:p>
    <w:p w14:paraId="46C4752A" w14:textId="7E6A5F13" w:rsidR="00764C85" w:rsidRPr="00BD0223" w:rsidRDefault="00D80AB4" w:rsidP="001B3558">
      <w:pPr>
        <w:pStyle w:val="Tfigura-figura"/>
        <w:rPr>
          <w:rFonts w:cs="Times New Roman"/>
          <w:b/>
          <w:bCs/>
          <w:sz w:val="28"/>
          <w:szCs w:val="28"/>
        </w:rPr>
      </w:pPr>
      <w:r w:rsidRPr="00BD0223">
        <w:drawing>
          <wp:inline distT="0" distB="0" distL="0" distR="0" wp14:anchorId="56CB19B8" wp14:editId="7C7F0167">
            <wp:extent cx="5753100" cy="2743200"/>
            <wp:effectExtent l="0" t="0" r="19050" b="19050"/>
            <wp:docPr id="66" name="Gráfico 66">
              <a:extLst xmlns:a="http://schemas.openxmlformats.org/drawingml/2006/main">
                <a:ext uri="{FF2B5EF4-FFF2-40B4-BE49-F238E27FC236}">
                  <a16:creationId xmlns:a16="http://schemas.microsoft.com/office/drawing/2014/main" id="{94875CA0-F066-4BC9-A88F-D454687DB2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FA6F653" w14:textId="6EAE3D65" w:rsidR="001B3558" w:rsidRDefault="001B3558" w:rsidP="001B3558">
      <w:pPr>
        <w:pStyle w:val="Ttabela-fonte"/>
      </w:pPr>
      <w:r w:rsidRPr="00BD0223">
        <w:t>Fonte: ANP, Elaboração Própria</w:t>
      </w:r>
    </w:p>
    <w:p w14:paraId="2D763E7C" w14:textId="77777777" w:rsidR="00E61580" w:rsidRPr="00E61580" w:rsidRDefault="00E61580" w:rsidP="00E61580">
      <w:pPr>
        <w:pStyle w:val="TNORMAL"/>
        <w:rPr>
          <w:lang w:val="pt-BR" w:eastAsia="pt-PT"/>
        </w:rPr>
      </w:pPr>
    </w:p>
    <w:p w14:paraId="0FD06671" w14:textId="28766F83" w:rsidR="00764C85" w:rsidRPr="00BD0223" w:rsidRDefault="001B3558" w:rsidP="001B3558">
      <w:pPr>
        <w:pStyle w:val="Ttabela-titulo"/>
      </w:pPr>
      <w:bookmarkStart w:id="55" w:name="_Toc55329419"/>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24</w:t>
      </w:r>
      <w:r w:rsidRPr="00BD0223">
        <w:fldChar w:fldCharType="end"/>
      </w:r>
      <w:r w:rsidRPr="00BD0223">
        <w:t xml:space="preserve"> ― </w:t>
      </w:r>
      <w:r w:rsidR="00764C85" w:rsidRPr="00BD0223">
        <w:t>Evolução de vendas de Óleo Diesel em</w:t>
      </w:r>
      <w:r w:rsidR="00DF3177" w:rsidRPr="00BD0223">
        <w:t xml:space="preserve"> milhões de</w:t>
      </w:r>
      <w:r w:rsidR="00764C85" w:rsidRPr="00BD0223">
        <w:t xml:space="preserve"> litros </w:t>
      </w:r>
      <w:r w:rsidR="00AF6E39" w:rsidRPr="00BD0223">
        <w:t>n</w:t>
      </w:r>
      <w:r w:rsidR="00AF6E39">
        <w:t>o</w:t>
      </w:r>
      <w:r w:rsidR="00AF6E39" w:rsidRPr="00BD0223">
        <w:t xml:space="preserve"> </w:t>
      </w:r>
      <w:r w:rsidR="00AF6E39">
        <w:t>município</w:t>
      </w:r>
      <w:r w:rsidR="00AF6E39" w:rsidRPr="00BD0223">
        <w:t xml:space="preserve"> </w:t>
      </w:r>
      <w:r w:rsidR="00764C85" w:rsidRPr="00BD0223">
        <w:t>de Barretos</w:t>
      </w:r>
      <w:r w:rsidR="00B33964" w:rsidRPr="00BD0223">
        <w:t>-SP</w:t>
      </w:r>
      <w:r w:rsidR="00764C85" w:rsidRPr="00BD0223">
        <w:t xml:space="preserve"> durante o período 2010-2018</w:t>
      </w:r>
      <w:bookmarkEnd w:id="55"/>
    </w:p>
    <w:p w14:paraId="3D0EC0B4" w14:textId="0B919116" w:rsidR="00D80AB4" w:rsidRPr="00BD0223" w:rsidRDefault="0000722A" w:rsidP="001B3558">
      <w:pPr>
        <w:pStyle w:val="Tfigura-figura"/>
        <w:rPr>
          <w:rFonts w:cs="Times New Roman"/>
          <w:b/>
          <w:bCs/>
          <w:sz w:val="28"/>
          <w:szCs w:val="28"/>
        </w:rPr>
      </w:pPr>
      <w:r w:rsidRPr="00BD0223">
        <w:drawing>
          <wp:inline distT="0" distB="0" distL="0" distR="0" wp14:anchorId="1E7F99E8" wp14:editId="2973B9C7">
            <wp:extent cx="5772150" cy="2743200"/>
            <wp:effectExtent l="0" t="0" r="19050" b="19050"/>
            <wp:docPr id="69" name="Gráfico 69">
              <a:extLst xmlns:a="http://schemas.openxmlformats.org/drawingml/2006/main">
                <a:ext uri="{FF2B5EF4-FFF2-40B4-BE49-F238E27FC236}">
                  <a16:creationId xmlns:a16="http://schemas.microsoft.com/office/drawing/2014/main" id="{94875CA0-F066-4BC9-A88F-D454687DB2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5AD3E96" w14:textId="63DDD0F7" w:rsidR="00016269" w:rsidRDefault="001B3558" w:rsidP="0039539B">
      <w:pPr>
        <w:pStyle w:val="Ttabela-fonte"/>
        <w:rPr>
          <w:noProof/>
        </w:rPr>
      </w:pPr>
      <w:r w:rsidRPr="00BD0223">
        <w:t>Fonte: ANP, Elaboração Própria</w:t>
      </w:r>
      <w:bookmarkStart w:id="56" w:name="_Toc55329420"/>
    </w:p>
    <w:p w14:paraId="1C7D287D" w14:textId="078F304D" w:rsidR="00D87017" w:rsidRPr="00BD0223" w:rsidRDefault="001B3558" w:rsidP="001B3558">
      <w:pPr>
        <w:pStyle w:val="Ttabela-titulo"/>
      </w:pPr>
      <w:r w:rsidRPr="00BD0223">
        <w:lastRenderedPageBreak/>
        <w:t xml:space="preserve">Gráfico </w:t>
      </w:r>
      <w:r w:rsidRPr="00BD0223">
        <w:fldChar w:fldCharType="begin"/>
      </w:r>
      <w:r w:rsidRPr="00BD0223">
        <w:instrText xml:space="preserve"> SEQ Gráfico \* ARABIC </w:instrText>
      </w:r>
      <w:r w:rsidRPr="00BD0223">
        <w:fldChar w:fldCharType="separate"/>
      </w:r>
      <w:r w:rsidR="009A5BEE">
        <w:rPr>
          <w:noProof/>
        </w:rPr>
        <w:t>25</w:t>
      </w:r>
      <w:r w:rsidRPr="00BD0223">
        <w:fldChar w:fldCharType="end"/>
      </w:r>
      <w:r w:rsidRPr="00BD0223">
        <w:t xml:space="preserve"> ― </w:t>
      </w:r>
      <w:r w:rsidR="00D87017" w:rsidRPr="00BD0223">
        <w:t>Evolução de vendas de Óleo Diesel em</w:t>
      </w:r>
      <w:r w:rsidR="00DF3177" w:rsidRPr="00BD0223">
        <w:t xml:space="preserve"> milhões de</w:t>
      </w:r>
      <w:r w:rsidR="00D87017" w:rsidRPr="00BD0223">
        <w:t xml:space="preserve"> litros </w:t>
      </w:r>
      <w:r w:rsidR="00AF6E39" w:rsidRPr="00BD0223">
        <w:t>n</w:t>
      </w:r>
      <w:r w:rsidR="00AF6E39">
        <w:t>o</w:t>
      </w:r>
      <w:r w:rsidR="00AF6E39" w:rsidRPr="00BD0223">
        <w:t xml:space="preserve"> </w:t>
      </w:r>
      <w:r w:rsidR="00AF6E39">
        <w:t>município</w:t>
      </w:r>
      <w:r w:rsidR="00AF6E39" w:rsidRPr="00BD0223">
        <w:t xml:space="preserve"> </w:t>
      </w:r>
      <w:r w:rsidR="00D87017" w:rsidRPr="00BD0223">
        <w:t>de Araporã</w:t>
      </w:r>
      <w:r w:rsidR="00CD582A" w:rsidRPr="00BD0223">
        <w:t xml:space="preserve"> </w:t>
      </w:r>
      <w:r w:rsidR="00B33964" w:rsidRPr="00BD0223">
        <w:t>-</w:t>
      </w:r>
      <w:r w:rsidR="00CD582A" w:rsidRPr="00BD0223">
        <w:t xml:space="preserve"> </w:t>
      </w:r>
      <w:r w:rsidR="00B33964" w:rsidRPr="00BD0223">
        <w:t>MG</w:t>
      </w:r>
      <w:r w:rsidR="00D87017" w:rsidRPr="00BD0223">
        <w:t xml:space="preserve"> durante o período 2010-2018</w:t>
      </w:r>
      <w:bookmarkEnd w:id="56"/>
    </w:p>
    <w:p w14:paraId="7162ADE3" w14:textId="3D253203" w:rsidR="00D87017" w:rsidRPr="00BD0223" w:rsidRDefault="004769AC" w:rsidP="001B3558">
      <w:pPr>
        <w:pStyle w:val="Tfigura-figura"/>
      </w:pPr>
      <w:r w:rsidRPr="00BD0223">
        <w:drawing>
          <wp:inline distT="0" distB="0" distL="0" distR="0" wp14:anchorId="279CBFDF" wp14:editId="56FC79A0">
            <wp:extent cx="5772150" cy="2743200"/>
            <wp:effectExtent l="0" t="0" r="19050" b="19050"/>
            <wp:docPr id="70" name="Gráfico 70">
              <a:extLst xmlns:a="http://schemas.openxmlformats.org/drawingml/2006/main">
                <a:ext uri="{FF2B5EF4-FFF2-40B4-BE49-F238E27FC236}">
                  <a16:creationId xmlns:a16="http://schemas.microsoft.com/office/drawing/2014/main" id="{4D3540DF-FEB5-4246-8FFE-EF3CB67FA0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ED2D57A" w14:textId="2C47D904" w:rsidR="001B3558" w:rsidRDefault="001B3558" w:rsidP="001B3558">
      <w:pPr>
        <w:pStyle w:val="Ttabela-fonte"/>
      </w:pPr>
      <w:r w:rsidRPr="00BD0223">
        <w:t>Fonte: ANP, Elaboração Própria</w:t>
      </w:r>
    </w:p>
    <w:p w14:paraId="5B5D2A3F" w14:textId="77777777" w:rsidR="00E61580" w:rsidRPr="00E61580" w:rsidRDefault="00E61580" w:rsidP="00E61580">
      <w:pPr>
        <w:pStyle w:val="TNORMAL"/>
        <w:rPr>
          <w:lang w:val="pt-BR" w:eastAsia="pt-PT"/>
        </w:rPr>
      </w:pPr>
    </w:p>
    <w:p w14:paraId="4CC305B2" w14:textId="41EB4659" w:rsidR="00B54FB9" w:rsidRPr="00BD0223" w:rsidRDefault="001B3558" w:rsidP="001B3558">
      <w:pPr>
        <w:pStyle w:val="Ttabela-titulo"/>
      </w:pPr>
      <w:bookmarkStart w:id="57" w:name="_Toc55329421"/>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26</w:t>
      </w:r>
      <w:r w:rsidRPr="00BD0223">
        <w:fldChar w:fldCharType="end"/>
      </w:r>
      <w:r w:rsidRPr="00BD0223">
        <w:t xml:space="preserve"> ― </w:t>
      </w:r>
      <w:r w:rsidR="00B54FB9" w:rsidRPr="00BD0223">
        <w:t>Evolução de vendas de Óleo Diesel em</w:t>
      </w:r>
      <w:r w:rsidR="00DF3177" w:rsidRPr="00BD0223">
        <w:t xml:space="preserve"> milhões de</w:t>
      </w:r>
      <w:r w:rsidR="00B54FB9" w:rsidRPr="00BD0223">
        <w:t xml:space="preserve"> litros no município de Prata</w:t>
      </w:r>
      <w:r w:rsidR="00B33964" w:rsidRPr="00BD0223">
        <w:t>-MG</w:t>
      </w:r>
      <w:r w:rsidR="00B54FB9" w:rsidRPr="00BD0223">
        <w:t xml:space="preserve"> durante o período 2010-2018</w:t>
      </w:r>
      <w:bookmarkEnd w:id="57"/>
    </w:p>
    <w:p w14:paraId="4CD2F2A8" w14:textId="6430E099" w:rsidR="000420B2" w:rsidRPr="00BD0223" w:rsidRDefault="004769AC" w:rsidP="001B3558">
      <w:pPr>
        <w:pStyle w:val="Tfigura-figura"/>
      </w:pPr>
      <w:r w:rsidRPr="00BD0223">
        <w:drawing>
          <wp:inline distT="0" distB="0" distL="0" distR="0" wp14:anchorId="38AF89B9" wp14:editId="41A9FCB3">
            <wp:extent cx="5772150" cy="2743200"/>
            <wp:effectExtent l="0" t="0" r="19050" b="19050"/>
            <wp:docPr id="71" name="Gráfico 71">
              <a:extLst xmlns:a="http://schemas.openxmlformats.org/drawingml/2006/main">
                <a:ext uri="{FF2B5EF4-FFF2-40B4-BE49-F238E27FC236}">
                  <a16:creationId xmlns:a16="http://schemas.microsoft.com/office/drawing/2014/main" id="{4D3540DF-FEB5-4246-8FFE-EF3CB67FA0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0420B2" w:rsidRPr="00BD0223">
        <w:fldChar w:fldCharType="begin"/>
      </w:r>
      <w:r w:rsidR="000420B2" w:rsidRPr="00BD0223">
        <w:instrText xml:space="preserve"> LINK </w:instrText>
      </w:r>
      <w:r w:rsidR="00507158" w:rsidRPr="00BD0223">
        <w:instrText xml:space="preserve">Excel.Sheet.12 "C:\\Users\\José Ronaldo\\Desktop\\Excel dados TCC.xlsx" Planilha1!L4C2:L16C4 </w:instrText>
      </w:r>
      <w:r w:rsidR="000420B2" w:rsidRPr="00BD0223">
        <w:instrText xml:space="preserve">\a \f 4 \h </w:instrText>
      </w:r>
      <w:r w:rsidR="00BD0223">
        <w:instrText xml:space="preserve"> \* MERGEFORMAT </w:instrText>
      </w:r>
      <w:r w:rsidR="000420B2" w:rsidRPr="00BD0223">
        <w:fldChar w:fldCharType="separate"/>
      </w:r>
    </w:p>
    <w:p w14:paraId="4D02E7CF" w14:textId="4FA68193" w:rsidR="00016269" w:rsidRDefault="000420B2" w:rsidP="0039539B">
      <w:pPr>
        <w:pStyle w:val="Ttabela-fonte"/>
        <w:rPr>
          <w:noProof/>
        </w:rPr>
      </w:pPr>
      <w:r w:rsidRPr="00BD0223">
        <w:rPr>
          <w:b/>
          <w:bCs/>
          <w:sz w:val="28"/>
          <w:szCs w:val="28"/>
        </w:rPr>
        <w:fldChar w:fldCharType="end"/>
      </w:r>
      <w:r w:rsidR="001B3558" w:rsidRPr="00BD0223">
        <w:t>Fonte: ANP, Elaboração Própria</w:t>
      </w:r>
      <w:bookmarkStart w:id="58" w:name="_Toc55329422"/>
    </w:p>
    <w:p w14:paraId="03F23480" w14:textId="0CBA352B" w:rsidR="000420B2" w:rsidRPr="00BD0223" w:rsidRDefault="001B3558" w:rsidP="001B3558">
      <w:pPr>
        <w:pStyle w:val="Ttabela-titulo"/>
      </w:pPr>
      <w:r w:rsidRPr="00BD0223">
        <w:lastRenderedPageBreak/>
        <w:t xml:space="preserve">Gráfico </w:t>
      </w:r>
      <w:r w:rsidRPr="00BD0223">
        <w:fldChar w:fldCharType="begin"/>
      </w:r>
      <w:r w:rsidRPr="00BD0223">
        <w:instrText xml:space="preserve"> SEQ Gráfico \* ARABIC </w:instrText>
      </w:r>
      <w:r w:rsidRPr="00BD0223">
        <w:fldChar w:fldCharType="separate"/>
      </w:r>
      <w:r w:rsidR="009A5BEE">
        <w:rPr>
          <w:noProof/>
        </w:rPr>
        <w:t>27</w:t>
      </w:r>
      <w:r w:rsidRPr="00BD0223">
        <w:fldChar w:fldCharType="end"/>
      </w:r>
      <w:r w:rsidRPr="00BD0223">
        <w:t xml:space="preserve"> ― </w:t>
      </w:r>
      <w:r w:rsidR="00B54FB9" w:rsidRPr="00BD0223">
        <w:t>Evolução de vendas de Óleo Diesel em</w:t>
      </w:r>
      <w:r w:rsidR="00DF3177" w:rsidRPr="00BD0223">
        <w:t xml:space="preserve"> milhões de</w:t>
      </w:r>
      <w:r w:rsidR="00B54FB9" w:rsidRPr="00BD0223">
        <w:t xml:space="preserve"> litros no município de Ituiutaba</w:t>
      </w:r>
      <w:r w:rsidR="00B33964" w:rsidRPr="00BD0223">
        <w:t>-MG</w:t>
      </w:r>
      <w:r w:rsidR="00B54FB9" w:rsidRPr="00BD0223">
        <w:t xml:space="preserve"> durante o período 2010-2018</w:t>
      </w:r>
      <w:bookmarkEnd w:id="58"/>
    </w:p>
    <w:p w14:paraId="1FD91AFF" w14:textId="73246725" w:rsidR="004769AC" w:rsidRPr="00BD0223" w:rsidRDefault="00DF3177" w:rsidP="001B3558">
      <w:pPr>
        <w:pStyle w:val="Tfigura-figura"/>
        <w:rPr>
          <w:rFonts w:cs="Times New Roman"/>
          <w:b/>
          <w:bCs/>
          <w:sz w:val="28"/>
          <w:szCs w:val="28"/>
        </w:rPr>
      </w:pPr>
      <w:r w:rsidRPr="00BD0223">
        <w:drawing>
          <wp:inline distT="0" distB="0" distL="0" distR="0" wp14:anchorId="18DBFFBB" wp14:editId="4DD567E0">
            <wp:extent cx="5762625" cy="2743200"/>
            <wp:effectExtent l="0" t="0" r="9525" b="19050"/>
            <wp:docPr id="72" name="Gráfico 72">
              <a:extLst xmlns:a="http://schemas.openxmlformats.org/drawingml/2006/main">
                <a:ext uri="{FF2B5EF4-FFF2-40B4-BE49-F238E27FC236}">
                  <a16:creationId xmlns:a16="http://schemas.microsoft.com/office/drawing/2014/main" id="{4D3540DF-FEB5-4246-8FFE-EF3CB67FA0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2F04789" w14:textId="3B80DD5F" w:rsidR="00016269" w:rsidRDefault="001B3558" w:rsidP="007C0824">
      <w:pPr>
        <w:pStyle w:val="Ttabela-fonte"/>
        <w:rPr>
          <w:noProof/>
        </w:rPr>
      </w:pPr>
      <w:r w:rsidRPr="00BD0223">
        <w:t>Fonte: ANP, Elaboração Própria</w:t>
      </w:r>
    </w:p>
    <w:p w14:paraId="25FEE321" w14:textId="77777777" w:rsidR="00734D03" w:rsidRDefault="00734D03" w:rsidP="007C0824">
      <w:pPr>
        <w:pStyle w:val="TNORMAL"/>
      </w:pPr>
    </w:p>
    <w:p w14:paraId="07F68040" w14:textId="3E002100" w:rsidR="00016269" w:rsidRPr="00BD0223" w:rsidRDefault="003B67E0" w:rsidP="007C0824">
      <w:pPr>
        <w:pStyle w:val="TNORMAL"/>
      </w:pPr>
      <w:r w:rsidRPr="00BD0223">
        <w:t xml:space="preserve">No </w:t>
      </w:r>
      <w:r w:rsidR="007E76C1">
        <w:t>A</w:t>
      </w:r>
      <w:r w:rsidRPr="00BD0223">
        <w:t xml:space="preserve">pêndice deste trabalho </w:t>
      </w:r>
      <w:r w:rsidR="007E76C1">
        <w:t>constam T</w:t>
      </w:r>
      <w:r w:rsidRPr="00BD0223">
        <w:t xml:space="preserve">abelas com os dados de vendas de óleo diesel dos municípios das </w:t>
      </w:r>
      <w:r w:rsidR="007E76C1">
        <w:t>M</w:t>
      </w:r>
      <w:r w:rsidRPr="00BD0223">
        <w:t xml:space="preserve">icrorregiões de Frutal, Ituiutaba, Uberaba e Uberlândia e das </w:t>
      </w:r>
      <w:r w:rsidR="007E76C1">
        <w:t>M</w:t>
      </w:r>
      <w:r w:rsidRPr="00BD0223">
        <w:t xml:space="preserve">esorregiões de Ribeirão Preto e São José do Rio Preto. Nos municípios paulistas selecionados 53% possuíam números de vendas de óleo diesel maiores </w:t>
      </w:r>
      <w:r w:rsidR="00CC0810" w:rsidRPr="00BD0223">
        <w:t>em 2018 do que em 2011, ano anterior ao aumento de alíquota do estado de Minas Gerais</w:t>
      </w:r>
      <w:r w:rsidR="0082627D" w:rsidRPr="00BD0223">
        <w:t>,</w:t>
      </w:r>
      <w:r w:rsidR="00CC0810" w:rsidRPr="00BD0223">
        <w:t xml:space="preserve"> enquanto no Triângulo </w:t>
      </w:r>
      <w:r w:rsidR="0082627D" w:rsidRPr="00BD0223">
        <w:t>M</w:t>
      </w:r>
      <w:r w:rsidR="00CC0810" w:rsidRPr="00BD0223">
        <w:t xml:space="preserve">ineiro essa porcentagem foi de 35%. Como também é mostrado no </w:t>
      </w:r>
      <w:r w:rsidR="007E76C1">
        <w:t>A</w:t>
      </w:r>
      <w:r w:rsidR="00CC0810" w:rsidRPr="00BD0223">
        <w:t xml:space="preserve">pêndice o diferencial de preços de óleo diesel entre os dois estados </w:t>
      </w:r>
      <w:r w:rsidR="0082627D" w:rsidRPr="00BD0223">
        <w:t>começou</w:t>
      </w:r>
      <w:r w:rsidR="00CC0810" w:rsidRPr="00BD0223">
        <w:t xml:space="preserve"> a aumentar a partir de 2016. Empresas e trabalhadores autônomos relacionados ao transporte de carga viram sua margem de lucro cair com a crise econômica, advinda parte dos preços dos fretes que como explica (Br</w:t>
      </w:r>
      <w:r w:rsidR="00EA54A8">
        <w:t>á</w:t>
      </w:r>
      <w:r w:rsidR="00CC0810" w:rsidRPr="00BD0223">
        <w:t>ulio, 2018)</w:t>
      </w:r>
      <w:r w:rsidR="00B33964" w:rsidRPr="00BD0223">
        <w:t>; os quais</w:t>
      </w:r>
      <w:r w:rsidR="00CC0810" w:rsidRPr="00BD0223">
        <w:t xml:space="preserve"> </w:t>
      </w:r>
      <w:r w:rsidR="00D4755A" w:rsidRPr="00BD0223">
        <w:t>iniciaram um processo de</w:t>
      </w:r>
      <w:r w:rsidR="00CC0810" w:rsidRPr="00BD0223">
        <w:t xml:space="preserve"> recupera</w:t>
      </w:r>
      <w:r w:rsidR="00D4755A" w:rsidRPr="00BD0223">
        <w:t>ção</w:t>
      </w:r>
      <w:r w:rsidR="00CC0810" w:rsidRPr="00BD0223">
        <w:t xml:space="preserve"> a partir de 2016, e parte</w:t>
      </w:r>
      <w:r w:rsidR="0092751A" w:rsidRPr="00BD0223">
        <w:t xml:space="preserve"> decorrente do</w:t>
      </w:r>
      <w:r w:rsidR="00CC0810" w:rsidRPr="00BD0223">
        <w:t xml:space="preserve"> aumento dos custos. Concluindo o raciocínio, a queda da margem de lucro do transporte de cargas como resultado dos seguintes fatores: queda do PIB de setores importantes</w:t>
      </w:r>
      <w:r w:rsidR="0082627D" w:rsidRPr="00BD0223">
        <w:t xml:space="preserve"> para o transporte de cargas</w:t>
      </w:r>
      <w:r w:rsidR="00CC0810" w:rsidRPr="00BD0223">
        <w:t>, aumento de custos</w:t>
      </w:r>
      <w:r w:rsidR="00B33964" w:rsidRPr="00BD0223">
        <w:t xml:space="preserve">; </w:t>
      </w:r>
      <w:r w:rsidR="00CC0810" w:rsidRPr="00BD0223">
        <w:t xml:space="preserve">preço </w:t>
      </w:r>
      <w:r w:rsidR="0082627D" w:rsidRPr="00BD0223">
        <w:t>do petróleo e depreciação de capital, visto que grande parte dos caminhões comprados no início da década já necessitavam manutenção a partir de 2016,</w:t>
      </w:r>
      <w:r w:rsidR="00CC0810" w:rsidRPr="00BD0223">
        <w:t xml:space="preserve"> e</w:t>
      </w:r>
      <w:r w:rsidR="0082627D" w:rsidRPr="00BD0223">
        <w:t xml:space="preserve"> diminuição do</w:t>
      </w:r>
      <w:r w:rsidR="00CC0810" w:rsidRPr="00BD0223">
        <w:t xml:space="preserve"> preço dos fretes</w:t>
      </w:r>
      <w:r w:rsidR="004A5705" w:rsidRPr="00BD0223">
        <w:t>;</w:t>
      </w:r>
      <w:r w:rsidR="0082627D" w:rsidRPr="00BD0223">
        <w:t xml:space="preserve"> o que ocorre entre 2014 e 2016 e apresenta recuperação no período posterior</w:t>
      </w:r>
      <w:r w:rsidR="003915FE" w:rsidRPr="00BD0223">
        <w:t>,</w:t>
      </w:r>
      <w:r w:rsidR="00CC0810" w:rsidRPr="00BD0223">
        <w:t xml:space="preserve"> fez com que o varejo de óleo diesel do estado de São Paulo pudesse sair a frente do estado de Minas Gerais no pós crise, devido a maior atenção dos agentes econômicos a redução de gastos</w:t>
      </w:r>
      <w:r w:rsidR="0082627D" w:rsidRPr="00BD0223">
        <w:t>, consequentemente optando por abastecerem nas cidades paulistas</w:t>
      </w:r>
      <w:r w:rsidR="007C0824">
        <w:t>.</w:t>
      </w:r>
    </w:p>
    <w:p w14:paraId="333FB5B7" w14:textId="6B4C80A7" w:rsidR="00CE09F8" w:rsidRPr="00AF6E39" w:rsidRDefault="001B3558" w:rsidP="001B3558">
      <w:pPr>
        <w:pStyle w:val="Ttabela-titulo"/>
      </w:pPr>
      <w:bookmarkStart w:id="59" w:name="_Toc55329423"/>
      <w:r w:rsidRPr="00AF6E39">
        <w:lastRenderedPageBreak/>
        <w:t xml:space="preserve">Gráfico </w:t>
      </w:r>
      <w:r w:rsidRPr="00AF6E39">
        <w:fldChar w:fldCharType="begin"/>
      </w:r>
      <w:r w:rsidRPr="00AF6E39">
        <w:instrText xml:space="preserve"> SEQ Gráfico \* ARABIC </w:instrText>
      </w:r>
      <w:r w:rsidRPr="00AF6E39">
        <w:fldChar w:fldCharType="separate"/>
      </w:r>
      <w:r w:rsidR="009A5BEE">
        <w:rPr>
          <w:noProof/>
        </w:rPr>
        <w:t>28</w:t>
      </w:r>
      <w:r w:rsidRPr="00AF6E39">
        <w:fldChar w:fldCharType="end"/>
      </w:r>
      <w:r w:rsidRPr="00AF6E39">
        <w:t xml:space="preserve"> ― </w:t>
      </w:r>
      <w:r w:rsidR="0082627D" w:rsidRPr="00AF6E39">
        <w:t xml:space="preserve">Evolução do total de vendas de óleo </w:t>
      </w:r>
      <w:r w:rsidR="00EC05B7" w:rsidRPr="00AF6E39">
        <w:t>d</w:t>
      </w:r>
      <w:r w:rsidR="0082627D" w:rsidRPr="00AF6E39">
        <w:t>iesel</w:t>
      </w:r>
      <w:r w:rsidR="00AF6E39" w:rsidRPr="00AF6E39">
        <w:t>, somadas</w:t>
      </w:r>
      <w:r w:rsidR="00432507" w:rsidRPr="00AF6E39">
        <w:t xml:space="preserve"> em milhões de litros</w:t>
      </w:r>
      <w:r w:rsidR="0082627D" w:rsidRPr="00AF6E39">
        <w:t xml:space="preserve"> </w:t>
      </w:r>
      <w:r w:rsidR="007E76C1" w:rsidRPr="00AF6E39">
        <w:t xml:space="preserve">das </w:t>
      </w:r>
      <w:r w:rsidR="0082627D" w:rsidRPr="00AF6E39">
        <w:t xml:space="preserve"> </w:t>
      </w:r>
      <w:r w:rsidR="007E76C1" w:rsidRPr="00AF6E39">
        <w:t>M</w:t>
      </w:r>
      <w:r w:rsidR="0082627D" w:rsidRPr="00AF6E39">
        <w:t>icrorregiões de Frutal, Uberlândia, Uberaba e Ituiutaba</w:t>
      </w:r>
      <w:bookmarkEnd w:id="59"/>
    </w:p>
    <w:p w14:paraId="019527EF" w14:textId="512A07B1" w:rsidR="00186DF1" w:rsidRPr="00BD0223" w:rsidRDefault="00432507" w:rsidP="001B3558">
      <w:pPr>
        <w:pStyle w:val="Tfigura-figura"/>
        <w:rPr>
          <w:rFonts w:cs="Times New Roman"/>
          <w:b/>
          <w:bCs/>
          <w:sz w:val="28"/>
          <w:szCs w:val="28"/>
        </w:rPr>
      </w:pPr>
      <w:r w:rsidRPr="00BD0223">
        <w:drawing>
          <wp:inline distT="0" distB="0" distL="0" distR="0" wp14:anchorId="0322B572" wp14:editId="2EDE081B">
            <wp:extent cx="5762625" cy="2743200"/>
            <wp:effectExtent l="0" t="0" r="9525" b="19050"/>
            <wp:docPr id="73" name="Gráfico 73">
              <a:extLst xmlns:a="http://schemas.openxmlformats.org/drawingml/2006/main">
                <a:ext uri="{FF2B5EF4-FFF2-40B4-BE49-F238E27FC236}">
                  <a16:creationId xmlns:a16="http://schemas.microsoft.com/office/drawing/2014/main" id="{4D3540DF-FEB5-4246-8FFE-EF3CB67FA0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16E9B513" w14:textId="77777777" w:rsidR="001B3558" w:rsidRPr="00BD0223" w:rsidRDefault="001B3558" w:rsidP="001B3558">
      <w:pPr>
        <w:pStyle w:val="Ttabela-fonte"/>
      </w:pPr>
      <w:r w:rsidRPr="00BD0223">
        <w:t>Fonte: ANP, Elaboração Própria</w:t>
      </w:r>
    </w:p>
    <w:p w14:paraId="66D6988C" w14:textId="2B8B8B73" w:rsidR="00186DF1" w:rsidRPr="00AF6E39" w:rsidRDefault="001B3558" w:rsidP="001B3558">
      <w:pPr>
        <w:pStyle w:val="Ttabela-titulo"/>
      </w:pPr>
      <w:bookmarkStart w:id="60" w:name="_Toc55329424"/>
      <w:r w:rsidRPr="00AF6E39">
        <w:t xml:space="preserve">Gráfico </w:t>
      </w:r>
      <w:r w:rsidRPr="00AF6E39">
        <w:fldChar w:fldCharType="begin"/>
      </w:r>
      <w:r w:rsidRPr="00AF6E39">
        <w:instrText xml:space="preserve"> SEQ Gráfico \* ARABIC </w:instrText>
      </w:r>
      <w:r w:rsidRPr="00AF6E39">
        <w:fldChar w:fldCharType="separate"/>
      </w:r>
      <w:r w:rsidR="009A5BEE">
        <w:rPr>
          <w:noProof/>
        </w:rPr>
        <w:t>29</w:t>
      </w:r>
      <w:r w:rsidRPr="00AF6E39">
        <w:fldChar w:fldCharType="end"/>
      </w:r>
      <w:r w:rsidRPr="00AF6E39">
        <w:t xml:space="preserve"> ― </w:t>
      </w:r>
      <w:r w:rsidR="00186DF1" w:rsidRPr="00AF6E39">
        <w:t>Evolução do total de vendas de óleo diesel</w:t>
      </w:r>
      <w:r w:rsidR="00AF6E39" w:rsidRPr="00AF6E39">
        <w:t xml:space="preserve"> somadas</w:t>
      </w:r>
      <w:r w:rsidR="00432507" w:rsidRPr="00AF6E39">
        <w:t xml:space="preserve"> em milhões de litros</w:t>
      </w:r>
      <w:r w:rsidR="00186DF1" w:rsidRPr="00AF6E39">
        <w:t xml:space="preserve"> </w:t>
      </w:r>
      <w:r w:rsidR="007E76C1" w:rsidRPr="00AF6E39">
        <w:t>das Mes</w:t>
      </w:r>
      <w:r w:rsidR="00186DF1" w:rsidRPr="00AF6E39">
        <w:t>orregiões de Ribeirão Preto e São José do Rio Preto</w:t>
      </w:r>
      <w:bookmarkEnd w:id="60"/>
    </w:p>
    <w:p w14:paraId="3C5D0665" w14:textId="1B067657" w:rsidR="00432507" w:rsidRPr="00BD0223" w:rsidRDefault="00432507" w:rsidP="001B3558">
      <w:pPr>
        <w:pStyle w:val="Tfigura-figura"/>
        <w:rPr>
          <w:rFonts w:cs="Times New Roman"/>
          <w:b/>
          <w:bCs/>
          <w:sz w:val="28"/>
          <w:szCs w:val="28"/>
        </w:rPr>
      </w:pPr>
      <w:r w:rsidRPr="00BD0223">
        <w:drawing>
          <wp:inline distT="0" distB="0" distL="0" distR="0" wp14:anchorId="61F6A532" wp14:editId="11264748">
            <wp:extent cx="5781675" cy="2705100"/>
            <wp:effectExtent l="0" t="0" r="9525" b="19050"/>
            <wp:docPr id="74" name="Gráfico 74">
              <a:extLst xmlns:a="http://schemas.openxmlformats.org/drawingml/2006/main">
                <a:ext uri="{FF2B5EF4-FFF2-40B4-BE49-F238E27FC236}">
                  <a16:creationId xmlns:a16="http://schemas.microsoft.com/office/drawing/2014/main" id="{F6C34D04-72CC-4ABE-A3ED-317F5F7101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1CAB4E3B" w14:textId="5F972B8C" w:rsidR="00016269" w:rsidRDefault="00383286" w:rsidP="007C0824">
      <w:pPr>
        <w:pStyle w:val="Ttabela-fonte"/>
        <w:rPr>
          <w:noProof/>
        </w:rPr>
      </w:pPr>
      <w:r w:rsidRPr="00BD0223">
        <w:t>Fonte: ANP, Elaboração Própria</w:t>
      </w:r>
    </w:p>
    <w:p w14:paraId="5982A033" w14:textId="476C3147" w:rsidR="00186DF1" w:rsidRPr="00BD0223" w:rsidRDefault="00EF0026" w:rsidP="00383286">
      <w:pPr>
        <w:pStyle w:val="TNORMAL"/>
      </w:pPr>
      <w:r w:rsidRPr="00BD0223">
        <w:t xml:space="preserve">Em relação a arrecadação estimada de ICMS sobre o óleo diesel dos dois estados, o aumento do preço médio ponderado ao consumidor final durante o período 2010 a 2018 contribuiu para que não houvesse perdas anuais de recursos, mesmo com a diminuição das vendas e com o impacto da alíquota mineira elevada sobre a região do Triângulo Mineiro. </w:t>
      </w:r>
      <w:r w:rsidR="00AA4D1B">
        <w:t xml:space="preserve">Verifica-se que não houve </w:t>
      </w:r>
      <w:r w:rsidR="00DF5223" w:rsidRPr="00BD0223">
        <w:t xml:space="preserve">decréscimo </w:t>
      </w:r>
      <w:r w:rsidR="00AA4D1B">
        <w:t>na</w:t>
      </w:r>
      <w:r w:rsidR="00DF5223" w:rsidRPr="00BD0223">
        <w:t xml:space="preserve"> arrecadação estimad</w:t>
      </w:r>
      <w:r w:rsidR="0092751A" w:rsidRPr="00BD0223">
        <w:t>a</w:t>
      </w:r>
      <w:r w:rsidR="00DF5223" w:rsidRPr="00BD0223">
        <w:t xml:space="preserve"> em valores correntes</w:t>
      </w:r>
      <w:r w:rsidR="007E76C1">
        <w:t xml:space="preserve">; </w:t>
      </w:r>
      <w:r w:rsidR="00AA4D1B">
        <w:lastRenderedPageBreak/>
        <w:t xml:space="preserve">entretanto, sua performance em valores constantes (reais) foi decrescente </w:t>
      </w:r>
      <w:r w:rsidR="00DF5223" w:rsidRPr="00BD0223">
        <w:t>em 2015 e 2016</w:t>
      </w:r>
      <w:r w:rsidR="00AA4D1B">
        <w:t xml:space="preserve">, embora </w:t>
      </w:r>
      <w:r w:rsidR="00DF5223" w:rsidRPr="00BD0223">
        <w:t>recuperando</w:t>
      </w:r>
      <w:r w:rsidR="00AA4D1B">
        <w:t xml:space="preserve">-se em </w:t>
      </w:r>
      <w:r w:rsidR="00DF5223" w:rsidRPr="00BD0223">
        <w:t>anos posteriores.</w:t>
      </w:r>
    </w:p>
    <w:p w14:paraId="34CB62C9" w14:textId="60F19627" w:rsidR="00DF5223" w:rsidRPr="00BD0223" w:rsidRDefault="001B3558" w:rsidP="001B3558">
      <w:pPr>
        <w:pStyle w:val="Ttabela-titulo"/>
      </w:pPr>
      <w:bookmarkStart w:id="61" w:name="_Toc55329425"/>
      <w:r w:rsidRPr="00BD0223">
        <w:t xml:space="preserve">Gráfico </w:t>
      </w:r>
      <w:r w:rsidRPr="00BD0223">
        <w:fldChar w:fldCharType="begin"/>
      </w:r>
      <w:r w:rsidRPr="00BD0223">
        <w:instrText xml:space="preserve"> SEQ Gráfico \* ARABIC </w:instrText>
      </w:r>
      <w:r w:rsidRPr="00BD0223">
        <w:fldChar w:fldCharType="separate"/>
      </w:r>
      <w:r w:rsidR="009A5BEE">
        <w:rPr>
          <w:noProof/>
        </w:rPr>
        <w:t>30</w:t>
      </w:r>
      <w:r w:rsidRPr="00BD0223">
        <w:fldChar w:fldCharType="end"/>
      </w:r>
      <w:r w:rsidRPr="00BD0223">
        <w:t xml:space="preserve"> ― </w:t>
      </w:r>
      <w:r w:rsidR="00383286" w:rsidRPr="00BD0223">
        <w:t>Arrecadação estimada de óleo diesel nos estados de Minas Gerais e São Paulo deflacionada a preços de 2010 durante o período 2010-2018 (em bilhões de R$)</w:t>
      </w:r>
      <w:bookmarkEnd w:id="61"/>
    </w:p>
    <w:p w14:paraId="0F87C2EE" w14:textId="7ECF9FC5" w:rsidR="00DF5223" w:rsidRPr="00BD0223" w:rsidRDefault="00BE63DB" w:rsidP="001B3558">
      <w:pPr>
        <w:pStyle w:val="Tfigura-figura"/>
        <w:rPr>
          <w:rFonts w:cs="Times New Roman"/>
          <w:sz w:val="28"/>
          <w:szCs w:val="28"/>
        </w:rPr>
      </w:pPr>
      <w:r w:rsidRPr="00BD0223">
        <w:drawing>
          <wp:inline distT="0" distB="0" distL="0" distR="0" wp14:anchorId="662B0ADE" wp14:editId="562272E2">
            <wp:extent cx="5753100" cy="2743200"/>
            <wp:effectExtent l="0" t="0" r="19050" b="19050"/>
            <wp:docPr id="68" name="Gráfico 68">
              <a:extLst xmlns:a="http://schemas.openxmlformats.org/drawingml/2006/main">
                <a:ext uri="{FF2B5EF4-FFF2-40B4-BE49-F238E27FC236}">
                  <a16:creationId xmlns:a16="http://schemas.microsoft.com/office/drawing/2014/main" id="{A7A89467-F0B3-4713-A490-825987AE2C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47D9AD2" w14:textId="456E70A0" w:rsidR="00016269" w:rsidRDefault="00383286" w:rsidP="007C0824">
      <w:pPr>
        <w:pStyle w:val="Ttabela-fonte"/>
        <w:rPr>
          <w:noProof/>
        </w:rPr>
      </w:pPr>
      <w:r w:rsidRPr="00BD0223">
        <w:t>Fonte: Elaboração Própria com base nos dados fornecidos pela ANP</w:t>
      </w:r>
    </w:p>
    <w:p w14:paraId="5E2A9223" w14:textId="544CD5BE" w:rsidR="00BE63DB" w:rsidRPr="00BD0223" w:rsidRDefault="00AA4D1B" w:rsidP="00383286">
      <w:pPr>
        <w:pStyle w:val="TNORMAL"/>
      </w:pPr>
      <w:r w:rsidRPr="00BD0223">
        <w:t>Portanto</w:t>
      </w:r>
      <w:r>
        <w:t>,</w:t>
      </w:r>
      <w:r w:rsidRPr="00BD0223">
        <w:t xml:space="preserve"> o</w:t>
      </w:r>
      <w:r w:rsidR="00B21098" w:rsidRPr="00BD0223">
        <w:t xml:space="preserve"> aumento da alíquota </w:t>
      </w:r>
      <w:r w:rsidR="004F409C">
        <w:t xml:space="preserve">sobre </w:t>
      </w:r>
      <w:r w:rsidR="00B21098" w:rsidRPr="00BD0223">
        <w:t>óleo diesel</w:t>
      </w:r>
      <w:r w:rsidR="004F409C">
        <w:t xml:space="preserve">, </w:t>
      </w:r>
      <w:r w:rsidR="00B21098" w:rsidRPr="00BD0223">
        <w:t>em 2012 gerou aumento considerável na arrecadação estimada do estado de Minas Gerais</w:t>
      </w:r>
      <w:r w:rsidR="004F409C">
        <w:t xml:space="preserve"> (</w:t>
      </w:r>
      <w:r w:rsidR="00B21098" w:rsidRPr="00BD0223">
        <w:t xml:space="preserve">o </w:t>
      </w:r>
      <w:r>
        <w:t>G</w:t>
      </w:r>
      <w:r w:rsidR="00B21098" w:rsidRPr="00BD0223">
        <w:t>ráfico 29</w:t>
      </w:r>
      <w:r w:rsidR="004F409C">
        <w:t>);</w:t>
      </w:r>
      <w:r w:rsidR="00B21098" w:rsidRPr="00BD0223">
        <w:t xml:space="preserve"> apesar de </w:t>
      </w:r>
      <w:r w:rsidR="0092751A" w:rsidRPr="00BD0223">
        <w:t>posteriormente à</w:t>
      </w:r>
      <w:r w:rsidR="00B21098" w:rsidRPr="00BD0223">
        <w:t xml:space="preserve"> 2014 a queda ter sido mais acentuada d</w:t>
      </w:r>
      <w:r w:rsidR="004F409C">
        <w:t>a</w:t>
      </w:r>
      <w:r w:rsidR="00B21098" w:rsidRPr="00BD0223">
        <w:t xml:space="preserve"> que ocorreu </w:t>
      </w:r>
      <w:r w:rsidR="004F409C">
        <w:t xml:space="preserve">em </w:t>
      </w:r>
      <w:r w:rsidR="00B21098" w:rsidRPr="00BD0223">
        <w:t xml:space="preserve">São Paulo. Em relação ao varejo de óleo diesel </w:t>
      </w:r>
      <w:r w:rsidR="00AF6E39">
        <w:t>dos municípios</w:t>
      </w:r>
      <w:r w:rsidR="00B21098" w:rsidRPr="00BD0223">
        <w:t xml:space="preserve"> do Triângulo </w:t>
      </w:r>
      <w:r w:rsidR="004F409C">
        <w:t>M</w:t>
      </w:r>
      <w:r w:rsidR="00B21098" w:rsidRPr="00BD0223">
        <w:t>ineiro, tal setor foi bastante impactado por possuir</w:t>
      </w:r>
      <w:r w:rsidR="004F409C">
        <w:t xml:space="preserve"> </w:t>
      </w:r>
      <w:r w:rsidR="00B21098" w:rsidRPr="00BD0223">
        <w:t xml:space="preserve">incidência de ICMS </w:t>
      </w:r>
      <w:r w:rsidR="00347081" w:rsidRPr="00BD0223">
        <w:t xml:space="preserve">superior </w:t>
      </w:r>
      <w:r>
        <w:t>à</w:t>
      </w:r>
      <w:r w:rsidR="00347081" w:rsidRPr="00BD0223">
        <w:t xml:space="preserve"> </w:t>
      </w:r>
      <w:r>
        <w:t xml:space="preserve">do </w:t>
      </w:r>
      <w:r w:rsidR="00347081" w:rsidRPr="00BD0223">
        <w:t>estado de São Paulo</w:t>
      </w:r>
      <w:r>
        <w:t xml:space="preserve">. Por sua vez, </w:t>
      </w:r>
      <w:r w:rsidR="00347081" w:rsidRPr="00BD0223">
        <w:t>o</w:t>
      </w:r>
      <w:r w:rsidR="003915FE" w:rsidRPr="00BD0223">
        <w:t>s dados referentes ao</w:t>
      </w:r>
      <w:r w:rsidR="00347081" w:rsidRPr="00BD0223">
        <w:t xml:space="preserve"> pós</w:t>
      </w:r>
      <w:r w:rsidR="007C0824">
        <w:t>-</w:t>
      </w:r>
      <w:r w:rsidR="00347081" w:rsidRPr="00BD0223">
        <w:t>crise</w:t>
      </w:r>
      <w:r w:rsidR="003915FE" w:rsidRPr="00BD0223">
        <w:t xml:space="preserve"> apresentaram</w:t>
      </w:r>
      <w:r w:rsidR="00347081" w:rsidRPr="00BD0223">
        <w:t xml:space="preserve"> recuperação consider</w:t>
      </w:r>
      <w:r w:rsidR="003915FE" w:rsidRPr="00BD0223">
        <w:t>avelmente superior</w:t>
      </w:r>
      <w:r w:rsidR="00347081" w:rsidRPr="00BD0223">
        <w:t xml:space="preserve"> do varejo de óleo diesel nos municípios das </w:t>
      </w:r>
      <w:r>
        <w:t>M</w:t>
      </w:r>
      <w:r w:rsidR="00347081" w:rsidRPr="00BD0223">
        <w:t>esorregiões de Ribeirão Preto e de São José do Rio Pret</w:t>
      </w:r>
      <w:r w:rsidR="003915FE" w:rsidRPr="00BD0223">
        <w:t>o</w:t>
      </w:r>
      <w:r w:rsidR="00347081" w:rsidRPr="00BD0223">
        <w:t>. Tal contexto de melhora das vendas de diesel em São Paulo e piora n</w:t>
      </w:r>
      <w:r w:rsidR="009646A6">
        <w:t xml:space="preserve">os municípios </w:t>
      </w:r>
      <w:r w:rsidR="00347081" w:rsidRPr="00BD0223">
        <w:t xml:space="preserve">do Triângulo Mineiro ocorreu em um ambiente caracterizado pela recuperação do setor de serviços e retomada ainda insuficiente do comércio e da indústria de transformação, aliado </w:t>
      </w:r>
      <w:r w:rsidR="009646A6">
        <w:t>a</w:t>
      </w:r>
      <w:r w:rsidR="00347081" w:rsidRPr="00BD0223">
        <w:t xml:space="preserve">o aumento no custo das transportadoras </w:t>
      </w:r>
      <w:r w:rsidR="009646A6">
        <w:t xml:space="preserve">que </w:t>
      </w:r>
      <w:r w:rsidR="00347081" w:rsidRPr="00BD0223">
        <w:t>re</w:t>
      </w:r>
      <w:r w:rsidR="004A5705" w:rsidRPr="00BD0223">
        <w:t xml:space="preserve">sultou </w:t>
      </w:r>
      <w:r w:rsidR="009646A6">
        <w:t>n</w:t>
      </w:r>
      <w:r w:rsidR="00347081" w:rsidRPr="00BD0223">
        <w:t xml:space="preserve">a diminuição </w:t>
      </w:r>
      <w:r w:rsidR="004A5705" w:rsidRPr="00BD0223">
        <w:t>de suas</w:t>
      </w:r>
      <w:r w:rsidR="00347081" w:rsidRPr="00BD0223">
        <w:t xml:space="preserve"> margens de lucro</w:t>
      </w:r>
      <w:r w:rsidR="009646A6">
        <w:t>, gerando</w:t>
      </w:r>
      <w:r w:rsidR="00347081" w:rsidRPr="00BD0223">
        <w:t xml:space="preserve"> preferências de abastecimento em municípios paulistas por parte de usuários </w:t>
      </w:r>
      <w:r w:rsidR="009646A6">
        <w:t>em</w:t>
      </w:r>
      <w:r w:rsidR="00347081" w:rsidRPr="00BD0223">
        <w:t xml:space="preserve"> rotas que passam por Minas Gerais e São Paulo</w:t>
      </w:r>
      <w:r w:rsidR="00F37B1D" w:rsidRPr="00BD0223">
        <w:t>.</w:t>
      </w:r>
      <w:r w:rsidR="00347081" w:rsidRPr="00BD0223">
        <w:t xml:space="preserve"> </w:t>
      </w:r>
      <w:r w:rsidR="00F37B1D" w:rsidRPr="00BD0223">
        <w:t>C</w:t>
      </w:r>
      <w:r w:rsidR="00347081" w:rsidRPr="00BD0223">
        <w:t>om a redução recente d</w:t>
      </w:r>
      <w:r w:rsidR="009646A6">
        <w:t>a alíquota de</w:t>
      </w:r>
      <w:r w:rsidR="00347081" w:rsidRPr="00BD0223">
        <w:t xml:space="preserve"> ICMS sobre óleo diesel nos estados do Mato Grosso do Sul e Goiás</w:t>
      </w:r>
      <w:r w:rsidR="004A5705" w:rsidRPr="00BD0223">
        <w:t>,</w:t>
      </w:r>
      <w:r w:rsidR="00347081" w:rsidRPr="00BD0223">
        <w:t xml:space="preserve"> pode</w:t>
      </w:r>
      <w:r w:rsidR="009646A6">
        <w:t>-se ter</w:t>
      </w:r>
      <w:r w:rsidR="00F37B1D" w:rsidRPr="00BD0223">
        <w:t xml:space="preserve"> futuramente</w:t>
      </w:r>
      <w:r w:rsidR="00347081" w:rsidRPr="00BD0223">
        <w:t xml:space="preserve"> </w:t>
      </w:r>
      <w:r w:rsidR="00347081" w:rsidRPr="007F644E">
        <w:t xml:space="preserve">mudança </w:t>
      </w:r>
      <w:r w:rsidR="00347081" w:rsidRPr="00BD0223">
        <w:t xml:space="preserve">mais significativa no varejo de combustíveis </w:t>
      </w:r>
      <w:r>
        <w:t>n</w:t>
      </w:r>
      <w:r w:rsidR="00347081" w:rsidRPr="00BD0223">
        <w:t>o Triângulo Mineiro</w:t>
      </w:r>
      <w:r w:rsidR="009646A6">
        <w:t xml:space="preserve">, já que </w:t>
      </w:r>
      <w:r w:rsidR="00AF6E39">
        <w:t xml:space="preserve">tais regiões possuem </w:t>
      </w:r>
      <w:r w:rsidR="009646A6">
        <w:t xml:space="preserve">importantes </w:t>
      </w:r>
      <w:r w:rsidR="00AF6E39">
        <w:t>rotas nacionais</w:t>
      </w:r>
      <w:r w:rsidR="009646A6">
        <w:t xml:space="preserve"> em </w:t>
      </w:r>
      <w:r w:rsidR="00AF6E39">
        <w:t>comum</w:t>
      </w:r>
      <w:r w:rsidR="009646A6">
        <w:t xml:space="preserve">, podendo vir a reforçar a </w:t>
      </w:r>
      <w:r w:rsidR="007F644E">
        <w:t>competi</w:t>
      </w:r>
      <w:r w:rsidR="009646A6">
        <w:t xml:space="preserve">ção pela demanda dos </w:t>
      </w:r>
      <w:r w:rsidR="007F644E">
        <w:t>consumidores</w:t>
      </w:r>
      <w:r w:rsidR="00347081" w:rsidRPr="00BD0223">
        <w:t>.</w:t>
      </w:r>
    </w:p>
    <w:p w14:paraId="643CBFE0" w14:textId="10EB402A" w:rsidR="00DF5223" w:rsidRDefault="00383286" w:rsidP="00431AB7">
      <w:pPr>
        <w:pStyle w:val="TIT1"/>
        <w:numPr>
          <w:ilvl w:val="0"/>
          <w:numId w:val="0"/>
        </w:numPr>
        <w:ind w:left="357" w:hanging="357"/>
        <w:jc w:val="center"/>
        <w:rPr>
          <w:caps w:val="0"/>
        </w:rPr>
      </w:pPr>
      <w:bookmarkStart w:id="62" w:name="_Toc55329628"/>
      <w:r w:rsidRPr="007F644E">
        <w:rPr>
          <w:caps w:val="0"/>
        </w:rPr>
        <w:lastRenderedPageBreak/>
        <w:t>CONSIDERAÇÕES FINAIS</w:t>
      </w:r>
      <w:bookmarkEnd w:id="62"/>
    </w:p>
    <w:p w14:paraId="071E0A4C" w14:textId="55EB4FBA" w:rsidR="007F644E" w:rsidRPr="00BD0223" w:rsidRDefault="007F644E" w:rsidP="007F644E">
      <w:pPr>
        <w:pStyle w:val="TNORMAL"/>
      </w:pPr>
      <w:r>
        <w:t xml:space="preserve">O objetivo do trabalho era avaliar se </w:t>
      </w:r>
      <w:r w:rsidR="00862CCA">
        <w:t>ocorreu</w:t>
      </w:r>
      <w:r>
        <w:t xml:space="preserve"> uma perda de consumidores do varejo de combustíveis do Triângulo Mineiro que preferiram abastecer em postos paulistas devido ao ICMS inferior. Em relação ao </w:t>
      </w:r>
      <w:r w:rsidRPr="00BD0223">
        <w:t xml:space="preserve">período analisado </w:t>
      </w:r>
      <w:r>
        <w:t>(</w:t>
      </w:r>
      <w:r w:rsidRPr="00BD0223">
        <w:t xml:space="preserve">2010 </w:t>
      </w:r>
      <w:r>
        <w:t>a</w:t>
      </w:r>
      <w:r w:rsidRPr="00BD0223">
        <w:t xml:space="preserve"> 2018</w:t>
      </w:r>
      <w:r>
        <w:t>)</w:t>
      </w:r>
      <w:r w:rsidRPr="00BD0223">
        <w:t xml:space="preserve">, pode-se concluir que o ICMS mais elevado sobre a gasolina do estado de Minas Gerais quando comparado com o estado de São Paulo, não afetou significativamente o varejo </w:t>
      </w:r>
      <w:r w:rsidR="00A24CD5">
        <w:t>do setor na r</w:t>
      </w:r>
      <w:r w:rsidRPr="00BD0223">
        <w:t xml:space="preserve">egião do Triângulo Mineiro, mesmo que tenha se verificado impacto significativo na diferença de preços para o consumidor final dos dois estados. No caso do óleo diesel percebeu-se um impacto imediato do aumento da alíquota de ICMS na </w:t>
      </w:r>
      <w:r>
        <w:t>R</w:t>
      </w:r>
      <w:r w:rsidRPr="00BD0223">
        <w:t xml:space="preserve">egião do Triângulo Mineiro, no entanto o efeito é maior se for levado em consideração o período posterior </w:t>
      </w:r>
      <w:r>
        <w:t>à</w:t>
      </w:r>
      <w:r w:rsidRPr="00BD0223">
        <w:t xml:space="preserve"> recessão de 2014-2016, isso porque o varejo de diesel das cidades paulistas das </w:t>
      </w:r>
      <w:r>
        <w:t>M</w:t>
      </w:r>
      <w:r w:rsidRPr="00BD0223">
        <w:t xml:space="preserve">icrorregiões de São José do Rio Preto e Ribeirão Preto apresentaram uma recuperação mais forte quando comparadas </w:t>
      </w:r>
      <w:r>
        <w:t xml:space="preserve">aos municípios </w:t>
      </w:r>
      <w:r w:rsidRPr="00BD0223">
        <w:t>do Triangulo Mineiro.</w:t>
      </w:r>
      <w:r>
        <w:t xml:space="preserve"> Resumindo</w:t>
      </w:r>
      <w:r w:rsidR="00A24CD5">
        <w:t>,</w:t>
      </w:r>
      <w:r>
        <w:t xml:space="preserve"> </w:t>
      </w:r>
      <w:r w:rsidR="00A24CD5">
        <w:t>aumentos nas</w:t>
      </w:r>
      <w:r>
        <w:t xml:space="preserve"> alíquotas de ICMS tanto na gasolina quanto no óle</w:t>
      </w:r>
      <w:r w:rsidR="00A24CD5">
        <w:t>o diesel são rapidamente repassados aos preços, no entanto a migração de consumidores do Triângulo Mineiro para o estado de São Paulo só foi percebida no caso do óleo diesel, sendo que tal evento não foi grande o bastante a ponto de derrubar a arrecadação do ICMS sobre tal produto no estado de Minas Gerais.</w:t>
      </w:r>
    </w:p>
    <w:p w14:paraId="662CEBA0" w14:textId="5B04510F" w:rsidR="00284AF1" w:rsidRPr="00BD0223" w:rsidRDefault="00B93161" w:rsidP="00383286">
      <w:pPr>
        <w:pStyle w:val="TNORMAL"/>
      </w:pPr>
      <w:r w:rsidRPr="00BD0223">
        <w:t>Em relação ao mercado de combustíveis, a alteração do método da substituição tributária pelo método da nota-cr</w:t>
      </w:r>
      <w:r w:rsidR="006E3F3E" w:rsidRPr="00BD0223">
        <w:t>é</w:t>
      </w:r>
      <w:r w:rsidRPr="00BD0223">
        <w:t>dito</w:t>
      </w:r>
      <w:r w:rsidR="00D47CE0" w:rsidRPr="00BD0223">
        <w:t>,</w:t>
      </w:r>
      <w:r w:rsidRPr="00BD0223">
        <w:t xml:space="preserve"> contando com o auxílio de softwares para realizarem a fiscalização, tenderia a diminuir os conflitos e os litígios tributários do setor</w:t>
      </w:r>
      <w:r w:rsidR="00CF26A4">
        <w:t xml:space="preserve">. No </w:t>
      </w:r>
      <w:r w:rsidRPr="00BD0223">
        <w:t>entanto</w:t>
      </w:r>
      <w:r w:rsidR="00CF26A4">
        <w:t>,</w:t>
      </w:r>
      <w:r w:rsidRPr="00BD0223">
        <w:t xml:space="preserve"> os governos estaduais, apesar de já aceitarem uma reforma no ICMS, apresentam resistência a extinção da substituição tributária.</w:t>
      </w:r>
      <w:r w:rsidR="006E3F3E" w:rsidRPr="00BD0223">
        <w:t xml:space="preserve"> Caso fossem tomadas medidas em tal direção seria possível a extinção do Preço Médio Ponderado ao Consumidor, pois os créditos seriam disponibilizados ao longo da cadeia produtiva, não necessitando de um agente que pagasse a totalidade de impostos ao fisco.</w:t>
      </w:r>
    </w:p>
    <w:p w14:paraId="3D6C6E60" w14:textId="4FA6A36F" w:rsidR="00431AB7" w:rsidRDefault="00284AF1" w:rsidP="00431AB7">
      <w:pPr>
        <w:pStyle w:val="TNORMAL"/>
      </w:pPr>
      <w:r w:rsidRPr="00BD0223">
        <w:t xml:space="preserve">No que se refere </w:t>
      </w:r>
      <w:r w:rsidR="00EA54A8" w:rsidRPr="00BD0223">
        <w:t>a</w:t>
      </w:r>
      <w:r w:rsidR="00EA54A8">
        <w:t xml:space="preserve"> indústria</w:t>
      </w:r>
      <w:r w:rsidR="001E3AC3">
        <w:t xml:space="preserve"> automobilística e</w:t>
      </w:r>
      <w:r w:rsidR="002A3CE6">
        <w:t xml:space="preserve"> ao</w:t>
      </w:r>
      <w:r w:rsidR="001E3AC3">
        <w:t xml:space="preserve"> setor de combustíveis líquidos</w:t>
      </w:r>
      <w:r w:rsidRPr="00BD0223">
        <w:t xml:space="preserve"> no Brasil, o futuro se apresenta incerto, visto que as frotas das próximas décadas podem apresentar</w:t>
      </w:r>
      <w:r w:rsidR="00F40309" w:rsidRPr="00BD0223">
        <w:t xml:space="preserve"> uma grande concentração de</w:t>
      </w:r>
      <w:r w:rsidRPr="00BD0223">
        <w:t xml:space="preserve"> veículos híbridos e até elétricos. </w:t>
      </w:r>
      <w:r w:rsidR="00F40309" w:rsidRPr="00BD0223">
        <w:t>Referente ao</w:t>
      </w:r>
      <w:r w:rsidRPr="00BD0223">
        <w:t xml:space="preserve"> ICMS, mudanças na tributação do modo como vem sendo sinalizad</w:t>
      </w:r>
      <w:r w:rsidR="00F40309" w:rsidRPr="00BD0223">
        <w:t>a</w:t>
      </w:r>
      <w:r w:rsidRPr="00BD0223">
        <w:t>s devem afetar os estados produtores de etanol</w:t>
      </w:r>
      <w:r w:rsidR="00F40309" w:rsidRPr="00BD0223">
        <w:t>;</w:t>
      </w:r>
      <w:r w:rsidRPr="00BD0223">
        <w:t xml:space="preserve"> caso se altere o princípio de origem pelo de destino. Relacionado a gasolina e ao </w:t>
      </w:r>
      <w:r w:rsidR="003E0EC0" w:rsidRPr="00BD0223">
        <w:t>óleo diesel</w:t>
      </w:r>
      <w:r w:rsidR="00F40309" w:rsidRPr="00BD0223">
        <w:t>,</w:t>
      </w:r>
      <w:r w:rsidR="003E0EC0" w:rsidRPr="00BD0223">
        <w:t xml:space="preserve"> a disputa interestadual por mais consumidores e tributos não sofrerá com grandes alterações, já que tais produtos já são tributados de acordo com o princípio de destino. </w:t>
      </w:r>
      <w:r w:rsidR="00CF26A4">
        <w:t xml:space="preserve">Por outro lado, </w:t>
      </w:r>
      <w:r w:rsidR="003E0EC0" w:rsidRPr="00BD0223">
        <w:t>a introdução d</w:t>
      </w:r>
      <w:r w:rsidR="00F40309" w:rsidRPr="00BD0223">
        <w:t>a</w:t>
      </w:r>
      <w:r w:rsidR="003E0EC0" w:rsidRPr="00BD0223">
        <w:t xml:space="preserve"> isenção de impostos sobre investimentos para todos os setores poderia </w:t>
      </w:r>
      <w:r w:rsidR="003E0EC0" w:rsidRPr="00BD0223">
        <w:lastRenderedPageBreak/>
        <w:t xml:space="preserve">afetar </w:t>
      </w:r>
      <w:r w:rsidR="00CF26A4">
        <w:t xml:space="preserve">a </w:t>
      </w:r>
      <w:r w:rsidR="003E0EC0" w:rsidRPr="00BD0223">
        <w:t>arrecadação sobre o óleo diesel que é um insumo importante para várias empresas</w:t>
      </w:r>
      <w:r w:rsidR="00D47CE0" w:rsidRPr="00BD0223">
        <w:t>.</w:t>
      </w:r>
      <w:r w:rsidR="00F40309" w:rsidRPr="00BD0223">
        <w:t xml:space="preserve"> Outra mudança que impactaria significativamente a cadeia de petróleo e gás seria a uniformização de alíquotas sobre todos os produtos, alterando assim os preços relativos de combustíveis substitutos que atualmente possuem alíquotas diferenciadas</w:t>
      </w:r>
      <w:r w:rsidR="00CF26A4">
        <w:t>.</w:t>
      </w:r>
    </w:p>
    <w:p w14:paraId="169DA6E5" w14:textId="271725B3" w:rsidR="00431AB7" w:rsidRPr="00BD0223" w:rsidRDefault="00C010A1" w:rsidP="00431AB7">
      <w:pPr>
        <w:pStyle w:val="TNORMAL"/>
      </w:pPr>
      <w:r>
        <w:t>Referente a uma possível reforma tributária</w:t>
      </w:r>
      <w:r w:rsidR="001C43A4">
        <w:t>,</w:t>
      </w:r>
      <w:r w:rsidR="00431AB7">
        <w:t xml:space="preserve"> há</w:t>
      </w:r>
      <w:r w:rsidR="00431AB7" w:rsidRPr="00BD0223">
        <w:t xml:space="preserve"> um consenso entre economistas e formuladores de políticas públicas que uma reforma tributária que aumente a eficiência da tributação sobre o consumo se faz necessária para aumentar o potencial de crescimento de longo prazo da economia brasileira, o método considerado como mais adequado mundialmente utiliza um IVA uniforme ou único arrecadado por um governo central. No caso específico da proposta do Centro de Cidadania Fiscal haveria uma alíquota nacional que seria dividida em três parcelas, as quais seriam de responsabilidade cada uma, dos seguintes entes: governo federal, governos estaduais, governos municipais</w:t>
      </w:r>
      <w:r w:rsidR="001C43A4">
        <w:t xml:space="preserve"> (SOUZA, 2020)</w:t>
      </w:r>
      <w:r w:rsidR="00431AB7" w:rsidRPr="00BD0223">
        <w:t>. Assim</w:t>
      </w:r>
      <w:r w:rsidR="00431AB7">
        <w:t>,</w:t>
      </w:r>
      <w:r w:rsidR="00431AB7" w:rsidRPr="00BD0223">
        <w:t xml:space="preserve"> as discussões em torno da reforma tributária </w:t>
      </w:r>
      <w:r w:rsidR="0002091C">
        <w:t>buscam</w:t>
      </w:r>
      <w:r w:rsidR="00431AB7" w:rsidRPr="00BD0223">
        <w:t xml:space="preserve"> aumentar a eficiência preservando certa autonomia para os entes da federação, os quais poderão fazer ajustes em suas alíquotas respeitando regras pré-estabelecidas.</w:t>
      </w:r>
    </w:p>
    <w:p w14:paraId="3918677F" w14:textId="764E3F83" w:rsidR="00431AB7" w:rsidRPr="00BD0223" w:rsidRDefault="00431AB7" w:rsidP="00431AB7">
      <w:pPr>
        <w:pStyle w:val="TNORMAL"/>
      </w:pPr>
      <w:r w:rsidRPr="00BD0223">
        <w:t>Representantes</w:t>
      </w:r>
      <w:r w:rsidR="001C43A4">
        <w:t xml:space="preserve"> do</w:t>
      </w:r>
      <w:r w:rsidRPr="00BD0223">
        <w:t xml:space="preserve"> setor de serviços tem apresentado resistência as propostas de reforma tributária por preverem que a carga tributária sobre suas empresas aumentaria, porém as propostas de criação de um IVA se baseiam em uma extensa literatura, a qual não objetiva uma carga tributária maior sobre o setor A ou B, e </w:t>
      </w:r>
      <w:r w:rsidRPr="007A55C5">
        <w:t>sim o repasse total dos tributos ao consumidor, sem que ocorra cumulatividade ou a empresa arque com o tributo que deveria ser sobre o consumo, ou seja se um bem custar R$</w:t>
      </w:r>
      <w:r w:rsidR="0002091C">
        <w:t xml:space="preserve"> </w:t>
      </w:r>
      <w:r w:rsidRPr="007A55C5">
        <w:t>50 entre lucros e salários e</w:t>
      </w:r>
      <w:r>
        <w:t xml:space="preserve"> a</w:t>
      </w:r>
      <w:r w:rsidRPr="007A55C5">
        <w:t xml:space="preserve"> alíquota for de 10%, o produto deverá custar ao consumidor exatamente R$</w:t>
      </w:r>
      <w:r w:rsidR="0002091C">
        <w:t xml:space="preserve"> </w:t>
      </w:r>
      <w:r w:rsidRPr="007A55C5">
        <w:t>55</w:t>
      </w:r>
      <w:r w:rsidRPr="00BD0223">
        <w:t>. Empresas de telecomunicação ou energia elétrica que possuem grande quantidade de firmas do setor de serviços como fornecedores, receberiam crédito integral dos tributos que esses setores pagar</w:t>
      </w:r>
      <w:r w:rsidR="0002091C">
        <w:t>e</w:t>
      </w:r>
      <w:r w:rsidRPr="00BD0223">
        <w:t>m, não tributando assim os investimentos e fornecendo mais transparência ao cidadão que teria a percepção exata do quanto está pagando de imposto em cada produto. Obviamente</w:t>
      </w:r>
      <w:r w:rsidR="0002091C">
        <w:t>,</w:t>
      </w:r>
      <w:r w:rsidRPr="00BD0223">
        <w:t xml:space="preserve"> os serviços finais seriam mais impactados, principalmente os que são consumidos pela população de alta renda, porém todo o consumo de serviços relacionado a investimentos das empresas seria afetado positivamente.</w:t>
      </w:r>
    </w:p>
    <w:p w14:paraId="784757D6" w14:textId="77777777" w:rsidR="00431AB7" w:rsidRPr="00BD0223" w:rsidRDefault="00431AB7" w:rsidP="00431AB7">
      <w:pPr>
        <w:pStyle w:val="TNORMAL"/>
      </w:pPr>
      <w:r w:rsidRPr="00BD0223">
        <w:t xml:space="preserve">Relacionado aos preços relativos dos produtos, atualmente com o ICMS, devido a diversas alíquotas seletivas, políticas que aumentam a ineficiência econômica são muito comuns. Caso fosse adotado o IBS (impostos sobre bens e serviços), que foi o nome mais comum utilizado para impostos do tipo IVA em nações europeias, alguns preços relativos tenderiam a diminuir e outros aumentariam. A gasolina é tributada atualmente em Minas Gerais </w:t>
      </w:r>
      <w:r w:rsidRPr="00BD0223">
        <w:lastRenderedPageBreak/>
        <w:t>com uma alíquota de 33% só de ICMS, a qual diminuiria se fosse adotado IBS</w:t>
      </w:r>
      <w:r>
        <w:t>. J</w:t>
      </w:r>
      <w:r w:rsidRPr="00BD0223">
        <w:t>á o diesel possui uma alíquota de 15%, que seria aumentada como consequência da reforma (tal aumento afetaria apenas o consumidor final de diesel, as empresas que usam esses produtos como insumo receberiam crédito tributário integral). Com um tempo de transição adequado, pois há a necessidade de um período para as empresas e os entes da federação se adaptarem, a reforma aumentaria a eficiência do sistema econômico e auxiliaria no crescimento de longo prazo da economia.</w:t>
      </w:r>
    </w:p>
    <w:p w14:paraId="6401B1BD" w14:textId="2C45CB84" w:rsidR="00431AB7" w:rsidRPr="00BD0223" w:rsidRDefault="00431AB7" w:rsidP="00431AB7">
      <w:pPr>
        <w:pStyle w:val="TNORMAL"/>
      </w:pPr>
      <w:r w:rsidRPr="00BD0223">
        <w:t>A relação entre fisco e contribuinte futuramente poderá se tornar mais transparente devido à simplificação dos tributos sobre o consumo</w:t>
      </w:r>
      <w:r w:rsidR="0002091C">
        <w:t xml:space="preserve"> </w:t>
      </w:r>
      <w:r w:rsidRPr="00BD0223">
        <w:t xml:space="preserve">e como consequência dos avanços tecnológicos dos sistemas de controle da arrecadação e de créditos tributários. Nesse contexto a tributação sobre o consumo no Brasil caminharia para uma situação onde os aspectos que caracterizam um bom sistema tributário seriam mais perceptíveis e comuns. Como exemplo dessas características pode-se </w:t>
      </w:r>
      <w:r w:rsidR="0002091C">
        <w:t xml:space="preserve">recuperar </w:t>
      </w:r>
      <w:r w:rsidRPr="00BD0223">
        <w:t>os conceitos de neutralidade, simplicidade e equidade.</w:t>
      </w:r>
    </w:p>
    <w:p w14:paraId="5A6CAFB5" w14:textId="77777777" w:rsidR="00431AB7" w:rsidRDefault="00431AB7" w:rsidP="00431AB7">
      <w:pPr>
        <w:pStyle w:val="TNORMAL"/>
        <w:ind w:firstLine="0"/>
      </w:pPr>
    </w:p>
    <w:p w14:paraId="3F9A215F" w14:textId="77777777" w:rsidR="00431AB7" w:rsidRPr="00431AB7" w:rsidRDefault="00431AB7" w:rsidP="00431AB7">
      <w:pPr>
        <w:pStyle w:val="TNORMAL"/>
        <w:ind w:firstLine="0"/>
      </w:pPr>
    </w:p>
    <w:p w14:paraId="64E12FE4" w14:textId="5DA3739B" w:rsidR="00431AB7" w:rsidRDefault="00431AB7" w:rsidP="00431AB7">
      <w:pPr>
        <w:pStyle w:val="TNORMAL"/>
        <w:rPr>
          <w:lang w:val="pt-PT" w:eastAsia="pt-PT"/>
        </w:rPr>
      </w:pPr>
    </w:p>
    <w:p w14:paraId="6296D9F2" w14:textId="77777777" w:rsidR="00431AB7" w:rsidRPr="00431AB7" w:rsidRDefault="00431AB7" w:rsidP="00431AB7">
      <w:pPr>
        <w:pStyle w:val="TNORMAL"/>
        <w:rPr>
          <w:lang w:val="pt-PT" w:eastAsia="pt-PT"/>
        </w:rPr>
      </w:pPr>
    </w:p>
    <w:p w14:paraId="6C3299D8" w14:textId="77777777" w:rsidR="00431AB7" w:rsidRPr="00BD0223" w:rsidRDefault="00431AB7" w:rsidP="00383286">
      <w:pPr>
        <w:pStyle w:val="TNORMAL"/>
      </w:pPr>
    </w:p>
    <w:p w14:paraId="0FEAFBCA" w14:textId="77777777" w:rsidR="00E31C01" w:rsidRPr="00BD0223" w:rsidRDefault="00E31C01" w:rsidP="00E31C01">
      <w:pPr>
        <w:pStyle w:val="TIT1pos-textuais"/>
      </w:pPr>
      <w:bookmarkStart w:id="63" w:name="_Toc55329629"/>
      <w:r w:rsidRPr="00BD0223">
        <w:lastRenderedPageBreak/>
        <w:t>REFERÊNCIAS BIBLIOGRÁFICAS</w:t>
      </w:r>
      <w:bookmarkEnd w:id="63"/>
    </w:p>
    <w:p w14:paraId="6B541FB2" w14:textId="77777777" w:rsidR="00862CCA" w:rsidRPr="00BD0223" w:rsidRDefault="00862CCA" w:rsidP="00862CCA">
      <w:pPr>
        <w:pStyle w:val="TNORMAL"/>
        <w:spacing w:after="360" w:line="240" w:lineRule="auto"/>
        <w:ind w:firstLine="0"/>
        <w:rPr>
          <w:rStyle w:val="Hyperlink"/>
          <w:rFonts w:cs="Times New Roman"/>
          <w:color w:val="auto"/>
          <w:szCs w:val="24"/>
          <w:u w:val="none"/>
          <w:shd w:val="clear" w:color="auto" w:fill="FFFFFF"/>
        </w:rPr>
      </w:pPr>
      <w:bookmarkStart w:id="64" w:name="_Toc55329630"/>
      <w:r w:rsidRPr="00BD0223">
        <w:rPr>
          <w:rStyle w:val="Hyperlink"/>
          <w:rFonts w:cs="Times New Roman"/>
          <w:color w:val="auto"/>
          <w:szCs w:val="24"/>
          <w:u w:val="none"/>
          <w:shd w:val="clear" w:color="auto" w:fill="FFFFFF"/>
        </w:rPr>
        <w:t xml:space="preserve">BARROS, Cecília Lindgren. </w:t>
      </w:r>
      <w:r w:rsidRPr="00BD0223">
        <w:rPr>
          <w:rStyle w:val="Hyperlink"/>
          <w:rFonts w:cs="Times New Roman"/>
          <w:b/>
          <w:bCs/>
          <w:color w:val="auto"/>
          <w:szCs w:val="24"/>
          <w:u w:val="none"/>
          <w:shd w:val="clear" w:color="auto" w:fill="FFFFFF"/>
        </w:rPr>
        <w:t>Análise comparativa entre elasticidade-preço da demanda de bebidas, suas marcas e seus subtipos</w:t>
      </w:r>
      <w:r w:rsidRPr="00BD0223">
        <w:rPr>
          <w:rStyle w:val="Hyperlink"/>
          <w:rFonts w:cs="Times New Roman"/>
          <w:color w:val="auto"/>
          <w:szCs w:val="24"/>
          <w:u w:val="none"/>
          <w:shd w:val="clear" w:color="auto" w:fill="FFFFFF"/>
        </w:rPr>
        <w:t xml:space="preserve">. 2011. 64 f. Monografia (Bacharelado em Administração) — </w:t>
      </w:r>
      <w:r w:rsidRPr="00FB4ACC">
        <w:rPr>
          <w:rStyle w:val="Hyperlink"/>
          <w:rFonts w:cs="Times New Roman"/>
          <w:color w:val="auto"/>
          <w:szCs w:val="24"/>
          <w:u w:val="none"/>
          <w:shd w:val="clear" w:color="auto" w:fill="FFFFFF"/>
        </w:rPr>
        <w:t>Faculdade de Economia, Administração e Contabilidade, Universidade de Brasília (UNB).</w:t>
      </w:r>
    </w:p>
    <w:p w14:paraId="1550D652" w14:textId="77777777" w:rsidR="00862CCA" w:rsidRPr="00BD0223" w:rsidRDefault="00862CCA" w:rsidP="00862CCA">
      <w:pPr>
        <w:pStyle w:val="TNORMAL"/>
        <w:spacing w:after="360" w:line="240" w:lineRule="auto"/>
        <w:ind w:firstLine="0"/>
        <w:rPr>
          <w:shd w:val="clear" w:color="auto" w:fill="FFFFFF"/>
        </w:rPr>
      </w:pPr>
      <w:r w:rsidRPr="00BD0223">
        <w:rPr>
          <w:shd w:val="clear" w:color="auto" w:fill="FFFFFF"/>
        </w:rPr>
        <w:t xml:space="preserve">BIDERMAN, Ciro; AVARTE, Paulo. </w:t>
      </w:r>
      <w:r w:rsidRPr="00BD0223">
        <w:rPr>
          <w:b/>
          <w:bCs/>
          <w:shd w:val="clear" w:color="auto" w:fill="FFFFFF"/>
        </w:rPr>
        <w:t>Economia do Setor Público</w:t>
      </w:r>
      <w:r w:rsidRPr="00BD0223">
        <w:rPr>
          <w:shd w:val="clear" w:color="auto" w:fill="FFFFFF"/>
        </w:rPr>
        <w:t>. São Paulo: Elsevier, 2004</w:t>
      </w:r>
    </w:p>
    <w:p w14:paraId="593AB592" w14:textId="77777777" w:rsidR="00862CCA" w:rsidRPr="00BD0223" w:rsidRDefault="00862CCA" w:rsidP="00862CCA">
      <w:pPr>
        <w:pStyle w:val="TNORMAL"/>
        <w:spacing w:after="360" w:line="240" w:lineRule="auto"/>
        <w:ind w:firstLine="0"/>
        <w:rPr>
          <w:shd w:val="clear" w:color="auto" w:fill="FFFFFF"/>
        </w:rPr>
      </w:pPr>
      <w:r w:rsidRPr="00BD0223">
        <w:rPr>
          <w:shd w:val="clear" w:color="auto" w:fill="FFFFFF"/>
        </w:rPr>
        <w:t xml:space="preserve">BORGES, Bráulio. Excesso de oferta vs falta de demanda: considerações sobre o transporte de cargas no Brasil. </w:t>
      </w:r>
      <w:r w:rsidRPr="00BD0223">
        <w:rPr>
          <w:b/>
          <w:bCs/>
          <w:shd w:val="clear" w:color="auto" w:fill="FFFFFF"/>
        </w:rPr>
        <w:t>Blog do Ibre</w:t>
      </w:r>
      <w:r w:rsidRPr="00BD0223">
        <w:rPr>
          <w:shd w:val="clear" w:color="auto" w:fill="FFFFFF"/>
        </w:rPr>
        <w:t>, [</w:t>
      </w:r>
      <w:r w:rsidRPr="00BD0223">
        <w:rPr>
          <w:i/>
          <w:iCs/>
          <w:shd w:val="clear" w:color="auto" w:fill="FFFFFF"/>
        </w:rPr>
        <w:t>s. l.</w:t>
      </w:r>
      <w:r w:rsidRPr="00BD0223">
        <w:rPr>
          <w:shd w:val="clear" w:color="auto" w:fill="FFFFFF"/>
        </w:rPr>
        <w:t>], 2018</w:t>
      </w:r>
    </w:p>
    <w:p w14:paraId="3C547B34" w14:textId="77777777" w:rsidR="00862CCA" w:rsidRPr="00BD0223" w:rsidRDefault="00862CCA" w:rsidP="00862CCA">
      <w:pPr>
        <w:pStyle w:val="TNORMAL"/>
        <w:spacing w:after="360" w:line="240" w:lineRule="auto"/>
        <w:ind w:firstLine="0"/>
        <w:rPr>
          <w:shd w:val="clear" w:color="auto" w:fill="FFFFFF"/>
        </w:rPr>
      </w:pPr>
      <w:r w:rsidRPr="00BD0223">
        <w:rPr>
          <w:shd w:val="clear" w:color="auto" w:fill="FFFFFF"/>
        </w:rPr>
        <w:t xml:space="preserve">CAVALCANTI, Marcelo Castello Branco. </w:t>
      </w:r>
      <w:r w:rsidRPr="00BD0223">
        <w:rPr>
          <w:b/>
          <w:bCs/>
          <w:shd w:val="clear" w:color="auto" w:fill="FFFFFF"/>
        </w:rPr>
        <w:t>Análise dos tributos incidentes sobre os combustíveis automotivos no Brasil</w:t>
      </w:r>
      <w:r w:rsidRPr="00BD0223">
        <w:rPr>
          <w:shd w:val="clear" w:color="auto" w:fill="FFFFFF"/>
        </w:rPr>
        <w:t xml:space="preserve">. 2006. Dissertação (Mestrado em Planejamento Estratégico) - </w:t>
      </w:r>
      <w:r w:rsidRPr="00F5058C">
        <w:rPr>
          <w:shd w:val="clear" w:color="auto" w:fill="FFFFFF"/>
        </w:rPr>
        <w:t>Instituto Alberto Luiz Coimbra de Pós-Graduação e Pesquisa de Engenharia, da Universidade Federal do Rio de Janeiro</w:t>
      </w:r>
      <w:r w:rsidRPr="00BD0223">
        <w:rPr>
          <w:shd w:val="clear" w:color="auto" w:fill="FFFFFF"/>
        </w:rPr>
        <w:t>, Rio de Janeiro.</w:t>
      </w:r>
    </w:p>
    <w:p w14:paraId="10075994" w14:textId="77777777" w:rsidR="00862CCA" w:rsidRPr="00F5058C" w:rsidRDefault="00862CCA" w:rsidP="00862CCA">
      <w:pPr>
        <w:pStyle w:val="TNORMAL"/>
        <w:spacing w:after="360" w:line="240" w:lineRule="auto"/>
        <w:ind w:firstLine="0"/>
        <w:rPr>
          <w:rFonts w:cs="Times New Roman"/>
          <w:szCs w:val="24"/>
          <w:shd w:val="clear" w:color="auto" w:fill="FFFFFF"/>
        </w:rPr>
      </w:pPr>
      <w:r w:rsidRPr="00BD0223">
        <w:rPr>
          <w:shd w:val="clear" w:color="auto" w:fill="FFFFFF"/>
        </w:rPr>
        <w:t xml:space="preserve">CRESPO, Pedro Henrique Pimenta Silveira. </w:t>
      </w:r>
      <w:r w:rsidRPr="00BD0223">
        <w:rPr>
          <w:b/>
          <w:bCs/>
          <w:shd w:val="clear" w:color="auto" w:fill="FFFFFF"/>
        </w:rPr>
        <w:t>O regime fiscal-federativo brasileiro e a crise das finanças públicas estaduais: uma análise do caso de Minas Gerais</w:t>
      </w:r>
      <w:r w:rsidRPr="00BD0223">
        <w:rPr>
          <w:shd w:val="clear" w:color="auto" w:fill="FFFFFF"/>
        </w:rPr>
        <w:t xml:space="preserve">. 2017. Trabalho de conclusão de curso (Graduação) - </w:t>
      </w:r>
      <w:r w:rsidRPr="00F5058C">
        <w:rPr>
          <w:rFonts w:cs="Times New Roman"/>
          <w:color w:val="000000"/>
          <w:szCs w:val="24"/>
          <w:shd w:val="clear" w:color="auto" w:fill="FFFFFF"/>
        </w:rPr>
        <w:t>Escola de Governo Professor Paulo Neves de Carvalho</w:t>
      </w:r>
      <w:r>
        <w:rPr>
          <w:rFonts w:cs="Times New Roman"/>
          <w:color w:val="000000"/>
          <w:szCs w:val="24"/>
          <w:shd w:val="clear" w:color="auto" w:fill="FFFFFF"/>
        </w:rPr>
        <w:t>,</w:t>
      </w:r>
      <w:r w:rsidRPr="00F5058C">
        <w:rPr>
          <w:rFonts w:cs="Times New Roman"/>
          <w:color w:val="000000"/>
          <w:szCs w:val="24"/>
          <w:shd w:val="clear" w:color="auto" w:fill="FFFFFF"/>
        </w:rPr>
        <w:t xml:space="preserve"> </w:t>
      </w:r>
      <w:r w:rsidRPr="00F5058C">
        <w:rPr>
          <w:rFonts w:cs="Times New Roman"/>
          <w:szCs w:val="24"/>
          <w:shd w:val="clear" w:color="auto" w:fill="FFFFFF"/>
        </w:rPr>
        <w:t>Fundação João Pinheiro, [</w:t>
      </w:r>
      <w:r w:rsidRPr="00F5058C">
        <w:rPr>
          <w:rFonts w:cs="Times New Roman"/>
          <w:i/>
          <w:iCs/>
          <w:szCs w:val="24"/>
          <w:shd w:val="clear" w:color="auto" w:fill="FFFFFF"/>
        </w:rPr>
        <w:t>S. l.</w:t>
      </w:r>
      <w:r w:rsidRPr="00F5058C">
        <w:rPr>
          <w:rFonts w:cs="Times New Roman"/>
          <w:szCs w:val="24"/>
          <w:shd w:val="clear" w:color="auto" w:fill="FFFFFF"/>
        </w:rPr>
        <w:t>]</w:t>
      </w:r>
      <w:r>
        <w:rPr>
          <w:rFonts w:cs="Times New Roman"/>
          <w:szCs w:val="24"/>
          <w:shd w:val="clear" w:color="auto" w:fill="FFFFFF"/>
        </w:rPr>
        <w:t>.</w:t>
      </w:r>
    </w:p>
    <w:p w14:paraId="05043486" w14:textId="77777777" w:rsidR="00862CCA" w:rsidRPr="00BD0223" w:rsidRDefault="00862CCA" w:rsidP="00862CCA">
      <w:pPr>
        <w:pStyle w:val="TNORMAL"/>
        <w:spacing w:after="360" w:line="240" w:lineRule="auto"/>
        <w:ind w:firstLine="0"/>
        <w:rPr>
          <w:shd w:val="clear" w:color="auto" w:fill="FFFFFF"/>
        </w:rPr>
      </w:pPr>
      <w:r w:rsidRPr="00BD0223">
        <w:rPr>
          <w:shd w:val="clear" w:color="auto" w:fill="FFFFFF"/>
        </w:rPr>
        <w:t xml:space="preserve">GUIMARÃES, Eduardo Nunes. </w:t>
      </w:r>
      <w:r w:rsidRPr="00BD0223">
        <w:rPr>
          <w:b/>
          <w:bCs/>
          <w:shd w:val="clear" w:color="auto" w:fill="FFFFFF"/>
        </w:rPr>
        <w:t>Formação e desenvolvimento econômico do Triângulo Mineiro:</w:t>
      </w:r>
      <w:r w:rsidRPr="00BD0223">
        <w:rPr>
          <w:shd w:val="clear" w:color="auto" w:fill="FFFFFF"/>
        </w:rPr>
        <w:t xml:space="preserve"> Integração nacional e consolidação regional. Uberlândia: Editora da Universidade Federal de Uberlândia, 2010. 254 p.</w:t>
      </w:r>
    </w:p>
    <w:p w14:paraId="0D5F9D2C" w14:textId="2E968E0F" w:rsidR="00862CCA" w:rsidRDefault="00862CCA" w:rsidP="00862CCA">
      <w:pPr>
        <w:pStyle w:val="TNORMAL"/>
        <w:spacing w:after="360" w:line="240" w:lineRule="auto"/>
        <w:ind w:firstLine="0"/>
        <w:rPr>
          <w:shd w:val="clear" w:color="auto" w:fill="FFFFFF"/>
        </w:rPr>
      </w:pPr>
      <w:r w:rsidRPr="00BD0223">
        <w:rPr>
          <w:shd w:val="clear" w:color="auto" w:fill="FFFFFF"/>
        </w:rPr>
        <w:t xml:space="preserve">LEAL FILHO, Raimundo Souza; BARBOSA, Luis Otávio Seixas. O impacto da crise econômica nas finanças públicas estaduais: o caso de Minas Gerais. </w:t>
      </w:r>
      <w:r w:rsidRPr="00BD0223">
        <w:rPr>
          <w:b/>
          <w:bCs/>
          <w:shd w:val="clear" w:color="auto" w:fill="FFFFFF"/>
        </w:rPr>
        <w:t>Associação Keynesiana Brasileira</w:t>
      </w:r>
      <w:r w:rsidRPr="00BD0223">
        <w:rPr>
          <w:shd w:val="clear" w:color="auto" w:fill="FFFFFF"/>
        </w:rPr>
        <w:t>, [</w:t>
      </w:r>
      <w:r w:rsidRPr="00BD0223">
        <w:rPr>
          <w:i/>
          <w:iCs/>
          <w:shd w:val="clear" w:color="auto" w:fill="FFFFFF"/>
        </w:rPr>
        <w:t>s. l.</w:t>
      </w:r>
      <w:r w:rsidRPr="00BD0223">
        <w:rPr>
          <w:shd w:val="clear" w:color="auto" w:fill="FFFFFF"/>
        </w:rPr>
        <w:t>], v. 4, ed. 1, 2018.</w:t>
      </w:r>
    </w:p>
    <w:p w14:paraId="583BF3BD" w14:textId="77777777" w:rsidR="00BF12D5" w:rsidRDefault="00BF12D5" w:rsidP="00BF12D5">
      <w:pPr>
        <w:pStyle w:val="TNORMAL"/>
        <w:spacing w:after="360" w:line="240" w:lineRule="auto"/>
        <w:ind w:firstLine="0"/>
        <w:rPr>
          <w:shd w:val="clear" w:color="auto" w:fill="FFFFFF"/>
        </w:rPr>
      </w:pPr>
      <w:r w:rsidRPr="00D05050">
        <w:rPr>
          <w:shd w:val="clear" w:color="auto" w:fill="FFFFFF"/>
        </w:rPr>
        <w:t xml:space="preserve">OLIVEIRA, Fabrício Augusto de. </w:t>
      </w:r>
      <w:r w:rsidRPr="00D05050">
        <w:rPr>
          <w:b/>
          <w:bCs/>
          <w:shd w:val="clear" w:color="auto" w:fill="FFFFFF"/>
        </w:rPr>
        <w:t>A reforma tributária necessária: uma introdução geral</w:t>
      </w:r>
      <w:r w:rsidRPr="00D05050">
        <w:rPr>
          <w:shd w:val="clear" w:color="auto" w:fill="FFFFFF"/>
        </w:rPr>
        <w:t>. Plataforma Política Social: Anfip, Campinas, 2017.</w:t>
      </w:r>
    </w:p>
    <w:p w14:paraId="60D4A146" w14:textId="3E95B502" w:rsidR="00BF12D5" w:rsidRPr="00BD0223" w:rsidRDefault="00BF12D5" w:rsidP="00862CCA">
      <w:pPr>
        <w:pStyle w:val="TNORMAL"/>
        <w:spacing w:after="360" w:line="240" w:lineRule="auto"/>
        <w:ind w:firstLine="0"/>
        <w:rPr>
          <w:shd w:val="clear" w:color="auto" w:fill="FFFFFF"/>
        </w:rPr>
      </w:pPr>
      <w:r w:rsidRPr="00D05050">
        <w:rPr>
          <w:shd w:val="clear" w:color="auto" w:fill="FFFFFF"/>
        </w:rPr>
        <w:t xml:space="preserve">OLIVEIRA, Fabrício Augusto de. </w:t>
      </w:r>
      <w:r>
        <w:rPr>
          <w:b/>
          <w:bCs/>
          <w:shd w:val="clear" w:color="auto" w:fill="FFFFFF"/>
        </w:rPr>
        <w:t>O sistema tributário brasileiro: evoluções, distorções e caminhos da reforma (1891-2017)</w:t>
      </w:r>
      <w:r w:rsidRPr="00D05050">
        <w:rPr>
          <w:shd w:val="clear" w:color="auto" w:fill="FFFFFF"/>
        </w:rPr>
        <w:t>. Plataforma Política Social: Anfip, Campinas, 2017.</w:t>
      </w:r>
    </w:p>
    <w:p w14:paraId="281D6612" w14:textId="77777777" w:rsidR="00862CCA" w:rsidRPr="00BD0223" w:rsidRDefault="00862CCA" w:rsidP="00862CCA">
      <w:pPr>
        <w:pStyle w:val="TNORMAL"/>
        <w:spacing w:after="360" w:line="240" w:lineRule="auto"/>
        <w:ind w:firstLine="0"/>
        <w:rPr>
          <w:shd w:val="clear" w:color="auto" w:fill="FFFFFF"/>
        </w:rPr>
      </w:pPr>
      <w:r w:rsidRPr="00BD0223">
        <w:rPr>
          <w:shd w:val="clear" w:color="auto" w:fill="FFFFFF"/>
        </w:rPr>
        <w:t xml:space="preserve">PAZ, Sue-Ellen Nonato. </w:t>
      </w:r>
      <w:r w:rsidRPr="00BD0223">
        <w:rPr>
          <w:b/>
          <w:bCs/>
          <w:shd w:val="clear" w:color="auto" w:fill="FFFFFF"/>
        </w:rPr>
        <w:t>Análise da Tributação do Consumo no Brasil</w:t>
      </w:r>
      <w:r w:rsidRPr="00BD0223">
        <w:rPr>
          <w:shd w:val="clear" w:color="auto" w:fill="FFFFFF"/>
        </w:rPr>
        <w:t xml:space="preserve">. 2008. Dissertação (Mestrado em economia) </w:t>
      </w:r>
      <w:r>
        <w:rPr>
          <w:shd w:val="clear" w:color="auto" w:fill="FFFFFF"/>
        </w:rPr>
        <w:t>–</w:t>
      </w:r>
      <w:r w:rsidRPr="00BD0223">
        <w:rPr>
          <w:shd w:val="clear" w:color="auto" w:fill="FFFFFF"/>
        </w:rPr>
        <w:t xml:space="preserve"> </w:t>
      </w:r>
      <w:r>
        <w:rPr>
          <w:shd w:val="clear" w:color="auto" w:fill="FFFFFF"/>
        </w:rPr>
        <w:t xml:space="preserve">Escola Brasileira de Economia e Finanças, </w:t>
      </w:r>
      <w:r w:rsidRPr="00BD0223">
        <w:rPr>
          <w:shd w:val="clear" w:color="auto" w:fill="FFFFFF"/>
        </w:rPr>
        <w:t>Fundação Getúlio Vargas, Rio de Janeiro</w:t>
      </w:r>
      <w:r>
        <w:rPr>
          <w:shd w:val="clear" w:color="auto" w:fill="FFFFFF"/>
        </w:rPr>
        <w:t>.</w:t>
      </w:r>
    </w:p>
    <w:p w14:paraId="0AE18627" w14:textId="77777777" w:rsidR="00862CCA" w:rsidRPr="00F5058C" w:rsidRDefault="00862CCA" w:rsidP="00862CCA">
      <w:pPr>
        <w:pStyle w:val="TNORMAL"/>
        <w:spacing w:after="360" w:line="240" w:lineRule="auto"/>
        <w:ind w:firstLine="0"/>
      </w:pPr>
      <w:r w:rsidRPr="00F5058C">
        <w:t>PINDYCK, R.S.; RUBINFELD, D.L. </w:t>
      </w:r>
      <w:r w:rsidRPr="00F5058C">
        <w:rPr>
          <w:b/>
          <w:bCs/>
        </w:rPr>
        <w:t>Microeconomia</w:t>
      </w:r>
      <w:r w:rsidRPr="00F5058C">
        <w:t>. São Paulo: Makron Books, 7ª edição, 2010</w:t>
      </w:r>
    </w:p>
    <w:p w14:paraId="08E42FD5" w14:textId="77777777" w:rsidR="00862CCA" w:rsidRPr="00BD0223" w:rsidRDefault="00862CCA" w:rsidP="00862CCA">
      <w:pPr>
        <w:pStyle w:val="TNORMAL"/>
        <w:spacing w:after="360" w:line="240" w:lineRule="auto"/>
        <w:ind w:firstLine="0"/>
        <w:rPr>
          <w:shd w:val="clear" w:color="auto" w:fill="FFFFFF"/>
        </w:rPr>
      </w:pPr>
      <w:r w:rsidRPr="00BD0223">
        <w:rPr>
          <w:shd w:val="clear" w:color="auto" w:fill="FFFFFF"/>
        </w:rPr>
        <w:t>RELATÓRIO ANUAL DA REVENDA DE COMBUSTÍVEIS: Federação Nacional do Comércio de Combustíveis e Lubrificantes. São Paulo: Fecombustíveis, 2010-2017. Anual.</w:t>
      </w:r>
    </w:p>
    <w:p w14:paraId="350BB18E" w14:textId="77777777" w:rsidR="00862CCA" w:rsidRPr="00BD0223" w:rsidRDefault="00862CCA" w:rsidP="00862CCA">
      <w:pPr>
        <w:pStyle w:val="TNORMAL"/>
        <w:spacing w:after="360" w:line="240" w:lineRule="auto"/>
        <w:ind w:firstLine="0"/>
        <w:rPr>
          <w:shd w:val="clear" w:color="auto" w:fill="FFFFFF"/>
        </w:rPr>
      </w:pPr>
      <w:r w:rsidRPr="00BD0223">
        <w:rPr>
          <w:shd w:val="clear" w:color="auto" w:fill="FFFFFF"/>
        </w:rPr>
        <w:lastRenderedPageBreak/>
        <w:t xml:space="preserve">SCHECHTMAN, Rafael; CUNHA, Ney Maurício; SILVEIRA, Joyce Perin; DO NASCIMENTO, Daniele Lomba. Combustíveis no Brasil: Políticas de Preço e Estrutura Tributária. </w:t>
      </w:r>
      <w:r w:rsidRPr="00BD0223">
        <w:rPr>
          <w:b/>
          <w:bCs/>
          <w:shd w:val="clear" w:color="auto" w:fill="FFFFFF"/>
        </w:rPr>
        <w:t>Agência Nacional do Petróleo</w:t>
      </w:r>
      <w:r w:rsidRPr="00BD0223">
        <w:rPr>
          <w:shd w:val="clear" w:color="auto" w:fill="FFFFFF"/>
        </w:rPr>
        <w:t>, [</w:t>
      </w:r>
      <w:r w:rsidRPr="00BD0223">
        <w:rPr>
          <w:i/>
          <w:iCs/>
          <w:shd w:val="clear" w:color="auto" w:fill="FFFFFF"/>
        </w:rPr>
        <w:t>s. l.</w:t>
      </w:r>
      <w:r w:rsidRPr="00BD0223">
        <w:rPr>
          <w:shd w:val="clear" w:color="auto" w:fill="FFFFFF"/>
        </w:rPr>
        <w:t>], 2001.</w:t>
      </w:r>
    </w:p>
    <w:p w14:paraId="1CA770C0" w14:textId="6E9D673B" w:rsidR="00862CCA" w:rsidRDefault="00F5352D" w:rsidP="00862CCA">
      <w:pPr>
        <w:pStyle w:val="TNORMAL"/>
        <w:spacing w:after="360" w:line="240" w:lineRule="auto"/>
        <w:ind w:firstLine="0"/>
        <w:rPr>
          <w:shd w:val="clear" w:color="auto" w:fill="FFFFFF"/>
          <w:lang w:val="en-US"/>
        </w:rPr>
      </w:pPr>
      <w:hyperlink r:id="rId46" w:history="1">
        <w:r w:rsidR="00862CCA" w:rsidRPr="00BD0223">
          <w:rPr>
            <w:rStyle w:val="Hyperlink"/>
            <w:rFonts w:cs="Times New Roman"/>
            <w:color w:val="auto"/>
            <w:szCs w:val="24"/>
            <w:u w:val="none"/>
            <w:shd w:val="clear" w:color="auto" w:fill="FFFFFF"/>
          </w:rPr>
          <w:t>SCHMIDT, Cristiane Alkmin Junqueira</w:t>
        </w:r>
      </w:hyperlink>
      <w:r w:rsidR="00862CCA">
        <w:rPr>
          <w:rStyle w:val="Hyperlink"/>
          <w:rFonts w:cs="Times New Roman"/>
          <w:color w:val="auto"/>
          <w:szCs w:val="24"/>
          <w:u w:val="none"/>
          <w:shd w:val="clear" w:color="auto" w:fill="FFFFFF"/>
        </w:rPr>
        <w:t>;</w:t>
      </w:r>
      <w:r w:rsidR="00862CCA">
        <w:rPr>
          <w:shd w:val="clear" w:color="auto" w:fill="FFFFFF"/>
        </w:rPr>
        <w:t xml:space="preserve"> </w:t>
      </w:r>
      <w:hyperlink r:id="rId47" w:history="1">
        <w:r w:rsidR="00862CCA" w:rsidRPr="00BD0223">
          <w:rPr>
            <w:rStyle w:val="Hyperlink"/>
            <w:rFonts w:cs="Times New Roman"/>
            <w:color w:val="auto"/>
            <w:szCs w:val="24"/>
            <w:u w:val="none"/>
            <w:shd w:val="clear" w:color="auto" w:fill="FFFFFF"/>
          </w:rPr>
          <w:t>LIMA, Marcos A. M.</w:t>
        </w:r>
      </w:hyperlink>
      <w:r w:rsidR="00862CCA" w:rsidRPr="00BD0223">
        <w:rPr>
          <w:shd w:val="clear" w:color="auto" w:fill="FFFFFF"/>
        </w:rPr>
        <w:t xml:space="preserve">. </w:t>
      </w:r>
      <w:r w:rsidR="00862CCA" w:rsidRPr="00BD0223">
        <w:rPr>
          <w:rStyle w:val="article-title"/>
          <w:rFonts w:cs="Times New Roman"/>
          <w:b/>
          <w:bCs/>
          <w:szCs w:val="24"/>
          <w:shd w:val="clear" w:color="auto" w:fill="FFFFFF"/>
        </w:rPr>
        <w:t xml:space="preserve">A demanda por energia elétrica no Brasil. </w:t>
      </w:r>
      <w:r w:rsidR="00862CCA" w:rsidRPr="00BD0223">
        <w:rPr>
          <w:shd w:val="clear" w:color="auto" w:fill="FFFFFF"/>
          <w:lang w:val="en-US"/>
        </w:rPr>
        <w:t xml:space="preserve">Rev. Bras. Econ. [online]. 2004, vol.58, n.1, pp.68-98. ISSN 1806-9134. </w:t>
      </w:r>
      <w:hyperlink r:id="rId48" w:history="1">
        <w:r w:rsidR="00862CCA" w:rsidRPr="00BD0223">
          <w:rPr>
            <w:rStyle w:val="Hyperlink"/>
            <w:rFonts w:cs="Times New Roman"/>
            <w:color w:val="auto"/>
            <w:szCs w:val="24"/>
            <w:u w:val="none"/>
            <w:shd w:val="clear" w:color="auto" w:fill="FFFFFF"/>
            <w:lang w:val="en-US"/>
          </w:rPr>
          <w:t>https://doi.org/10.1590/S0034-71402004000100004</w:t>
        </w:r>
      </w:hyperlink>
      <w:r w:rsidR="00862CCA" w:rsidRPr="00BD0223">
        <w:rPr>
          <w:shd w:val="clear" w:color="auto" w:fill="FFFFFF"/>
          <w:lang w:val="en-US"/>
        </w:rPr>
        <w:t>.</w:t>
      </w:r>
    </w:p>
    <w:p w14:paraId="278E28CA" w14:textId="75E9E1D7" w:rsidR="005277B0" w:rsidRPr="005277B0" w:rsidRDefault="005277B0" w:rsidP="00862CCA">
      <w:pPr>
        <w:pStyle w:val="TNORMAL"/>
        <w:spacing w:after="360" w:line="240" w:lineRule="auto"/>
        <w:ind w:firstLine="0"/>
        <w:rPr>
          <w:rStyle w:val="article-title"/>
          <w:rFonts w:cs="Times New Roman"/>
          <w:szCs w:val="24"/>
        </w:rPr>
      </w:pPr>
      <w:r w:rsidRPr="005277B0">
        <w:rPr>
          <w:rStyle w:val="article-title"/>
          <w:rFonts w:cs="Times New Roman"/>
          <w:szCs w:val="24"/>
        </w:rPr>
        <w:t xml:space="preserve">SOUZA, Leonardo. </w:t>
      </w:r>
      <w:r w:rsidRPr="005277B0">
        <w:rPr>
          <w:rStyle w:val="article-title"/>
          <w:rFonts w:cs="Times New Roman"/>
          <w:b/>
          <w:bCs/>
          <w:szCs w:val="24"/>
        </w:rPr>
        <w:t>Bernard Appy: Reforma tributária decide se Brasil continua solvente</w:t>
      </w:r>
      <w:r w:rsidRPr="005277B0">
        <w:rPr>
          <w:rStyle w:val="article-title"/>
          <w:rFonts w:cs="Times New Roman"/>
          <w:szCs w:val="24"/>
        </w:rPr>
        <w:t>. Brazil Journal, [S. l.], p. 01-01, 14 jul. 2020. Disponível em: https://braziljournal.com/bernard-appy-reforma-tributaria-decide-se-brasil-continua-solvente. Acesso em: 10 dez. 2020.</w:t>
      </w:r>
    </w:p>
    <w:bookmarkEnd w:id="64"/>
    <w:p w14:paraId="49B123BF" w14:textId="77777777" w:rsidR="00BF12D5" w:rsidRDefault="00BF12D5" w:rsidP="00BF12D5">
      <w:pPr>
        <w:pStyle w:val="TIT1pos-textuais"/>
      </w:pPr>
      <w:r w:rsidRPr="00BD0223">
        <w:rPr>
          <w:caps w:val="0"/>
        </w:rPr>
        <w:lastRenderedPageBreak/>
        <w:t>APÊNDICE</w:t>
      </w:r>
    </w:p>
    <w:p w14:paraId="7DC056F2" w14:textId="77777777" w:rsidR="004F409C" w:rsidRDefault="004F409C" w:rsidP="00BF12D5">
      <w:pPr>
        <w:pStyle w:val="Tfigura-titulo"/>
        <w:jc w:val="both"/>
      </w:pPr>
    </w:p>
    <w:p w14:paraId="2BB539D1" w14:textId="4DF6524E" w:rsidR="00BF12D5" w:rsidRPr="00BD0223" w:rsidRDefault="00BF12D5" w:rsidP="00BF12D5">
      <w:pPr>
        <w:pStyle w:val="Tfigura-titulo"/>
        <w:jc w:val="both"/>
      </w:pPr>
      <w:r w:rsidRPr="00BD0223">
        <w:t>Tabela 9 – Preço médio corrente em reais do litro da gasolina, mês a mês, registrado nos postos de combustíveis do estado de Minas Gerais de 2010 a 2018.</w:t>
      </w:r>
    </w:p>
    <w:tbl>
      <w:tblPr>
        <w:tblW w:w="4904" w:type="pct"/>
        <w:jc w:val="center"/>
        <w:tblCellMar>
          <w:left w:w="70" w:type="dxa"/>
          <w:right w:w="70" w:type="dxa"/>
        </w:tblCellMar>
        <w:tblLook w:val="04A0" w:firstRow="1" w:lastRow="0" w:firstColumn="1" w:lastColumn="0" w:noHBand="0" w:noVBand="1"/>
      </w:tblPr>
      <w:tblGrid>
        <w:gridCol w:w="1283"/>
        <w:gridCol w:w="768"/>
        <w:gridCol w:w="873"/>
        <w:gridCol w:w="873"/>
        <w:gridCol w:w="873"/>
        <w:gridCol w:w="873"/>
        <w:gridCol w:w="873"/>
        <w:gridCol w:w="873"/>
        <w:gridCol w:w="873"/>
        <w:gridCol w:w="873"/>
      </w:tblGrid>
      <w:tr w:rsidR="00BF12D5" w:rsidRPr="001C03A7" w14:paraId="03582259" w14:textId="77777777" w:rsidTr="0039539B">
        <w:trPr>
          <w:trHeight w:val="30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7E230"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14:paraId="2C2D2E6B"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2010</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5C5A96B0"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2011</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1A53B349"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2012</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1811A6BA"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2013</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7835F1AD"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2014</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48857E52"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2015</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444BEF06"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2016</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301D8DDA"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2017</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78D7A169"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2018</w:t>
            </w:r>
          </w:p>
        </w:tc>
      </w:tr>
      <w:tr w:rsidR="00BF12D5" w:rsidRPr="00BD0223" w14:paraId="74AFD2E8" w14:textId="77777777" w:rsidTr="0039539B">
        <w:trPr>
          <w:trHeight w:val="300"/>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672A64B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Janeiro</w:t>
            </w:r>
          </w:p>
        </w:tc>
        <w:tc>
          <w:tcPr>
            <w:tcW w:w="768" w:type="dxa"/>
            <w:tcBorders>
              <w:top w:val="nil"/>
              <w:left w:val="nil"/>
              <w:bottom w:val="single" w:sz="4" w:space="0" w:color="auto"/>
              <w:right w:val="single" w:sz="4" w:space="0" w:color="auto"/>
            </w:tcBorders>
            <w:shd w:val="clear" w:color="auto" w:fill="auto"/>
            <w:noWrap/>
            <w:vAlign w:val="bottom"/>
            <w:hideMark/>
          </w:tcPr>
          <w:p w14:paraId="60664C5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2,525</w:t>
            </w:r>
          </w:p>
        </w:tc>
        <w:tc>
          <w:tcPr>
            <w:tcW w:w="873" w:type="dxa"/>
            <w:tcBorders>
              <w:top w:val="nil"/>
              <w:left w:val="nil"/>
              <w:bottom w:val="single" w:sz="4" w:space="0" w:color="auto"/>
              <w:right w:val="single" w:sz="4" w:space="0" w:color="auto"/>
            </w:tcBorders>
            <w:shd w:val="clear" w:color="auto" w:fill="auto"/>
            <w:noWrap/>
            <w:vAlign w:val="bottom"/>
            <w:hideMark/>
          </w:tcPr>
          <w:p w14:paraId="4F8AB41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2,586</w:t>
            </w:r>
          </w:p>
        </w:tc>
        <w:tc>
          <w:tcPr>
            <w:tcW w:w="873" w:type="dxa"/>
            <w:tcBorders>
              <w:top w:val="nil"/>
              <w:left w:val="nil"/>
              <w:bottom w:val="single" w:sz="4" w:space="0" w:color="auto"/>
              <w:right w:val="single" w:sz="4" w:space="0" w:color="auto"/>
            </w:tcBorders>
            <w:shd w:val="clear" w:color="auto" w:fill="auto"/>
            <w:noWrap/>
            <w:vAlign w:val="bottom"/>
            <w:hideMark/>
          </w:tcPr>
          <w:p w14:paraId="172BA9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2,824</w:t>
            </w:r>
          </w:p>
        </w:tc>
        <w:tc>
          <w:tcPr>
            <w:tcW w:w="873" w:type="dxa"/>
            <w:tcBorders>
              <w:top w:val="nil"/>
              <w:left w:val="nil"/>
              <w:bottom w:val="single" w:sz="4" w:space="0" w:color="auto"/>
              <w:right w:val="single" w:sz="4" w:space="0" w:color="auto"/>
            </w:tcBorders>
            <w:shd w:val="clear" w:color="auto" w:fill="auto"/>
            <w:noWrap/>
            <w:vAlign w:val="bottom"/>
            <w:hideMark/>
          </w:tcPr>
          <w:p w14:paraId="01022C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2,824</w:t>
            </w:r>
          </w:p>
        </w:tc>
        <w:tc>
          <w:tcPr>
            <w:tcW w:w="873" w:type="dxa"/>
            <w:tcBorders>
              <w:top w:val="nil"/>
              <w:left w:val="nil"/>
              <w:bottom w:val="single" w:sz="4" w:space="0" w:color="auto"/>
              <w:right w:val="single" w:sz="4" w:space="0" w:color="auto"/>
            </w:tcBorders>
            <w:shd w:val="clear" w:color="auto" w:fill="auto"/>
            <w:noWrap/>
            <w:vAlign w:val="bottom"/>
            <w:hideMark/>
          </w:tcPr>
          <w:p w14:paraId="4B63828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2,976</w:t>
            </w:r>
          </w:p>
        </w:tc>
        <w:tc>
          <w:tcPr>
            <w:tcW w:w="873" w:type="dxa"/>
            <w:tcBorders>
              <w:top w:val="nil"/>
              <w:left w:val="nil"/>
              <w:bottom w:val="single" w:sz="4" w:space="0" w:color="auto"/>
              <w:right w:val="single" w:sz="4" w:space="0" w:color="auto"/>
            </w:tcBorders>
            <w:shd w:val="clear" w:color="auto" w:fill="auto"/>
            <w:noWrap/>
            <w:vAlign w:val="bottom"/>
            <w:hideMark/>
          </w:tcPr>
          <w:p w14:paraId="4392F95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3,025</w:t>
            </w:r>
          </w:p>
        </w:tc>
        <w:tc>
          <w:tcPr>
            <w:tcW w:w="873" w:type="dxa"/>
            <w:tcBorders>
              <w:top w:val="nil"/>
              <w:left w:val="nil"/>
              <w:bottom w:val="single" w:sz="4" w:space="0" w:color="auto"/>
              <w:right w:val="single" w:sz="4" w:space="0" w:color="auto"/>
            </w:tcBorders>
            <w:shd w:val="clear" w:color="auto" w:fill="auto"/>
            <w:noWrap/>
            <w:vAlign w:val="bottom"/>
            <w:hideMark/>
          </w:tcPr>
          <w:p w14:paraId="787364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3,707</w:t>
            </w:r>
          </w:p>
        </w:tc>
        <w:tc>
          <w:tcPr>
            <w:tcW w:w="873" w:type="dxa"/>
            <w:tcBorders>
              <w:top w:val="nil"/>
              <w:left w:val="nil"/>
              <w:bottom w:val="single" w:sz="4" w:space="0" w:color="auto"/>
              <w:right w:val="single" w:sz="4" w:space="0" w:color="auto"/>
            </w:tcBorders>
            <w:shd w:val="clear" w:color="auto" w:fill="auto"/>
            <w:noWrap/>
            <w:vAlign w:val="bottom"/>
            <w:hideMark/>
          </w:tcPr>
          <w:p w14:paraId="7DF3C36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3,85</w:t>
            </w:r>
          </w:p>
        </w:tc>
        <w:tc>
          <w:tcPr>
            <w:tcW w:w="873" w:type="dxa"/>
            <w:tcBorders>
              <w:top w:val="nil"/>
              <w:left w:val="nil"/>
              <w:bottom w:val="single" w:sz="4" w:space="0" w:color="auto"/>
              <w:right w:val="single" w:sz="4" w:space="0" w:color="auto"/>
            </w:tcBorders>
            <w:shd w:val="clear" w:color="auto" w:fill="auto"/>
            <w:noWrap/>
            <w:vAlign w:val="bottom"/>
            <w:hideMark/>
          </w:tcPr>
          <w:p w14:paraId="0B9BD7B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4,393</w:t>
            </w:r>
          </w:p>
        </w:tc>
      </w:tr>
      <w:tr w:rsidR="00BF12D5" w:rsidRPr="00BD0223" w14:paraId="006CD781" w14:textId="77777777" w:rsidTr="0039539B">
        <w:trPr>
          <w:trHeight w:val="300"/>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183B146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Fevereiro</w:t>
            </w:r>
          </w:p>
        </w:tc>
        <w:tc>
          <w:tcPr>
            <w:tcW w:w="768" w:type="dxa"/>
            <w:tcBorders>
              <w:top w:val="nil"/>
              <w:left w:val="nil"/>
              <w:bottom w:val="single" w:sz="4" w:space="0" w:color="auto"/>
              <w:right w:val="single" w:sz="4" w:space="0" w:color="auto"/>
            </w:tcBorders>
            <w:shd w:val="clear" w:color="auto" w:fill="auto"/>
            <w:noWrap/>
            <w:vAlign w:val="bottom"/>
            <w:hideMark/>
          </w:tcPr>
          <w:p w14:paraId="2D8A92A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2,557</w:t>
            </w:r>
          </w:p>
        </w:tc>
        <w:tc>
          <w:tcPr>
            <w:tcW w:w="873" w:type="dxa"/>
            <w:tcBorders>
              <w:top w:val="nil"/>
              <w:left w:val="nil"/>
              <w:bottom w:val="single" w:sz="4" w:space="0" w:color="auto"/>
              <w:right w:val="single" w:sz="4" w:space="0" w:color="auto"/>
            </w:tcBorders>
            <w:shd w:val="clear" w:color="auto" w:fill="auto"/>
            <w:noWrap/>
            <w:vAlign w:val="bottom"/>
            <w:hideMark/>
          </w:tcPr>
          <w:p w14:paraId="3828E5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2,618</w:t>
            </w:r>
          </w:p>
        </w:tc>
        <w:tc>
          <w:tcPr>
            <w:tcW w:w="873" w:type="dxa"/>
            <w:tcBorders>
              <w:top w:val="nil"/>
              <w:left w:val="nil"/>
              <w:bottom w:val="single" w:sz="4" w:space="0" w:color="auto"/>
              <w:right w:val="single" w:sz="4" w:space="0" w:color="auto"/>
            </w:tcBorders>
            <w:shd w:val="clear" w:color="auto" w:fill="auto"/>
            <w:noWrap/>
            <w:vAlign w:val="bottom"/>
            <w:hideMark/>
          </w:tcPr>
          <w:p w14:paraId="13F2F7D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2,817</w:t>
            </w:r>
          </w:p>
        </w:tc>
        <w:tc>
          <w:tcPr>
            <w:tcW w:w="873" w:type="dxa"/>
            <w:tcBorders>
              <w:top w:val="nil"/>
              <w:left w:val="nil"/>
              <w:bottom w:val="single" w:sz="4" w:space="0" w:color="auto"/>
              <w:right w:val="single" w:sz="4" w:space="0" w:color="auto"/>
            </w:tcBorders>
            <w:shd w:val="clear" w:color="auto" w:fill="auto"/>
            <w:noWrap/>
            <w:vAlign w:val="bottom"/>
            <w:hideMark/>
          </w:tcPr>
          <w:p w14:paraId="6B1A1C7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2,923</w:t>
            </w:r>
          </w:p>
        </w:tc>
        <w:tc>
          <w:tcPr>
            <w:tcW w:w="873" w:type="dxa"/>
            <w:tcBorders>
              <w:top w:val="nil"/>
              <w:left w:val="nil"/>
              <w:bottom w:val="single" w:sz="4" w:space="0" w:color="auto"/>
              <w:right w:val="single" w:sz="4" w:space="0" w:color="auto"/>
            </w:tcBorders>
            <w:shd w:val="clear" w:color="auto" w:fill="auto"/>
            <w:noWrap/>
            <w:vAlign w:val="bottom"/>
            <w:hideMark/>
          </w:tcPr>
          <w:p w14:paraId="63C3C22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2,963</w:t>
            </w:r>
          </w:p>
        </w:tc>
        <w:tc>
          <w:tcPr>
            <w:tcW w:w="873" w:type="dxa"/>
            <w:tcBorders>
              <w:top w:val="nil"/>
              <w:left w:val="nil"/>
              <w:bottom w:val="single" w:sz="4" w:space="0" w:color="auto"/>
              <w:right w:val="single" w:sz="4" w:space="0" w:color="auto"/>
            </w:tcBorders>
            <w:shd w:val="clear" w:color="auto" w:fill="auto"/>
            <w:noWrap/>
            <w:vAlign w:val="bottom"/>
            <w:hideMark/>
          </w:tcPr>
          <w:p w14:paraId="67FC047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3,304</w:t>
            </w:r>
          </w:p>
        </w:tc>
        <w:tc>
          <w:tcPr>
            <w:tcW w:w="873" w:type="dxa"/>
            <w:tcBorders>
              <w:top w:val="nil"/>
              <w:left w:val="nil"/>
              <w:bottom w:val="single" w:sz="4" w:space="0" w:color="auto"/>
              <w:right w:val="single" w:sz="4" w:space="0" w:color="auto"/>
            </w:tcBorders>
            <w:shd w:val="clear" w:color="auto" w:fill="auto"/>
            <w:noWrap/>
            <w:vAlign w:val="bottom"/>
            <w:hideMark/>
          </w:tcPr>
          <w:p w14:paraId="4A435EA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3,741</w:t>
            </w:r>
          </w:p>
        </w:tc>
        <w:tc>
          <w:tcPr>
            <w:tcW w:w="873" w:type="dxa"/>
            <w:tcBorders>
              <w:top w:val="nil"/>
              <w:left w:val="nil"/>
              <w:bottom w:val="single" w:sz="4" w:space="0" w:color="auto"/>
              <w:right w:val="single" w:sz="4" w:space="0" w:color="auto"/>
            </w:tcBorders>
            <w:shd w:val="clear" w:color="auto" w:fill="auto"/>
            <w:noWrap/>
            <w:vAlign w:val="bottom"/>
            <w:hideMark/>
          </w:tcPr>
          <w:p w14:paraId="15942E2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3,827</w:t>
            </w:r>
          </w:p>
        </w:tc>
        <w:tc>
          <w:tcPr>
            <w:tcW w:w="873" w:type="dxa"/>
            <w:tcBorders>
              <w:top w:val="nil"/>
              <w:left w:val="nil"/>
              <w:bottom w:val="single" w:sz="4" w:space="0" w:color="auto"/>
              <w:right w:val="single" w:sz="4" w:space="0" w:color="auto"/>
            </w:tcBorders>
            <w:shd w:val="clear" w:color="auto" w:fill="auto"/>
            <w:noWrap/>
            <w:vAlign w:val="bottom"/>
            <w:hideMark/>
          </w:tcPr>
          <w:p w14:paraId="70BC3C9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4,438</w:t>
            </w:r>
          </w:p>
        </w:tc>
      </w:tr>
      <w:tr w:rsidR="00BF12D5" w:rsidRPr="00BD0223" w14:paraId="53D145B1" w14:textId="77777777" w:rsidTr="0039539B">
        <w:trPr>
          <w:trHeight w:val="300"/>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6A942C5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Março</w:t>
            </w:r>
          </w:p>
        </w:tc>
        <w:tc>
          <w:tcPr>
            <w:tcW w:w="768" w:type="dxa"/>
            <w:tcBorders>
              <w:top w:val="nil"/>
              <w:left w:val="nil"/>
              <w:bottom w:val="single" w:sz="4" w:space="0" w:color="auto"/>
              <w:right w:val="single" w:sz="4" w:space="0" w:color="auto"/>
            </w:tcBorders>
            <w:shd w:val="clear" w:color="auto" w:fill="auto"/>
            <w:noWrap/>
            <w:vAlign w:val="bottom"/>
            <w:hideMark/>
          </w:tcPr>
          <w:p w14:paraId="517582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2,532</w:t>
            </w:r>
          </w:p>
        </w:tc>
        <w:tc>
          <w:tcPr>
            <w:tcW w:w="873" w:type="dxa"/>
            <w:tcBorders>
              <w:top w:val="nil"/>
              <w:left w:val="nil"/>
              <w:bottom w:val="single" w:sz="4" w:space="0" w:color="auto"/>
              <w:right w:val="single" w:sz="4" w:space="0" w:color="auto"/>
            </w:tcBorders>
            <w:shd w:val="clear" w:color="auto" w:fill="auto"/>
            <w:noWrap/>
            <w:vAlign w:val="bottom"/>
            <w:hideMark/>
          </w:tcPr>
          <w:p w14:paraId="2426358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2,672</w:t>
            </w:r>
          </w:p>
        </w:tc>
        <w:tc>
          <w:tcPr>
            <w:tcW w:w="873" w:type="dxa"/>
            <w:tcBorders>
              <w:top w:val="nil"/>
              <w:left w:val="nil"/>
              <w:bottom w:val="single" w:sz="4" w:space="0" w:color="auto"/>
              <w:right w:val="single" w:sz="4" w:space="0" w:color="auto"/>
            </w:tcBorders>
            <w:shd w:val="clear" w:color="auto" w:fill="auto"/>
            <w:noWrap/>
            <w:vAlign w:val="bottom"/>
            <w:hideMark/>
          </w:tcPr>
          <w:p w14:paraId="68E048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2,819</w:t>
            </w:r>
          </w:p>
        </w:tc>
        <w:tc>
          <w:tcPr>
            <w:tcW w:w="873" w:type="dxa"/>
            <w:tcBorders>
              <w:top w:val="nil"/>
              <w:left w:val="nil"/>
              <w:bottom w:val="single" w:sz="4" w:space="0" w:color="auto"/>
              <w:right w:val="single" w:sz="4" w:space="0" w:color="auto"/>
            </w:tcBorders>
            <w:shd w:val="clear" w:color="auto" w:fill="auto"/>
            <w:noWrap/>
            <w:vAlign w:val="bottom"/>
            <w:hideMark/>
          </w:tcPr>
          <w:p w14:paraId="7F57674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2,916</w:t>
            </w:r>
          </w:p>
        </w:tc>
        <w:tc>
          <w:tcPr>
            <w:tcW w:w="873" w:type="dxa"/>
            <w:tcBorders>
              <w:top w:val="nil"/>
              <w:left w:val="nil"/>
              <w:bottom w:val="single" w:sz="4" w:space="0" w:color="auto"/>
              <w:right w:val="single" w:sz="4" w:space="0" w:color="auto"/>
            </w:tcBorders>
            <w:shd w:val="clear" w:color="auto" w:fill="auto"/>
            <w:noWrap/>
            <w:vAlign w:val="bottom"/>
            <w:hideMark/>
          </w:tcPr>
          <w:p w14:paraId="5721DC5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2,986</w:t>
            </w:r>
          </w:p>
        </w:tc>
        <w:tc>
          <w:tcPr>
            <w:tcW w:w="873" w:type="dxa"/>
            <w:tcBorders>
              <w:top w:val="nil"/>
              <w:left w:val="nil"/>
              <w:bottom w:val="single" w:sz="4" w:space="0" w:color="auto"/>
              <w:right w:val="single" w:sz="4" w:space="0" w:color="auto"/>
            </w:tcBorders>
            <w:shd w:val="clear" w:color="auto" w:fill="auto"/>
            <w:noWrap/>
            <w:vAlign w:val="bottom"/>
            <w:hideMark/>
          </w:tcPr>
          <w:p w14:paraId="490EF5C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3,353</w:t>
            </w:r>
          </w:p>
        </w:tc>
        <w:tc>
          <w:tcPr>
            <w:tcW w:w="873" w:type="dxa"/>
            <w:tcBorders>
              <w:top w:val="nil"/>
              <w:left w:val="nil"/>
              <w:bottom w:val="single" w:sz="4" w:space="0" w:color="auto"/>
              <w:right w:val="single" w:sz="4" w:space="0" w:color="auto"/>
            </w:tcBorders>
            <w:shd w:val="clear" w:color="auto" w:fill="auto"/>
            <w:noWrap/>
            <w:vAlign w:val="bottom"/>
            <w:hideMark/>
          </w:tcPr>
          <w:p w14:paraId="5DF8D7D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3,748</w:t>
            </w:r>
          </w:p>
        </w:tc>
        <w:tc>
          <w:tcPr>
            <w:tcW w:w="873" w:type="dxa"/>
            <w:tcBorders>
              <w:top w:val="nil"/>
              <w:left w:val="nil"/>
              <w:bottom w:val="single" w:sz="4" w:space="0" w:color="auto"/>
              <w:right w:val="single" w:sz="4" w:space="0" w:color="auto"/>
            </w:tcBorders>
            <w:shd w:val="clear" w:color="auto" w:fill="auto"/>
            <w:noWrap/>
            <w:vAlign w:val="bottom"/>
            <w:hideMark/>
          </w:tcPr>
          <w:p w14:paraId="2E7E5F6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3,752</w:t>
            </w:r>
          </w:p>
        </w:tc>
        <w:tc>
          <w:tcPr>
            <w:tcW w:w="873" w:type="dxa"/>
            <w:tcBorders>
              <w:top w:val="nil"/>
              <w:left w:val="nil"/>
              <w:bottom w:val="single" w:sz="4" w:space="0" w:color="auto"/>
              <w:right w:val="single" w:sz="4" w:space="0" w:color="auto"/>
            </w:tcBorders>
            <w:shd w:val="clear" w:color="auto" w:fill="auto"/>
            <w:noWrap/>
            <w:vAlign w:val="bottom"/>
            <w:hideMark/>
          </w:tcPr>
          <w:p w14:paraId="411EC0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4,44</w:t>
            </w:r>
          </w:p>
        </w:tc>
      </w:tr>
      <w:tr w:rsidR="00BF12D5" w:rsidRPr="00BD0223" w14:paraId="4F108F9C" w14:textId="77777777" w:rsidTr="0039539B">
        <w:trPr>
          <w:trHeight w:val="300"/>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1E6B89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Abril</w:t>
            </w:r>
          </w:p>
        </w:tc>
        <w:tc>
          <w:tcPr>
            <w:tcW w:w="768" w:type="dxa"/>
            <w:tcBorders>
              <w:top w:val="nil"/>
              <w:left w:val="nil"/>
              <w:bottom w:val="single" w:sz="4" w:space="0" w:color="auto"/>
              <w:right w:val="single" w:sz="4" w:space="0" w:color="auto"/>
            </w:tcBorders>
            <w:shd w:val="clear" w:color="auto" w:fill="auto"/>
            <w:noWrap/>
            <w:vAlign w:val="bottom"/>
            <w:hideMark/>
          </w:tcPr>
          <w:p w14:paraId="1E8C397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2,498</w:t>
            </w:r>
          </w:p>
        </w:tc>
        <w:tc>
          <w:tcPr>
            <w:tcW w:w="873" w:type="dxa"/>
            <w:tcBorders>
              <w:top w:val="nil"/>
              <w:left w:val="nil"/>
              <w:bottom w:val="single" w:sz="4" w:space="0" w:color="auto"/>
              <w:right w:val="single" w:sz="4" w:space="0" w:color="auto"/>
            </w:tcBorders>
            <w:shd w:val="clear" w:color="auto" w:fill="auto"/>
            <w:noWrap/>
            <w:vAlign w:val="bottom"/>
            <w:hideMark/>
          </w:tcPr>
          <w:p w14:paraId="0485386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2,866</w:t>
            </w:r>
          </w:p>
        </w:tc>
        <w:tc>
          <w:tcPr>
            <w:tcW w:w="873" w:type="dxa"/>
            <w:tcBorders>
              <w:top w:val="nil"/>
              <w:left w:val="nil"/>
              <w:bottom w:val="single" w:sz="4" w:space="0" w:color="auto"/>
              <w:right w:val="single" w:sz="4" w:space="0" w:color="auto"/>
            </w:tcBorders>
            <w:shd w:val="clear" w:color="auto" w:fill="auto"/>
            <w:noWrap/>
            <w:vAlign w:val="bottom"/>
            <w:hideMark/>
          </w:tcPr>
          <w:p w14:paraId="05D1039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2,823</w:t>
            </w:r>
          </w:p>
        </w:tc>
        <w:tc>
          <w:tcPr>
            <w:tcW w:w="873" w:type="dxa"/>
            <w:tcBorders>
              <w:top w:val="nil"/>
              <w:left w:val="nil"/>
              <w:bottom w:val="single" w:sz="4" w:space="0" w:color="auto"/>
              <w:right w:val="single" w:sz="4" w:space="0" w:color="auto"/>
            </w:tcBorders>
            <w:shd w:val="clear" w:color="auto" w:fill="auto"/>
            <w:noWrap/>
            <w:vAlign w:val="bottom"/>
            <w:hideMark/>
          </w:tcPr>
          <w:p w14:paraId="3E8442C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2,912</w:t>
            </w:r>
          </w:p>
        </w:tc>
        <w:tc>
          <w:tcPr>
            <w:tcW w:w="873" w:type="dxa"/>
            <w:tcBorders>
              <w:top w:val="nil"/>
              <w:left w:val="nil"/>
              <w:bottom w:val="single" w:sz="4" w:space="0" w:color="auto"/>
              <w:right w:val="single" w:sz="4" w:space="0" w:color="auto"/>
            </w:tcBorders>
            <w:shd w:val="clear" w:color="auto" w:fill="auto"/>
            <w:noWrap/>
            <w:vAlign w:val="bottom"/>
            <w:hideMark/>
          </w:tcPr>
          <w:p w14:paraId="730199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2,988</w:t>
            </w:r>
          </w:p>
        </w:tc>
        <w:tc>
          <w:tcPr>
            <w:tcW w:w="873" w:type="dxa"/>
            <w:tcBorders>
              <w:top w:val="nil"/>
              <w:left w:val="nil"/>
              <w:bottom w:val="single" w:sz="4" w:space="0" w:color="auto"/>
              <w:right w:val="single" w:sz="4" w:space="0" w:color="auto"/>
            </w:tcBorders>
            <w:shd w:val="clear" w:color="auto" w:fill="auto"/>
            <w:noWrap/>
            <w:vAlign w:val="bottom"/>
            <w:hideMark/>
          </w:tcPr>
          <w:p w14:paraId="1F73C7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3,373</w:t>
            </w:r>
          </w:p>
        </w:tc>
        <w:tc>
          <w:tcPr>
            <w:tcW w:w="873" w:type="dxa"/>
            <w:tcBorders>
              <w:top w:val="nil"/>
              <w:left w:val="nil"/>
              <w:bottom w:val="single" w:sz="4" w:space="0" w:color="auto"/>
              <w:right w:val="single" w:sz="4" w:space="0" w:color="auto"/>
            </w:tcBorders>
            <w:shd w:val="clear" w:color="auto" w:fill="auto"/>
            <w:noWrap/>
            <w:vAlign w:val="bottom"/>
            <w:hideMark/>
          </w:tcPr>
          <w:p w14:paraId="37B073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3,74</w:t>
            </w:r>
          </w:p>
        </w:tc>
        <w:tc>
          <w:tcPr>
            <w:tcW w:w="873" w:type="dxa"/>
            <w:tcBorders>
              <w:top w:val="nil"/>
              <w:left w:val="nil"/>
              <w:bottom w:val="single" w:sz="4" w:space="0" w:color="auto"/>
              <w:right w:val="single" w:sz="4" w:space="0" w:color="auto"/>
            </w:tcBorders>
            <w:shd w:val="clear" w:color="auto" w:fill="auto"/>
            <w:noWrap/>
            <w:vAlign w:val="bottom"/>
            <w:hideMark/>
          </w:tcPr>
          <w:p w14:paraId="0740D3F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w:t>
            </w:r>
          </w:p>
        </w:tc>
        <w:tc>
          <w:tcPr>
            <w:tcW w:w="873" w:type="dxa"/>
            <w:tcBorders>
              <w:top w:val="nil"/>
              <w:left w:val="nil"/>
              <w:bottom w:val="single" w:sz="4" w:space="0" w:color="auto"/>
              <w:right w:val="single" w:sz="4" w:space="0" w:color="auto"/>
            </w:tcBorders>
            <w:shd w:val="clear" w:color="auto" w:fill="auto"/>
            <w:noWrap/>
            <w:vAlign w:val="bottom"/>
            <w:hideMark/>
          </w:tcPr>
          <w:p w14:paraId="5D1022B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4,486</w:t>
            </w:r>
          </w:p>
        </w:tc>
      </w:tr>
      <w:tr w:rsidR="00BF12D5" w:rsidRPr="00BD0223" w14:paraId="2DCC79BA" w14:textId="77777777" w:rsidTr="0039539B">
        <w:trPr>
          <w:trHeight w:val="300"/>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496238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Maio</w:t>
            </w:r>
          </w:p>
        </w:tc>
        <w:tc>
          <w:tcPr>
            <w:tcW w:w="768" w:type="dxa"/>
            <w:tcBorders>
              <w:top w:val="nil"/>
              <w:left w:val="nil"/>
              <w:bottom w:val="single" w:sz="4" w:space="0" w:color="auto"/>
              <w:right w:val="single" w:sz="4" w:space="0" w:color="auto"/>
            </w:tcBorders>
            <w:shd w:val="clear" w:color="auto" w:fill="auto"/>
            <w:noWrap/>
            <w:vAlign w:val="bottom"/>
            <w:hideMark/>
          </w:tcPr>
          <w:p w14:paraId="5816B9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2,495</w:t>
            </w:r>
          </w:p>
        </w:tc>
        <w:tc>
          <w:tcPr>
            <w:tcW w:w="873" w:type="dxa"/>
            <w:tcBorders>
              <w:top w:val="nil"/>
              <w:left w:val="nil"/>
              <w:bottom w:val="single" w:sz="4" w:space="0" w:color="auto"/>
              <w:right w:val="single" w:sz="4" w:space="0" w:color="auto"/>
            </w:tcBorders>
            <w:shd w:val="clear" w:color="auto" w:fill="auto"/>
            <w:noWrap/>
            <w:vAlign w:val="bottom"/>
            <w:hideMark/>
          </w:tcPr>
          <w:p w14:paraId="7ADC8FF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2,922</w:t>
            </w:r>
          </w:p>
        </w:tc>
        <w:tc>
          <w:tcPr>
            <w:tcW w:w="873" w:type="dxa"/>
            <w:tcBorders>
              <w:top w:val="nil"/>
              <w:left w:val="nil"/>
              <w:bottom w:val="single" w:sz="4" w:space="0" w:color="auto"/>
              <w:right w:val="single" w:sz="4" w:space="0" w:color="auto"/>
            </w:tcBorders>
            <w:shd w:val="clear" w:color="auto" w:fill="auto"/>
            <w:noWrap/>
            <w:vAlign w:val="bottom"/>
            <w:hideMark/>
          </w:tcPr>
          <w:p w14:paraId="7A8C945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2,807</w:t>
            </w:r>
          </w:p>
        </w:tc>
        <w:tc>
          <w:tcPr>
            <w:tcW w:w="873" w:type="dxa"/>
            <w:tcBorders>
              <w:top w:val="nil"/>
              <w:left w:val="nil"/>
              <w:bottom w:val="single" w:sz="4" w:space="0" w:color="auto"/>
              <w:right w:val="single" w:sz="4" w:space="0" w:color="auto"/>
            </w:tcBorders>
            <w:shd w:val="clear" w:color="auto" w:fill="auto"/>
            <w:noWrap/>
            <w:vAlign w:val="bottom"/>
            <w:hideMark/>
          </w:tcPr>
          <w:p w14:paraId="7E2450C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2,905</w:t>
            </w:r>
          </w:p>
        </w:tc>
        <w:tc>
          <w:tcPr>
            <w:tcW w:w="873" w:type="dxa"/>
            <w:tcBorders>
              <w:top w:val="nil"/>
              <w:left w:val="nil"/>
              <w:bottom w:val="single" w:sz="4" w:space="0" w:color="auto"/>
              <w:right w:val="single" w:sz="4" w:space="0" w:color="auto"/>
            </w:tcBorders>
            <w:shd w:val="clear" w:color="auto" w:fill="auto"/>
            <w:noWrap/>
            <w:vAlign w:val="bottom"/>
            <w:hideMark/>
          </w:tcPr>
          <w:p w14:paraId="523BED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2,978</w:t>
            </w:r>
          </w:p>
        </w:tc>
        <w:tc>
          <w:tcPr>
            <w:tcW w:w="873" w:type="dxa"/>
            <w:tcBorders>
              <w:top w:val="nil"/>
              <w:left w:val="nil"/>
              <w:bottom w:val="single" w:sz="4" w:space="0" w:color="auto"/>
              <w:right w:val="single" w:sz="4" w:space="0" w:color="auto"/>
            </w:tcBorders>
            <w:shd w:val="clear" w:color="auto" w:fill="auto"/>
            <w:noWrap/>
            <w:vAlign w:val="bottom"/>
            <w:hideMark/>
          </w:tcPr>
          <w:p w14:paraId="6021E0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3,358</w:t>
            </w:r>
          </w:p>
        </w:tc>
        <w:tc>
          <w:tcPr>
            <w:tcW w:w="873" w:type="dxa"/>
            <w:tcBorders>
              <w:top w:val="nil"/>
              <w:left w:val="nil"/>
              <w:bottom w:val="single" w:sz="4" w:space="0" w:color="auto"/>
              <w:right w:val="single" w:sz="4" w:space="0" w:color="auto"/>
            </w:tcBorders>
            <w:shd w:val="clear" w:color="auto" w:fill="auto"/>
            <w:noWrap/>
            <w:vAlign w:val="bottom"/>
            <w:hideMark/>
          </w:tcPr>
          <w:p w14:paraId="0EA3E4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3,685</w:t>
            </w:r>
          </w:p>
        </w:tc>
        <w:tc>
          <w:tcPr>
            <w:tcW w:w="873" w:type="dxa"/>
            <w:tcBorders>
              <w:top w:val="nil"/>
              <w:left w:val="nil"/>
              <w:bottom w:val="single" w:sz="4" w:space="0" w:color="auto"/>
              <w:right w:val="single" w:sz="4" w:space="0" w:color="auto"/>
            </w:tcBorders>
            <w:shd w:val="clear" w:color="auto" w:fill="auto"/>
            <w:noWrap/>
            <w:vAlign w:val="bottom"/>
            <w:hideMark/>
          </w:tcPr>
          <w:p w14:paraId="408EE8C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3,696</w:t>
            </w:r>
          </w:p>
        </w:tc>
        <w:tc>
          <w:tcPr>
            <w:tcW w:w="873" w:type="dxa"/>
            <w:tcBorders>
              <w:top w:val="nil"/>
              <w:left w:val="nil"/>
              <w:bottom w:val="single" w:sz="4" w:space="0" w:color="auto"/>
              <w:right w:val="single" w:sz="4" w:space="0" w:color="auto"/>
            </w:tcBorders>
            <w:shd w:val="clear" w:color="auto" w:fill="auto"/>
            <w:noWrap/>
            <w:vAlign w:val="bottom"/>
            <w:hideMark/>
          </w:tcPr>
          <w:p w14:paraId="458581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4,569</w:t>
            </w:r>
          </w:p>
        </w:tc>
      </w:tr>
      <w:tr w:rsidR="00BF12D5" w:rsidRPr="00BD0223" w14:paraId="4FABAA1E" w14:textId="77777777" w:rsidTr="0039539B">
        <w:trPr>
          <w:trHeight w:val="300"/>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1866B10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Junho</w:t>
            </w:r>
          </w:p>
        </w:tc>
        <w:tc>
          <w:tcPr>
            <w:tcW w:w="768" w:type="dxa"/>
            <w:tcBorders>
              <w:top w:val="nil"/>
              <w:left w:val="nil"/>
              <w:bottom w:val="single" w:sz="4" w:space="0" w:color="auto"/>
              <w:right w:val="single" w:sz="4" w:space="0" w:color="auto"/>
            </w:tcBorders>
            <w:shd w:val="clear" w:color="auto" w:fill="auto"/>
            <w:noWrap/>
            <w:vAlign w:val="bottom"/>
            <w:hideMark/>
          </w:tcPr>
          <w:p w14:paraId="36A25F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2,481</w:t>
            </w:r>
          </w:p>
        </w:tc>
        <w:tc>
          <w:tcPr>
            <w:tcW w:w="873" w:type="dxa"/>
            <w:tcBorders>
              <w:top w:val="nil"/>
              <w:left w:val="nil"/>
              <w:bottom w:val="single" w:sz="4" w:space="0" w:color="auto"/>
              <w:right w:val="single" w:sz="4" w:space="0" w:color="auto"/>
            </w:tcBorders>
            <w:shd w:val="clear" w:color="auto" w:fill="auto"/>
            <w:noWrap/>
            <w:vAlign w:val="bottom"/>
            <w:hideMark/>
          </w:tcPr>
          <w:p w14:paraId="0E2E7C7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2,823</w:t>
            </w:r>
          </w:p>
        </w:tc>
        <w:tc>
          <w:tcPr>
            <w:tcW w:w="873" w:type="dxa"/>
            <w:tcBorders>
              <w:top w:val="nil"/>
              <w:left w:val="nil"/>
              <w:bottom w:val="single" w:sz="4" w:space="0" w:color="auto"/>
              <w:right w:val="single" w:sz="4" w:space="0" w:color="auto"/>
            </w:tcBorders>
            <w:shd w:val="clear" w:color="auto" w:fill="auto"/>
            <w:noWrap/>
            <w:vAlign w:val="bottom"/>
            <w:hideMark/>
          </w:tcPr>
          <w:p w14:paraId="286AA2C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2,806</w:t>
            </w:r>
          </w:p>
        </w:tc>
        <w:tc>
          <w:tcPr>
            <w:tcW w:w="873" w:type="dxa"/>
            <w:tcBorders>
              <w:top w:val="nil"/>
              <w:left w:val="nil"/>
              <w:bottom w:val="single" w:sz="4" w:space="0" w:color="auto"/>
              <w:right w:val="single" w:sz="4" w:space="0" w:color="auto"/>
            </w:tcBorders>
            <w:shd w:val="clear" w:color="auto" w:fill="auto"/>
            <w:noWrap/>
            <w:vAlign w:val="bottom"/>
            <w:hideMark/>
          </w:tcPr>
          <w:p w14:paraId="1DF263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2,903</w:t>
            </w:r>
          </w:p>
        </w:tc>
        <w:tc>
          <w:tcPr>
            <w:tcW w:w="873" w:type="dxa"/>
            <w:tcBorders>
              <w:top w:val="nil"/>
              <w:left w:val="nil"/>
              <w:bottom w:val="single" w:sz="4" w:space="0" w:color="auto"/>
              <w:right w:val="single" w:sz="4" w:space="0" w:color="auto"/>
            </w:tcBorders>
            <w:shd w:val="clear" w:color="auto" w:fill="auto"/>
            <w:noWrap/>
            <w:vAlign w:val="bottom"/>
            <w:hideMark/>
          </w:tcPr>
          <w:p w14:paraId="76D9ADE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2,952</w:t>
            </w:r>
          </w:p>
        </w:tc>
        <w:tc>
          <w:tcPr>
            <w:tcW w:w="873" w:type="dxa"/>
            <w:tcBorders>
              <w:top w:val="nil"/>
              <w:left w:val="nil"/>
              <w:bottom w:val="single" w:sz="4" w:space="0" w:color="auto"/>
              <w:right w:val="single" w:sz="4" w:space="0" w:color="auto"/>
            </w:tcBorders>
            <w:shd w:val="clear" w:color="auto" w:fill="auto"/>
            <w:noWrap/>
            <w:vAlign w:val="bottom"/>
            <w:hideMark/>
          </w:tcPr>
          <w:p w14:paraId="17F2A5E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3,366</w:t>
            </w:r>
          </w:p>
        </w:tc>
        <w:tc>
          <w:tcPr>
            <w:tcW w:w="873" w:type="dxa"/>
            <w:tcBorders>
              <w:top w:val="nil"/>
              <w:left w:val="nil"/>
              <w:bottom w:val="single" w:sz="4" w:space="0" w:color="auto"/>
              <w:right w:val="single" w:sz="4" w:space="0" w:color="auto"/>
            </w:tcBorders>
            <w:shd w:val="clear" w:color="auto" w:fill="auto"/>
            <w:noWrap/>
            <w:vAlign w:val="bottom"/>
            <w:hideMark/>
          </w:tcPr>
          <w:p w14:paraId="52D3875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3,683</w:t>
            </w:r>
          </w:p>
        </w:tc>
        <w:tc>
          <w:tcPr>
            <w:tcW w:w="873" w:type="dxa"/>
            <w:tcBorders>
              <w:top w:val="nil"/>
              <w:left w:val="nil"/>
              <w:bottom w:val="single" w:sz="4" w:space="0" w:color="auto"/>
              <w:right w:val="single" w:sz="4" w:space="0" w:color="auto"/>
            </w:tcBorders>
            <w:shd w:val="clear" w:color="auto" w:fill="auto"/>
            <w:noWrap/>
            <w:vAlign w:val="bottom"/>
            <w:hideMark/>
          </w:tcPr>
          <w:p w14:paraId="17FB776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3,618</w:t>
            </w:r>
          </w:p>
        </w:tc>
        <w:tc>
          <w:tcPr>
            <w:tcW w:w="873" w:type="dxa"/>
            <w:tcBorders>
              <w:top w:val="nil"/>
              <w:left w:val="nil"/>
              <w:bottom w:val="single" w:sz="4" w:space="0" w:color="auto"/>
              <w:right w:val="single" w:sz="4" w:space="0" w:color="auto"/>
            </w:tcBorders>
            <w:shd w:val="clear" w:color="auto" w:fill="auto"/>
            <w:noWrap/>
            <w:vAlign w:val="bottom"/>
            <w:hideMark/>
          </w:tcPr>
          <w:p w14:paraId="251FCA9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4,86</w:t>
            </w:r>
          </w:p>
        </w:tc>
      </w:tr>
      <w:tr w:rsidR="00BF12D5" w:rsidRPr="00BD0223" w14:paraId="52DBE8D4" w14:textId="77777777" w:rsidTr="0039539B">
        <w:trPr>
          <w:trHeight w:val="300"/>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07AA21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Julho</w:t>
            </w:r>
          </w:p>
        </w:tc>
        <w:tc>
          <w:tcPr>
            <w:tcW w:w="768" w:type="dxa"/>
            <w:tcBorders>
              <w:top w:val="nil"/>
              <w:left w:val="nil"/>
              <w:bottom w:val="single" w:sz="4" w:space="0" w:color="auto"/>
              <w:right w:val="single" w:sz="4" w:space="0" w:color="auto"/>
            </w:tcBorders>
            <w:shd w:val="clear" w:color="auto" w:fill="auto"/>
            <w:noWrap/>
            <w:vAlign w:val="bottom"/>
            <w:hideMark/>
          </w:tcPr>
          <w:p w14:paraId="24D90A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2,498</w:t>
            </w:r>
          </w:p>
        </w:tc>
        <w:tc>
          <w:tcPr>
            <w:tcW w:w="873" w:type="dxa"/>
            <w:tcBorders>
              <w:top w:val="nil"/>
              <w:left w:val="nil"/>
              <w:bottom w:val="single" w:sz="4" w:space="0" w:color="auto"/>
              <w:right w:val="single" w:sz="4" w:space="0" w:color="auto"/>
            </w:tcBorders>
            <w:shd w:val="clear" w:color="auto" w:fill="auto"/>
            <w:noWrap/>
            <w:vAlign w:val="bottom"/>
            <w:hideMark/>
          </w:tcPr>
          <w:p w14:paraId="357222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2,807</w:t>
            </w:r>
          </w:p>
        </w:tc>
        <w:tc>
          <w:tcPr>
            <w:tcW w:w="873" w:type="dxa"/>
            <w:tcBorders>
              <w:top w:val="nil"/>
              <w:left w:val="nil"/>
              <w:bottom w:val="single" w:sz="4" w:space="0" w:color="auto"/>
              <w:right w:val="single" w:sz="4" w:space="0" w:color="auto"/>
            </w:tcBorders>
            <w:shd w:val="clear" w:color="auto" w:fill="auto"/>
            <w:noWrap/>
            <w:vAlign w:val="bottom"/>
            <w:hideMark/>
          </w:tcPr>
          <w:p w14:paraId="76973BF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2,803</w:t>
            </w:r>
          </w:p>
        </w:tc>
        <w:tc>
          <w:tcPr>
            <w:tcW w:w="873" w:type="dxa"/>
            <w:tcBorders>
              <w:top w:val="nil"/>
              <w:left w:val="nil"/>
              <w:bottom w:val="single" w:sz="4" w:space="0" w:color="auto"/>
              <w:right w:val="single" w:sz="4" w:space="0" w:color="auto"/>
            </w:tcBorders>
            <w:shd w:val="clear" w:color="auto" w:fill="auto"/>
            <w:noWrap/>
            <w:vAlign w:val="bottom"/>
            <w:hideMark/>
          </w:tcPr>
          <w:p w14:paraId="22E393F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2,883</w:t>
            </w:r>
          </w:p>
        </w:tc>
        <w:tc>
          <w:tcPr>
            <w:tcW w:w="873" w:type="dxa"/>
            <w:tcBorders>
              <w:top w:val="nil"/>
              <w:left w:val="nil"/>
              <w:bottom w:val="single" w:sz="4" w:space="0" w:color="auto"/>
              <w:right w:val="single" w:sz="4" w:space="0" w:color="auto"/>
            </w:tcBorders>
            <w:shd w:val="clear" w:color="auto" w:fill="auto"/>
            <w:noWrap/>
            <w:vAlign w:val="bottom"/>
            <w:hideMark/>
          </w:tcPr>
          <w:p w14:paraId="0FAF8D7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2,969</w:t>
            </w:r>
          </w:p>
        </w:tc>
        <w:tc>
          <w:tcPr>
            <w:tcW w:w="873" w:type="dxa"/>
            <w:tcBorders>
              <w:top w:val="nil"/>
              <w:left w:val="nil"/>
              <w:bottom w:val="single" w:sz="4" w:space="0" w:color="auto"/>
              <w:right w:val="single" w:sz="4" w:space="0" w:color="auto"/>
            </w:tcBorders>
            <w:shd w:val="clear" w:color="auto" w:fill="auto"/>
            <w:noWrap/>
            <w:vAlign w:val="bottom"/>
            <w:hideMark/>
          </w:tcPr>
          <w:p w14:paraId="5CD222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3,35</w:t>
            </w:r>
          </w:p>
        </w:tc>
        <w:tc>
          <w:tcPr>
            <w:tcW w:w="873" w:type="dxa"/>
            <w:tcBorders>
              <w:top w:val="nil"/>
              <w:left w:val="nil"/>
              <w:bottom w:val="single" w:sz="4" w:space="0" w:color="auto"/>
              <w:right w:val="single" w:sz="4" w:space="0" w:color="auto"/>
            </w:tcBorders>
            <w:shd w:val="clear" w:color="auto" w:fill="auto"/>
            <w:noWrap/>
            <w:vAlign w:val="bottom"/>
            <w:hideMark/>
          </w:tcPr>
          <w:p w14:paraId="048D40B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3,681</w:t>
            </w:r>
          </w:p>
        </w:tc>
        <w:tc>
          <w:tcPr>
            <w:tcW w:w="873" w:type="dxa"/>
            <w:tcBorders>
              <w:top w:val="nil"/>
              <w:left w:val="nil"/>
              <w:bottom w:val="single" w:sz="4" w:space="0" w:color="auto"/>
              <w:right w:val="single" w:sz="4" w:space="0" w:color="auto"/>
            </w:tcBorders>
            <w:shd w:val="clear" w:color="auto" w:fill="auto"/>
            <w:noWrap/>
            <w:vAlign w:val="bottom"/>
            <w:hideMark/>
          </w:tcPr>
          <w:p w14:paraId="39F8F2E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3,661</w:t>
            </w:r>
          </w:p>
        </w:tc>
        <w:tc>
          <w:tcPr>
            <w:tcW w:w="873" w:type="dxa"/>
            <w:tcBorders>
              <w:top w:val="nil"/>
              <w:left w:val="nil"/>
              <w:bottom w:val="single" w:sz="4" w:space="0" w:color="auto"/>
              <w:right w:val="single" w:sz="4" w:space="0" w:color="auto"/>
            </w:tcBorders>
            <w:shd w:val="clear" w:color="auto" w:fill="auto"/>
            <w:noWrap/>
            <w:vAlign w:val="bottom"/>
            <w:hideMark/>
          </w:tcPr>
          <w:p w14:paraId="1E8AEE1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4,794</w:t>
            </w:r>
          </w:p>
        </w:tc>
      </w:tr>
      <w:tr w:rsidR="00BF12D5" w:rsidRPr="00BD0223" w14:paraId="2B08EC3B" w14:textId="77777777" w:rsidTr="0039539B">
        <w:trPr>
          <w:trHeight w:val="300"/>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597FE1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Agosto</w:t>
            </w:r>
          </w:p>
        </w:tc>
        <w:tc>
          <w:tcPr>
            <w:tcW w:w="768" w:type="dxa"/>
            <w:tcBorders>
              <w:top w:val="nil"/>
              <w:left w:val="nil"/>
              <w:bottom w:val="single" w:sz="4" w:space="0" w:color="auto"/>
              <w:right w:val="single" w:sz="4" w:space="0" w:color="auto"/>
            </w:tcBorders>
            <w:shd w:val="clear" w:color="auto" w:fill="auto"/>
            <w:noWrap/>
            <w:vAlign w:val="bottom"/>
            <w:hideMark/>
          </w:tcPr>
          <w:p w14:paraId="19E7FB5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2,501</w:t>
            </w:r>
          </w:p>
        </w:tc>
        <w:tc>
          <w:tcPr>
            <w:tcW w:w="873" w:type="dxa"/>
            <w:tcBorders>
              <w:top w:val="nil"/>
              <w:left w:val="nil"/>
              <w:bottom w:val="single" w:sz="4" w:space="0" w:color="auto"/>
              <w:right w:val="single" w:sz="4" w:space="0" w:color="auto"/>
            </w:tcBorders>
            <w:shd w:val="clear" w:color="auto" w:fill="auto"/>
            <w:noWrap/>
            <w:vAlign w:val="bottom"/>
            <w:hideMark/>
          </w:tcPr>
          <w:p w14:paraId="73A13A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2,817</w:t>
            </w:r>
          </w:p>
        </w:tc>
        <w:tc>
          <w:tcPr>
            <w:tcW w:w="873" w:type="dxa"/>
            <w:tcBorders>
              <w:top w:val="nil"/>
              <w:left w:val="nil"/>
              <w:bottom w:val="single" w:sz="4" w:space="0" w:color="auto"/>
              <w:right w:val="single" w:sz="4" w:space="0" w:color="auto"/>
            </w:tcBorders>
            <w:shd w:val="clear" w:color="auto" w:fill="auto"/>
            <w:noWrap/>
            <w:vAlign w:val="bottom"/>
            <w:hideMark/>
          </w:tcPr>
          <w:p w14:paraId="0B4866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2,801</w:t>
            </w:r>
          </w:p>
        </w:tc>
        <w:tc>
          <w:tcPr>
            <w:tcW w:w="873" w:type="dxa"/>
            <w:tcBorders>
              <w:top w:val="nil"/>
              <w:left w:val="nil"/>
              <w:bottom w:val="single" w:sz="4" w:space="0" w:color="auto"/>
              <w:right w:val="single" w:sz="4" w:space="0" w:color="auto"/>
            </w:tcBorders>
            <w:shd w:val="clear" w:color="auto" w:fill="auto"/>
            <w:noWrap/>
            <w:vAlign w:val="bottom"/>
            <w:hideMark/>
          </w:tcPr>
          <w:p w14:paraId="738045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2,875</w:t>
            </w:r>
          </w:p>
        </w:tc>
        <w:tc>
          <w:tcPr>
            <w:tcW w:w="873" w:type="dxa"/>
            <w:tcBorders>
              <w:top w:val="nil"/>
              <w:left w:val="nil"/>
              <w:bottom w:val="single" w:sz="4" w:space="0" w:color="auto"/>
              <w:right w:val="single" w:sz="4" w:space="0" w:color="auto"/>
            </w:tcBorders>
            <w:shd w:val="clear" w:color="auto" w:fill="auto"/>
            <w:noWrap/>
            <w:vAlign w:val="bottom"/>
            <w:hideMark/>
          </w:tcPr>
          <w:p w14:paraId="1B04DEC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2,969</w:t>
            </w:r>
          </w:p>
        </w:tc>
        <w:tc>
          <w:tcPr>
            <w:tcW w:w="873" w:type="dxa"/>
            <w:tcBorders>
              <w:top w:val="nil"/>
              <w:left w:val="nil"/>
              <w:bottom w:val="single" w:sz="4" w:space="0" w:color="auto"/>
              <w:right w:val="single" w:sz="4" w:space="0" w:color="auto"/>
            </w:tcBorders>
            <w:shd w:val="clear" w:color="auto" w:fill="auto"/>
            <w:noWrap/>
            <w:vAlign w:val="bottom"/>
            <w:hideMark/>
          </w:tcPr>
          <w:p w14:paraId="24E3CB8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3,34</w:t>
            </w:r>
          </w:p>
        </w:tc>
        <w:tc>
          <w:tcPr>
            <w:tcW w:w="873" w:type="dxa"/>
            <w:tcBorders>
              <w:top w:val="nil"/>
              <w:left w:val="nil"/>
              <w:bottom w:val="single" w:sz="4" w:space="0" w:color="auto"/>
              <w:right w:val="single" w:sz="4" w:space="0" w:color="auto"/>
            </w:tcBorders>
            <w:shd w:val="clear" w:color="auto" w:fill="auto"/>
            <w:noWrap/>
            <w:vAlign w:val="bottom"/>
            <w:hideMark/>
          </w:tcPr>
          <w:p w14:paraId="520362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3,684</w:t>
            </w:r>
          </w:p>
        </w:tc>
        <w:tc>
          <w:tcPr>
            <w:tcW w:w="873" w:type="dxa"/>
            <w:tcBorders>
              <w:top w:val="nil"/>
              <w:left w:val="nil"/>
              <w:bottom w:val="single" w:sz="4" w:space="0" w:color="auto"/>
              <w:right w:val="single" w:sz="4" w:space="0" w:color="auto"/>
            </w:tcBorders>
            <w:shd w:val="clear" w:color="auto" w:fill="auto"/>
            <w:noWrap/>
            <w:vAlign w:val="bottom"/>
            <w:hideMark/>
          </w:tcPr>
          <w:p w14:paraId="66E73A7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3,871</w:t>
            </w:r>
          </w:p>
        </w:tc>
        <w:tc>
          <w:tcPr>
            <w:tcW w:w="873" w:type="dxa"/>
            <w:tcBorders>
              <w:top w:val="nil"/>
              <w:left w:val="nil"/>
              <w:bottom w:val="single" w:sz="4" w:space="0" w:color="auto"/>
              <w:right w:val="single" w:sz="4" w:space="0" w:color="auto"/>
            </w:tcBorders>
            <w:shd w:val="clear" w:color="auto" w:fill="auto"/>
            <w:noWrap/>
            <w:vAlign w:val="bottom"/>
            <w:hideMark/>
          </w:tcPr>
          <w:p w14:paraId="4FB9EEB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4,735</w:t>
            </w:r>
          </w:p>
        </w:tc>
      </w:tr>
      <w:tr w:rsidR="00BF12D5" w:rsidRPr="00BD0223" w14:paraId="424E1FC9" w14:textId="77777777" w:rsidTr="0039539B">
        <w:trPr>
          <w:trHeight w:val="300"/>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105B5AE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Setembro</w:t>
            </w:r>
          </w:p>
        </w:tc>
        <w:tc>
          <w:tcPr>
            <w:tcW w:w="768" w:type="dxa"/>
            <w:tcBorders>
              <w:top w:val="nil"/>
              <w:left w:val="nil"/>
              <w:bottom w:val="single" w:sz="4" w:space="0" w:color="auto"/>
              <w:right w:val="single" w:sz="4" w:space="0" w:color="auto"/>
            </w:tcBorders>
            <w:shd w:val="clear" w:color="auto" w:fill="auto"/>
            <w:noWrap/>
            <w:vAlign w:val="bottom"/>
            <w:hideMark/>
          </w:tcPr>
          <w:p w14:paraId="1BBBA7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w:t>
            </w:r>
          </w:p>
        </w:tc>
        <w:tc>
          <w:tcPr>
            <w:tcW w:w="873" w:type="dxa"/>
            <w:tcBorders>
              <w:top w:val="nil"/>
              <w:left w:val="nil"/>
              <w:bottom w:val="single" w:sz="4" w:space="0" w:color="auto"/>
              <w:right w:val="single" w:sz="4" w:space="0" w:color="auto"/>
            </w:tcBorders>
            <w:shd w:val="clear" w:color="auto" w:fill="auto"/>
            <w:noWrap/>
            <w:vAlign w:val="bottom"/>
            <w:hideMark/>
          </w:tcPr>
          <w:p w14:paraId="0920AFA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2,846</w:t>
            </w:r>
          </w:p>
        </w:tc>
        <w:tc>
          <w:tcPr>
            <w:tcW w:w="873" w:type="dxa"/>
            <w:tcBorders>
              <w:top w:val="nil"/>
              <w:left w:val="nil"/>
              <w:bottom w:val="single" w:sz="4" w:space="0" w:color="auto"/>
              <w:right w:val="single" w:sz="4" w:space="0" w:color="auto"/>
            </w:tcBorders>
            <w:shd w:val="clear" w:color="auto" w:fill="auto"/>
            <w:noWrap/>
            <w:vAlign w:val="bottom"/>
            <w:hideMark/>
          </w:tcPr>
          <w:p w14:paraId="45FE4C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2,792</w:t>
            </w:r>
          </w:p>
        </w:tc>
        <w:tc>
          <w:tcPr>
            <w:tcW w:w="873" w:type="dxa"/>
            <w:tcBorders>
              <w:top w:val="nil"/>
              <w:left w:val="nil"/>
              <w:bottom w:val="single" w:sz="4" w:space="0" w:color="auto"/>
              <w:right w:val="single" w:sz="4" w:space="0" w:color="auto"/>
            </w:tcBorders>
            <w:shd w:val="clear" w:color="auto" w:fill="auto"/>
            <w:noWrap/>
            <w:vAlign w:val="bottom"/>
            <w:hideMark/>
          </w:tcPr>
          <w:p w14:paraId="47C1917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2,87</w:t>
            </w:r>
          </w:p>
        </w:tc>
        <w:tc>
          <w:tcPr>
            <w:tcW w:w="873" w:type="dxa"/>
            <w:tcBorders>
              <w:top w:val="nil"/>
              <w:left w:val="nil"/>
              <w:bottom w:val="single" w:sz="4" w:space="0" w:color="auto"/>
              <w:right w:val="single" w:sz="4" w:space="0" w:color="auto"/>
            </w:tcBorders>
            <w:shd w:val="clear" w:color="auto" w:fill="auto"/>
            <w:noWrap/>
            <w:vAlign w:val="bottom"/>
            <w:hideMark/>
          </w:tcPr>
          <w:p w14:paraId="67F57EB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2,965</w:t>
            </w:r>
          </w:p>
        </w:tc>
        <w:tc>
          <w:tcPr>
            <w:tcW w:w="873" w:type="dxa"/>
            <w:tcBorders>
              <w:top w:val="nil"/>
              <w:left w:val="nil"/>
              <w:bottom w:val="single" w:sz="4" w:space="0" w:color="auto"/>
              <w:right w:val="single" w:sz="4" w:space="0" w:color="auto"/>
            </w:tcBorders>
            <w:shd w:val="clear" w:color="auto" w:fill="auto"/>
            <w:noWrap/>
            <w:vAlign w:val="bottom"/>
            <w:hideMark/>
          </w:tcPr>
          <w:p w14:paraId="500BAE3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3,251</w:t>
            </w:r>
          </w:p>
        </w:tc>
        <w:tc>
          <w:tcPr>
            <w:tcW w:w="873" w:type="dxa"/>
            <w:tcBorders>
              <w:top w:val="nil"/>
              <w:left w:val="nil"/>
              <w:bottom w:val="single" w:sz="4" w:space="0" w:color="auto"/>
              <w:right w:val="single" w:sz="4" w:space="0" w:color="auto"/>
            </w:tcBorders>
            <w:shd w:val="clear" w:color="auto" w:fill="auto"/>
            <w:noWrap/>
            <w:vAlign w:val="bottom"/>
            <w:hideMark/>
          </w:tcPr>
          <w:p w14:paraId="6B283FF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3,663</w:t>
            </w:r>
          </w:p>
        </w:tc>
        <w:tc>
          <w:tcPr>
            <w:tcW w:w="873" w:type="dxa"/>
            <w:tcBorders>
              <w:top w:val="nil"/>
              <w:left w:val="nil"/>
              <w:bottom w:val="single" w:sz="4" w:space="0" w:color="auto"/>
              <w:right w:val="single" w:sz="4" w:space="0" w:color="auto"/>
            </w:tcBorders>
            <w:shd w:val="clear" w:color="auto" w:fill="auto"/>
            <w:noWrap/>
            <w:vAlign w:val="bottom"/>
            <w:hideMark/>
          </w:tcPr>
          <w:p w14:paraId="022BA0F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3,959</w:t>
            </w:r>
          </w:p>
        </w:tc>
        <w:tc>
          <w:tcPr>
            <w:tcW w:w="873" w:type="dxa"/>
            <w:tcBorders>
              <w:top w:val="nil"/>
              <w:left w:val="nil"/>
              <w:bottom w:val="single" w:sz="4" w:space="0" w:color="auto"/>
              <w:right w:val="single" w:sz="4" w:space="0" w:color="auto"/>
            </w:tcBorders>
            <w:shd w:val="clear" w:color="auto" w:fill="auto"/>
            <w:noWrap/>
            <w:vAlign w:val="bottom"/>
            <w:hideMark/>
          </w:tcPr>
          <w:p w14:paraId="5ECB8F8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4,906</w:t>
            </w:r>
          </w:p>
        </w:tc>
      </w:tr>
      <w:tr w:rsidR="00BF12D5" w:rsidRPr="00BD0223" w14:paraId="4A9C556C" w14:textId="77777777" w:rsidTr="0039539B">
        <w:trPr>
          <w:trHeight w:val="300"/>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4A26488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Outubro</w:t>
            </w:r>
          </w:p>
        </w:tc>
        <w:tc>
          <w:tcPr>
            <w:tcW w:w="768" w:type="dxa"/>
            <w:tcBorders>
              <w:top w:val="nil"/>
              <w:left w:val="nil"/>
              <w:bottom w:val="single" w:sz="4" w:space="0" w:color="auto"/>
              <w:right w:val="single" w:sz="4" w:space="0" w:color="auto"/>
            </w:tcBorders>
            <w:shd w:val="clear" w:color="auto" w:fill="auto"/>
            <w:noWrap/>
            <w:vAlign w:val="bottom"/>
            <w:hideMark/>
          </w:tcPr>
          <w:p w14:paraId="39B902B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2,522</w:t>
            </w:r>
          </w:p>
        </w:tc>
        <w:tc>
          <w:tcPr>
            <w:tcW w:w="873" w:type="dxa"/>
            <w:tcBorders>
              <w:top w:val="nil"/>
              <w:left w:val="nil"/>
              <w:bottom w:val="single" w:sz="4" w:space="0" w:color="auto"/>
              <w:right w:val="single" w:sz="4" w:space="0" w:color="auto"/>
            </w:tcBorders>
            <w:shd w:val="clear" w:color="auto" w:fill="auto"/>
            <w:noWrap/>
            <w:vAlign w:val="bottom"/>
            <w:hideMark/>
          </w:tcPr>
          <w:p w14:paraId="09AAE02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2,841</w:t>
            </w:r>
          </w:p>
        </w:tc>
        <w:tc>
          <w:tcPr>
            <w:tcW w:w="873" w:type="dxa"/>
            <w:tcBorders>
              <w:top w:val="nil"/>
              <w:left w:val="nil"/>
              <w:bottom w:val="single" w:sz="4" w:space="0" w:color="auto"/>
              <w:right w:val="single" w:sz="4" w:space="0" w:color="auto"/>
            </w:tcBorders>
            <w:shd w:val="clear" w:color="auto" w:fill="auto"/>
            <w:noWrap/>
            <w:vAlign w:val="bottom"/>
            <w:hideMark/>
          </w:tcPr>
          <w:p w14:paraId="7B65392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2,803</w:t>
            </w:r>
          </w:p>
        </w:tc>
        <w:tc>
          <w:tcPr>
            <w:tcW w:w="873" w:type="dxa"/>
            <w:tcBorders>
              <w:top w:val="nil"/>
              <w:left w:val="nil"/>
              <w:bottom w:val="single" w:sz="4" w:space="0" w:color="auto"/>
              <w:right w:val="single" w:sz="4" w:space="0" w:color="auto"/>
            </w:tcBorders>
            <w:shd w:val="clear" w:color="auto" w:fill="auto"/>
            <w:noWrap/>
            <w:vAlign w:val="bottom"/>
            <w:hideMark/>
          </w:tcPr>
          <w:p w14:paraId="754EDEA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2,86</w:t>
            </w:r>
          </w:p>
        </w:tc>
        <w:tc>
          <w:tcPr>
            <w:tcW w:w="873" w:type="dxa"/>
            <w:tcBorders>
              <w:top w:val="nil"/>
              <w:left w:val="nil"/>
              <w:bottom w:val="single" w:sz="4" w:space="0" w:color="auto"/>
              <w:right w:val="single" w:sz="4" w:space="0" w:color="auto"/>
            </w:tcBorders>
            <w:shd w:val="clear" w:color="auto" w:fill="auto"/>
            <w:noWrap/>
            <w:vAlign w:val="bottom"/>
            <w:hideMark/>
          </w:tcPr>
          <w:p w14:paraId="6DC11A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2,949</w:t>
            </w:r>
          </w:p>
        </w:tc>
        <w:tc>
          <w:tcPr>
            <w:tcW w:w="873" w:type="dxa"/>
            <w:tcBorders>
              <w:top w:val="nil"/>
              <w:left w:val="nil"/>
              <w:bottom w:val="single" w:sz="4" w:space="0" w:color="auto"/>
              <w:right w:val="single" w:sz="4" w:space="0" w:color="auto"/>
            </w:tcBorders>
            <w:shd w:val="clear" w:color="auto" w:fill="auto"/>
            <w:noWrap/>
            <w:vAlign w:val="bottom"/>
            <w:hideMark/>
          </w:tcPr>
          <w:p w14:paraId="24307AE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w:t>
            </w:r>
          </w:p>
        </w:tc>
        <w:tc>
          <w:tcPr>
            <w:tcW w:w="873" w:type="dxa"/>
            <w:tcBorders>
              <w:top w:val="nil"/>
              <w:left w:val="nil"/>
              <w:bottom w:val="single" w:sz="4" w:space="0" w:color="auto"/>
              <w:right w:val="single" w:sz="4" w:space="0" w:color="auto"/>
            </w:tcBorders>
            <w:shd w:val="clear" w:color="auto" w:fill="auto"/>
            <w:noWrap/>
            <w:vAlign w:val="bottom"/>
            <w:hideMark/>
          </w:tcPr>
          <w:p w14:paraId="72E8026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3,715</w:t>
            </w:r>
          </w:p>
        </w:tc>
        <w:tc>
          <w:tcPr>
            <w:tcW w:w="873" w:type="dxa"/>
            <w:tcBorders>
              <w:top w:val="nil"/>
              <w:left w:val="nil"/>
              <w:bottom w:val="single" w:sz="4" w:space="0" w:color="auto"/>
              <w:right w:val="single" w:sz="4" w:space="0" w:color="auto"/>
            </w:tcBorders>
            <w:shd w:val="clear" w:color="auto" w:fill="auto"/>
            <w:noWrap/>
            <w:vAlign w:val="bottom"/>
            <w:hideMark/>
          </w:tcPr>
          <w:p w14:paraId="49B1076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3,989</w:t>
            </w:r>
          </w:p>
        </w:tc>
        <w:tc>
          <w:tcPr>
            <w:tcW w:w="873" w:type="dxa"/>
            <w:tcBorders>
              <w:top w:val="nil"/>
              <w:left w:val="nil"/>
              <w:bottom w:val="single" w:sz="4" w:space="0" w:color="auto"/>
              <w:right w:val="single" w:sz="4" w:space="0" w:color="auto"/>
            </w:tcBorders>
            <w:shd w:val="clear" w:color="auto" w:fill="auto"/>
            <w:noWrap/>
            <w:vAlign w:val="bottom"/>
            <w:hideMark/>
          </w:tcPr>
          <w:p w14:paraId="2774E5B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4,957</w:t>
            </w:r>
          </w:p>
        </w:tc>
      </w:tr>
      <w:tr w:rsidR="00BF12D5" w:rsidRPr="00BD0223" w14:paraId="79B67C7C" w14:textId="77777777" w:rsidTr="0039539B">
        <w:trPr>
          <w:trHeight w:val="300"/>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6A85EAD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Novembro</w:t>
            </w:r>
          </w:p>
        </w:tc>
        <w:tc>
          <w:tcPr>
            <w:tcW w:w="768" w:type="dxa"/>
            <w:tcBorders>
              <w:top w:val="nil"/>
              <w:left w:val="nil"/>
              <w:bottom w:val="single" w:sz="4" w:space="0" w:color="auto"/>
              <w:right w:val="single" w:sz="4" w:space="0" w:color="auto"/>
            </w:tcBorders>
            <w:shd w:val="clear" w:color="auto" w:fill="auto"/>
            <w:noWrap/>
            <w:vAlign w:val="bottom"/>
            <w:hideMark/>
          </w:tcPr>
          <w:p w14:paraId="2E8E6B4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2,534</w:t>
            </w:r>
          </w:p>
        </w:tc>
        <w:tc>
          <w:tcPr>
            <w:tcW w:w="873" w:type="dxa"/>
            <w:tcBorders>
              <w:top w:val="nil"/>
              <w:left w:val="nil"/>
              <w:bottom w:val="single" w:sz="4" w:space="0" w:color="auto"/>
              <w:right w:val="single" w:sz="4" w:space="0" w:color="auto"/>
            </w:tcBorders>
            <w:shd w:val="clear" w:color="auto" w:fill="auto"/>
            <w:noWrap/>
            <w:vAlign w:val="bottom"/>
            <w:hideMark/>
          </w:tcPr>
          <w:p w14:paraId="28B67FB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2,829</w:t>
            </w:r>
          </w:p>
        </w:tc>
        <w:tc>
          <w:tcPr>
            <w:tcW w:w="873" w:type="dxa"/>
            <w:tcBorders>
              <w:top w:val="nil"/>
              <w:left w:val="nil"/>
              <w:bottom w:val="single" w:sz="4" w:space="0" w:color="auto"/>
              <w:right w:val="single" w:sz="4" w:space="0" w:color="auto"/>
            </w:tcBorders>
            <w:shd w:val="clear" w:color="auto" w:fill="auto"/>
            <w:noWrap/>
            <w:vAlign w:val="bottom"/>
            <w:hideMark/>
          </w:tcPr>
          <w:p w14:paraId="7C4DC7F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2,818</w:t>
            </w:r>
          </w:p>
        </w:tc>
        <w:tc>
          <w:tcPr>
            <w:tcW w:w="873" w:type="dxa"/>
            <w:tcBorders>
              <w:top w:val="nil"/>
              <w:left w:val="nil"/>
              <w:bottom w:val="single" w:sz="4" w:space="0" w:color="auto"/>
              <w:right w:val="single" w:sz="4" w:space="0" w:color="auto"/>
            </w:tcBorders>
            <w:shd w:val="clear" w:color="auto" w:fill="auto"/>
            <w:noWrap/>
            <w:vAlign w:val="bottom"/>
            <w:hideMark/>
          </w:tcPr>
          <w:p w14:paraId="4EFE76E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2,86</w:t>
            </w:r>
          </w:p>
        </w:tc>
        <w:tc>
          <w:tcPr>
            <w:tcW w:w="873" w:type="dxa"/>
            <w:tcBorders>
              <w:top w:val="nil"/>
              <w:left w:val="nil"/>
              <w:bottom w:val="single" w:sz="4" w:space="0" w:color="auto"/>
              <w:right w:val="single" w:sz="4" w:space="0" w:color="auto"/>
            </w:tcBorders>
            <w:shd w:val="clear" w:color="auto" w:fill="auto"/>
            <w:noWrap/>
            <w:vAlign w:val="bottom"/>
            <w:hideMark/>
          </w:tcPr>
          <w:p w14:paraId="132439B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2,993</w:t>
            </w:r>
          </w:p>
        </w:tc>
        <w:tc>
          <w:tcPr>
            <w:tcW w:w="873" w:type="dxa"/>
            <w:tcBorders>
              <w:top w:val="nil"/>
              <w:left w:val="nil"/>
              <w:bottom w:val="single" w:sz="4" w:space="0" w:color="auto"/>
              <w:right w:val="single" w:sz="4" w:space="0" w:color="auto"/>
            </w:tcBorders>
            <w:shd w:val="clear" w:color="auto" w:fill="auto"/>
            <w:noWrap/>
            <w:vAlign w:val="bottom"/>
            <w:hideMark/>
          </w:tcPr>
          <w:p w14:paraId="6FC7B5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3,593</w:t>
            </w:r>
          </w:p>
        </w:tc>
        <w:tc>
          <w:tcPr>
            <w:tcW w:w="873" w:type="dxa"/>
            <w:tcBorders>
              <w:top w:val="nil"/>
              <w:left w:val="nil"/>
              <w:bottom w:val="single" w:sz="4" w:space="0" w:color="auto"/>
              <w:right w:val="single" w:sz="4" w:space="0" w:color="auto"/>
            </w:tcBorders>
            <w:shd w:val="clear" w:color="auto" w:fill="auto"/>
            <w:noWrap/>
            <w:vAlign w:val="bottom"/>
            <w:hideMark/>
          </w:tcPr>
          <w:p w14:paraId="5B8B691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3,73</w:t>
            </w:r>
          </w:p>
        </w:tc>
        <w:tc>
          <w:tcPr>
            <w:tcW w:w="873" w:type="dxa"/>
            <w:tcBorders>
              <w:top w:val="nil"/>
              <w:left w:val="nil"/>
              <w:bottom w:val="single" w:sz="4" w:space="0" w:color="auto"/>
              <w:right w:val="single" w:sz="4" w:space="0" w:color="auto"/>
            </w:tcBorders>
            <w:shd w:val="clear" w:color="auto" w:fill="auto"/>
            <w:noWrap/>
            <w:vAlign w:val="bottom"/>
            <w:hideMark/>
          </w:tcPr>
          <w:p w14:paraId="0E4B4C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4,085</w:t>
            </w:r>
          </w:p>
        </w:tc>
        <w:tc>
          <w:tcPr>
            <w:tcW w:w="873" w:type="dxa"/>
            <w:tcBorders>
              <w:top w:val="nil"/>
              <w:left w:val="nil"/>
              <w:bottom w:val="single" w:sz="4" w:space="0" w:color="auto"/>
              <w:right w:val="single" w:sz="4" w:space="0" w:color="auto"/>
            </w:tcBorders>
            <w:shd w:val="clear" w:color="auto" w:fill="auto"/>
            <w:noWrap/>
            <w:vAlign w:val="bottom"/>
            <w:hideMark/>
          </w:tcPr>
          <w:p w14:paraId="79C79BF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4,837</w:t>
            </w:r>
          </w:p>
        </w:tc>
      </w:tr>
      <w:tr w:rsidR="00BF12D5" w:rsidRPr="00BD0223" w14:paraId="3721286E" w14:textId="77777777" w:rsidTr="0039539B">
        <w:trPr>
          <w:trHeight w:val="300"/>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68D29EB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Dezembro</w:t>
            </w:r>
          </w:p>
        </w:tc>
        <w:tc>
          <w:tcPr>
            <w:tcW w:w="768" w:type="dxa"/>
            <w:tcBorders>
              <w:top w:val="nil"/>
              <w:left w:val="nil"/>
              <w:bottom w:val="single" w:sz="4" w:space="0" w:color="auto"/>
              <w:right w:val="single" w:sz="4" w:space="0" w:color="auto"/>
            </w:tcBorders>
            <w:shd w:val="clear" w:color="auto" w:fill="auto"/>
            <w:noWrap/>
            <w:vAlign w:val="bottom"/>
            <w:hideMark/>
          </w:tcPr>
          <w:p w14:paraId="731F2A6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2,549</w:t>
            </w:r>
          </w:p>
        </w:tc>
        <w:tc>
          <w:tcPr>
            <w:tcW w:w="873" w:type="dxa"/>
            <w:tcBorders>
              <w:top w:val="nil"/>
              <w:left w:val="nil"/>
              <w:bottom w:val="single" w:sz="4" w:space="0" w:color="auto"/>
              <w:right w:val="single" w:sz="4" w:space="0" w:color="auto"/>
            </w:tcBorders>
            <w:shd w:val="clear" w:color="auto" w:fill="auto"/>
            <w:noWrap/>
            <w:vAlign w:val="bottom"/>
            <w:hideMark/>
          </w:tcPr>
          <w:p w14:paraId="0DAA37B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2,836</w:t>
            </w:r>
          </w:p>
        </w:tc>
        <w:tc>
          <w:tcPr>
            <w:tcW w:w="873" w:type="dxa"/>
            <w:tcBorders>
              <w:top w:val="nil"/>
              <w:left w:val="nil"/>
              <w:bottom w:val="single" w:sz="4" w:space="0" w:color="auto"/>
              <w:right w:val="single" w:sz="4" w:space="0" w:color="auto"/>
            </w:tcBorders>
            <w:shd w:val="clear" w:color="auto" w:fill="auto"/>
            <w:noWrap/>
            <w:vAlign w:val="bottom"/>
            <w:hideMark/>
          </w:tcPr>
          <w:p w14:paraId="562824D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2,823</w:t>
            </w:r>
          </w:p>
        </w:tc>
        <w:tc>
          <w:tcPr>
            <w:tcW w:w="873" w:type="dxa"/>
            <w:tcBorders>
              <w:top w:val="nil"/>
              <w:left w:val="nil"/>
              <w:bottom w:val="single" w:sz="4" w:space="0" w:color="auto"/>
              <w:right w:val="single" w:sz="4" w:space="0" w:color="auto"/>
            </w:tcBorders>
            <w:shd w:val="clear" w:color="auto" w:fill="auto"/>
            <w:noWrap/>
            <w:vAlign w:val="bottom"/>
            <w:hideMark/>
          </w:tcPr>
          <w:p w14:paraId="5D1A69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2,959</w:t>
            </w:r>
          </w:p>
        </w:tc>
        <w:tc>
          <w:tcPr>
            <w:tcW w:w="873" w:type="dxa"/>
            <w:tcBorders>
              <w:top w:val="nil"/>
              <w:left w:val="nil"/>
              <w:bottom w:val="single" w:sz="4" w:space="0" w:color="auto"/>
              <w:right w:val="single" w:sz="4" w:space="0" w:color="auto"/>
            </w:tcBorders>
            <w:shd w:val="clear" w:color="auto" w:fill="auto"/>
            <w:noWrap/>
            <w:vAlign w:val="bottom"/>
            <w:hideMark/>
          </w:tcPr>
          <w:p w14:paraId="595231C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3,028</w:t>
            </w:r>
          </w:p>
        </w:tc>
        <w:tc>
          <w:tcPr>
            <w:tcW w:w="873" w:type="dxa"/>
            <w:tcBorders>
              <w:top w:val="nil"/>
              <w:left w:val="nil"/>
              <w:bottom w:val="single" w:sz="4" w:space="0" w:color="auto"/>
              <w:right w:val="single" w:sz="4" w:space="0" w:color="auto"/>
            </w:tcBorders>
            <w:shd w:val="clear" w:color="auto" w:fill="auto"/>
            <w:noWrap/>
            <w:vAlign w:val="bottom"/>
            <w:hideMark/>
          </w:tcPr>
          <w:p w14:paraId="414D852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3,662</w:t>
            </w:r>
          </w:p>
        </w:tc>
        <w:tc>
          <w:tcPr>
            <w:tcW w:w="873" w:type="dxa"/>
            <w:tcBorders>
              <w:top w:val="nil"/>
              <w:left w:val="nil"/>
              <w:bottom w:val="single" w:sz="4" w:space="0" w:color="auto"/>
              <w:right w:val="single" w:sz="4" w:space="0" w:color="auto"/>
            </w:tcBorders>
            <w:shd w:val="clear" w:color="auto" w:fill="auto"/>
            <w:noWrap/>
            <w:vAlign w:val="bottom"/>
            <w:hideMark/>
          </w:tcPr>
          <w:p w14:paraId="55F9F06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3,782</w:t>
            </w:r>
          </w:p>
        </w:tc>
        <w:tc>
          <w:tcPr>
            <w:tcW w:w="873" w:type="dxa"/>
            <w:tcBorders>
              <w:top w:val="nil"/>
              <w:left w:val="nil"/>
              <w:bottom w:val="single" w:sz="4" w:space="0" w:color="auto"/>
              <w:right w:val="single" w:sz="4" w:space="0" w:color="auto"/>
            </w:tcBorders>
            <w:shd w:val="clear" w:color="auto" w:fill="auto"/>
            <w:noWrap/>
            <w:vAlign w:val="bottom"/>
            <w:hideMark/>
          </w:tcPr>
          <w:p w14:paraId="7089557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4,176</w:t>
            </w:r>
          </w:p>
        </w:tc>
        <w:tc>
          <w:tcPr>
            <w:tcW w:w="873" w:type="dxa"/>
            <w:tcBorders>
              <w:top w:val="nil"/>
              <w:left w:val="nil"/>
              <w:bottom w:val="single" w:sz="4" w:space="0" w:color="auto"/>
              <w:right w:val="single" w:sz="4" w:space="0" w:color="auto"/>
            </w:tcBorders>
            <w:shd w:val="clear" w:color="auto" w:fill="auto"/>
            <w:noWrap/>
            <w:vAlign w:val="bottom"/>
            <w:hideMark/>
          </w:tcPr>
          <w:p w14:paraId="5FA0CE8F" w14:textId="77777777" w:rsidR="00BF12D5" w:rsidRPr="00BD0223" w:rsidRDefault="00BF12D5" w:rsidP="0039539B">
            <w:pPr>
              <w:keepNext/>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4,628</w:t>
            </w:r>
          </w:p>
        </w:tc>
      </w:tr>
    </w:tbl>
    <w:p w14:paraId="0E18CDB2" w14:textId="77777777" w:rsidR="00BF12D5" w:rsidRPr="008D398D" w:rsidRDefault="00BF12D5" w:rsidP="00BF12D5">
      <w:pPr>
        <w:pStyle w:val="Ttabela-fonte"/>
        <w:rPr>
          <w:color w:val="FF0000"/>
        </w:rPr>
      </w:pPr>
      <w:r w:rsidRPr="00BD0223">
        <w:t>Fonte: ANP</w:t>
      </w:r>
      <w:r>
        <w:t xml:space="preserve">. </w:t>
      </w:r>
      <w:r w:rsidRPr="00906965">
        <w:t>Elaboração do Autor</w:t>
      </w:r>
      <w:r w:rsidRPr="008D398D">
        <w:rPr>
          <w:color w:val="FF0000"/>
        </w:rPr>
        <w:t>.</w:t>
      </w:r>
    </w:p>
    <w:p w14:paraId="6897CEF3" w14:textId="77777777" w:rsidR="00BF12D5" w:rsidRDefault="00BF12D5" w:rsidP="00BF12D5">
      <w:pPr>
        <w:pStyle w:val="Tfigura-titulo"/>
      </w:pPr>
    </w:p>
    <w:p w14:paraId="22EB1D57" w14:textId="77777777" w:rsidR="00BF12D5" w:rsidRPr="00BD0223" w:rsidRDefault="00BF12D5" w:rsidP="00BF12D5">
      <w:pPr>
        <w:pStyle w:val="Tfigura-titulo"/>
        <w:jc w:val="both"/>
      </w:pPr>
      <w:r w:rsidRPr="00BD0223">
        <w:t>Tabela 10 – Preço médio corrente em reais do litro da gasolina, mês a mês, registrado nos postos de combustíveis do estado de São Paulo de 2010 a 2018.</w:t>
      </w:r>
    </w:p>
    <w:tbl>
      <w:tblPr>
        <w:tblW w:w="4986" w:type="pct"/>
        <w:jc w:val="center"/>
        <w:tblCellMar>
          <w:left w:w="70" w:type="dxa"/>
          <w:right w:w="70" w:type="dxa"/>
        </w:tblCellMar>
        <w:tblLook w:val="04A0" w:firstRow="1" w:lastRow="0" w:firstColumn="1" w:lastColumn="0" w:noHBand="0" w:noVBand="1"/>
      </w:tblPr>
      <w:tblGrid>
        <w:gridCol w:w="1284"/>
        <w:gridCol w:w="768"/>
        <w:gridCol w:w="873"/>
        <w:gridCol w:w="873"/>
        <w:gridCol w:w="873"/>
        <w:gridCol w:w="873"/>
        <w:gridCol w:w="873"/>
        <w:gridCol w:w="873"/>
        <w:gridCol w:w="873"/>
        <w:gridCol w:w="873"/>
      </w:tblGrid>
      <w:tr w:rsidR="00BF12D5" w:rsidRPr="001C03A7" w14:paraId="5EB38F10" w14:textId="77777777" w:rsidTr="0039539B">
        <w:trPr>
          <w:trHeight w:val="302"/>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15D03"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p>
        </w:tc>
        <w:tc>
          <w:tcPr>
            <w:tcW w:w="768" w:type="dxa"/>
            <w:tcBorders>
              <w:top w:val="single" w:sz="4" w:space="0" w:color="auto"/>
              <w:left w:val="nil"/>
              <w:bottom w:val="single" w:sz="4" w:space="0" w:color="auto"/>
              <w:right w:val="single" w:sz="4" w:space="0" w:color="auto"/>
            </w:tcBorders>
            <w:shd w:val="clear" w:color="auto" w:fill="auto"/>
            <w:noWrap/>
            <w:vAlign w:val="bottom"/>
            <w:hideMark/>
          </w:tcPr>
          <w:p w14:paraId="6AE9FDBA"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2010</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2DB7A6E8"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2011</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798AE021"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2012</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5FC547A0"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2013</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2E59A5DC"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2014</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403CAF81"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2015</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7325C5BF"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2016</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0B202115"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2017</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6AA1DD4C"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2018</w:t>
            </w:r>
          </w:p>
        </w:tc>
      </w:tr>
      <w:tr w:rsidR="00BF12D5" w:rsidRPr="00BD0223" w14:paraId="1E860833" w14:textId="77777777" w:rsidTr="0039539B">
        <w:trPr>
          <w:trHeight w:val="302"/>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29844C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Janeiro</w:t>
            </w:r>
          </w:p>
        </w:tc>
        <w:tc>
          <w:tcPr>
            <w:tcW w:w="768" w:type="dxa"/>
            <w:tcBorders>
              <w:top w:val="nil"/>
              <w:left w:val="nil"/>
              <w:bottom w:val="single" w:sz="4" w:space="0" w:color="auto"/>
              <w:right w:val="single" w:sz="4" w:space="0" w:color="auto"/>
            </w:tcBorders>
            <w:shd w:val="clear" w:color="auto" w:fill="auto"/>
            <w:noWrap/>
            <w:vAlign w:val="bottom"/>
            <w:hideMark/>
          </w:tcPr>
          <w:p w14:paraId="537A959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2,49</w:t>
            </w:r>
          </w:p>
        </w:tc>
        <w:tc>
          <w:tcPr>
            <w:tcW w:w="873" w:type="dxa"/>
            <w:tcBorders>
              <w:top w:val="nil"/>
              <w:left w:val="nil"/>
              <w:bottom w:val="single" w:sz="4" w:space="0" w:color="auto"/>
              <w:right w:val="single" w:sz="4" w:space="0" w:color="auto"/>
            </w:tcBorders>
            <w:shd w:val="clear" w:color="auto" w:fill="auto"/>
            <w:noWrap/>
            <w:vAlign w:val="bottom"/>
            <w:hideMark/>
          </w:tcPr>
          <w:p w14:paraId="20C9BB2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2,507</w:t>
            </w:r>
          </w:p>
        </w:tc>
        <w:tc>
          <w:tcPr>
            <w:tcW w:w="873" w:type="dxa"/>
            <w:tcBorders>
              <w:top w:val="nil"/>
              <w:left w:val="nil"/>
              <w:bottom w:val="single" w:sz="4" w:space="0" w:color="auto"/>
              <w:right w:val="single" w:sz="4" w:space="0" w:color="auto"/>
            </w:tcBorders>
            <w:shd w:val="clear" w:color="auto" w:fill="auto"/>
            <w:noWrap/>
            <w:vAlign w:val="bottom"/>
            <w:hideMark/>
          </w:tcPr>
          <w:p w14:paraId="761E170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2,649</w:t>
            </w:r>
          </w:p>
        </w:tc>
        <w:tc>
          <w:tcPr>
            <w:tcW w:w="873" w:type="dxa"/>
            <w:tcBorders>
              <w:top w:val="nil"/>
              <w:left w:val="nil"/>
              <w:bottom w:val="single" w:sz="4" w:space="0" w:color="auto"/>
              <w:right w:val="single" w:sz="4" w:space="0" w:color="auto"/>
            </w:tcBorders>
            <w:shd w:val="clear" w:color="auto" w:fill="auto"/>
            <w:noWrap/>
            <w:vAlign w:val="bottom"/>
            <w:hideMark/>
          </w:tcPr>
          <w:p w14:paraId="7B65EF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2,644</w:t>
            </w:r>
          </w:p>
        </w:tc>
        <w:tc>
          <w:tcPr>
            <w:tcW w:w="873" w:type="dxa"/>
            <w:tcBorders>
              <w:top w:val="nil"/>
              <w:left w:val="nil"/>
              <w:bottom w:val="single" w:sz="4" w:space="0" w:color="auto"/>
              <w:right w:val="single" w:sz="4" w:space="0" w:color="auto"/>
            </w:tcBorders>
            <w:shd w:val="clear" w:color="auto" w:fill="auto"/>
            <w:noWrap/>
            <w:vAlign w:val="bottom"/>
            <w:hideMark/>
          </w:tcPr>
          <w:p w14:paraId="10A9EB5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2,835</w:t>
            </w:r>
          </w:p>
        </w:tc>
        <w:tc>
          <w:tcPr>
            <w:tcW w:w="873" w:type="dxa"/>
            <w:tcBorders>
              <w:top w:val="nil"/>
              <w:left w:val="nil"/>
              <w:bottom w:val="single" w:sz="4" w:space="0" w:color="auto"/>
              <w:right w:val="single" w:sz="4" w:space="0" w:color="auto"/>
            </w:tcBorders>
            <w:shd w:val="clear" w:color="auto" w:fill="auto"/>
            <w:noWrap/>
            <w:vAlign w:val="bottom"/>
            <w:hideMark/>
          </w:tcPr>
          <w:p w14:paraId="61B53FF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2,918</w:t>
            </w:r>
          </w:p>
        </w:tc>
        <w:tc>
          <w:tcPr>
            <w:tcW w:w="873" w:type="dxa"/>
            <w:tcBorders>
              <w:top w:val="nil"/>
              <w:left w:val="nil"/>
              <w:bottom w:val="single" w:sz="4" w:space="0" w:color="auto"/>
              <w:right w:val="single" w:sz="4" w:space="0" w:color="auto"/>
            </w:tcBorders>
            <w:shd w:val="clear" w:color="auto" w:fill="auto"/>
            <w:noWrap/>
            <w:vAlign w:val="bottom"/>
            <w:hideMark/>
          </w:tcPr>
          <w:p w14:paraId="0162DF4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3,52</w:t>
            </w:r>
          </w:p>
        </w:tc>
        <w:tc>
          <w:tcPr>
            <w:tcW w:w="873" w:type="dxa"/>
            <w:tcBorders>
              <w:top w:val="nil"/>
              <w:left w:val="nil"/>
              <w:bottom w:val="single" w:sz="4" w:space="0" w:color="auto"/>
              <w:right w:val="single" w:sz="4" w:space="0" w:color="auto"/>
            </w:tcBorders>
            <w:shd w:val="clear" w:color="auto" w:fill="auto"/>
            <w:noWrap/>
            <w:vAlign w:val="bottom"/>
            <w:hideMark/>
          </w:tcPr>
          <w:p w14:paraId="491BD79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3,628</w:t>
            </w:r>
          </w:p>
        </w:tc>
        <w:tc>
          <w:tcPr>
            <w:tcW w:w="873" w:type="dxa"/>
            <w:tcBorders>
              <w:top w:val="nil"/>
              <w:left w:val="nil"/>
              <w:bottom w:val="single" w:sz="4" w:space="0" w:color="auto"/>
              <w:right w:val="single" w:sz="4" w:space="0" w:color="auto"/>
            </w:tcBorders>
            <w:shd w:val="clear" w:color="auto" w:fill="auto"/>
            <w:noWrap/>
            <w:vAlign w:val="bottom"/>
            <w:hideMark/>
          </w:tcPr>
          <w:p w14:paraId="4C2ABC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3,998</w:t>
            </w:r>
          </w:p>
        </w:tc>
      </w:tr>
      <w:tr w:rsidR="00BF12D5" w:rsidRPr="00BD0223" w14:paraId="15AC5A25" w14:textId="77777777" w:rsidTr="0039539B">
        <w:trPr>
          <w:trHeight w:val="302"/>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16F5518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Fevereiro</w:t>
            </w:r>
          </w:p>
        </w:tc>
        <w:tc>
          <w:tcPr>
            <w:tcW w:w="768" w:type="dxa"/>
            <w:tcBorders>
              <w:top w:val="nil"/>
              <w:left w:val="nil"/>
              <w:bottom w:val="single" w:sz="4" w:space="0" w:color="auto"/>
              <w:right w:val="single" w:sz="4" w:space="0" w:color="auto"/>
            </w:tcBorders>
            <w:shd w:val="clear" w:color="auto" w:fill="auto"/>
            <w:noWrap/>
            <w:vAlign w:val="bottom"/>
            <w:hideMark/>
          </w:tcPr>
          <w:p w14:paraId="5C45D9C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2,518</w:t>
            </w:r>
          </w:p>
        </w:tc>
        <w:tc>
          <w:tcPr>
            <w:tcW w:w="873" w:type="dxa"/>
            <w:tcBorders>
              <w:top w:val="nil"/>
              <w:left w:val="nil"/>
              <w:bottom w:val="single" w:sz="4" w:space="0" w:color="auto"/>
              <w:right w:val="single" w:sz="4" w:space="0" w:color="auto"/>
            </w:tcBorders>
            <w:shd w:val="clear" w:color="auto" w:fill="auto"/>
            <w:noWrap/>
            <w:vAlign w:val="bottom"/>
            <w:hideMark/>
          </w:tcPr>
          <w:p w14:paraId="7EC0551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2,51</w:t>
            </w:r>
          </w:p>
        </w:tc>
        <w:tc>
          <w:tcPr>
            <w:tcW w:w="873" w:type="dxa"/>
            <w:tcBorders>
              <w:top w:val="nil"/>
              <w:left w:val="nil"/>
              <w:bottom w:val="single" w:sz="4" w:space="0" w:color="auto"/>
              <w:right w:val="single" w:sz="4" w:space="0" w:color="auto"/>
            </w:tcBorders>
            <w:shd w:val="clear" w:color="auto" w:fill="auto"/>
            <w:noWrap/>
            <w:vAlign w:val="bottom"/>
            <w:hideMark/>
          </w:tcPr>
          <w:p w14:paraId="338C93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2,641</w:t>
            </w:r>
          </w:p>
        </w:tc>
        <w:tc>
          <w:tcPr>
            <w:tcW w:w="873" w:type="dxa"/>
            <w:tcBorders>
              <w:top w:val="nil"/>
              <w:left w:val="nil"/>
              <w:bottom w:val="single" w:sz="4" w:space="0" w:color="auto"/>
              <w:right w:val="single" w:sz="4" w:space="0" w:color="auto"/>
            </w:tcBorders>
            <w:shd w:val="clear" w:color="auto" w:fill="auto"/>
            <w:noWrap/>
            <w:vAlign w:val="bottom"/>
            <w:hideMark/>
          </w:tcPr>
          <w:p w14:paraId="32F2D30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2,767</w:t>
            </w:r>
          </w:p>
        </w:tc>
        <w:tc>
          <w:tcPr>
            <w:tcW w:w="873" w:type="dxa"/>
            <w:tcBorders>
              <w:top w:val="nil"/>
              <w:left w:val="nil"/>
              <w:bottom w:val="single" w:sz="4" w:space="0" w:color="auto"/>
              <w:right w:val="single" w:sz="4" w:space="0" w:color="auto"/>
            </w:tcBorders>
            <w:shd w:val="clear" w:color="auto" w:fill="auto"/>
            <w:noWrap/>
            <w:vAlign w:val="bottom"/>
            <w:hideMark/>
          </w:tcPr>
          <w:p w14:paraId="2895D9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2,837</w:t>
            </w:r>
          </w:p>
        </w:tc>
        <w:tc>
          <w:tcPr>
            <w:tcW w:w="873" w:type="dxa"/>
            <w:tcBorders>
              <w:top w:val="nil"/>
              <w:left w:val="nil"/>
              <w:bottom w:val="single" w:sz="4" w:space="0" w:color="auto"/>
              <w:right w:val="single" w:sz="4" w:space="0" w:color="auto"/>
            </w:tcBorders>
            <w:shd w:val="clear" w:color="auto" w:fill="auto"/>
            <w:noWrap/>
            <w:vAlign w:val="bottom"/>
            <w:hideMark/>
          </w:tcPr>
          <w:p w14:paraId="17D090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3,15</w:t>
            </w:r>
          </w:p>
        </w:tc>
        <w:tc>
          <w:tcPr>
            <w:tcW w:w="873" w:type="dxa"/>
            <w:tcBorders>
              <w:top w:val="nil"/>
              <w:left w:val="nil"/>
              <w:bottom w:val="single" w:sz="4" w:space="0" w:color="auto"/>
              <w:right w:val="single" w:sz="4" w:space="0" w:color="auto"/>
            </w:tcBorders>
            <w:shd w:val="clear" w:color="auto" w:fill="auto"/>
            <w:noWrap/>
            <w:vAlign w:val="bottom"/>
            <w:hideMark/>
          </w:tcPr>
          <w:p w14:paraId="373B6CE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3,544</w:t>
            </w:r>
          </w:p>
        </w:tc>
        <w:tc>
          <w:tcPr>
            <w:tcW w:w="873" w:type="dxa"/>
            <w:tcBorders>
              <w:top w:val="nil"/>
              <w:left w:val="nil"/>
              <w:bottom w:val="single" w:sz="4" w:space="0" w:color="auto"/>
              <w:right w:val="single" w:sz="4" w:space="0" w:color="auto"/>
            </w:tcBorders>
            <w:shd w:val="clear" w:color="auto" w:fill="auto"/>
            <w:noWrap/>
            <w:vAlign w:val="bottom"/>
            <w:hideMark/>
          </w:tcPr>
          <w:p w14:paraId="7DCD987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3,615</w:t>
            </w:r>
          </w:p>
        </w:tc>
        <w:tc>
          <w:tcPr>
            <w:tcW w:w="873" w:type="dxa"/>
            <w:tcBorders>
              <w:top w:val="nil"/>
              <w:left w:val="nil"/>
              <w:bottom w:val="single" w:sz="4" w:space="0" w:color="auto"/>
              <w:right w:val="single" w:sz="4" w:space="0" w:color="auto"/>
            </w:tcBorders>
            <w:shd w:val="clear" w:color="auto" w:fill="auto"/>
            <w:noWrap/>
            <w:vAlign w:val="bottom"/>
            <w:hideMark/>
          </w:tcPr>
          <w:p w14:paraId="535F9A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4,004</w:t>
            </w:r>
          </w:p>
        </w:tc>
      </w:tr>
      <w:tr w:rsidR="00BF12D5" w:rsidRPr="00BD0223" w14:paraId="0BEB1030" w14:textId="77777777" w:rsidTr="0039539B">
        <w:trPr>
          <w:trHeight w:val="302"/>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100B045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Março</w:t>
            </w:r>
          </w:p>
        </w:tc>
        <w:tc>
          <w:tcPr>
            <w:tcW w:w="768" w:type="dxa"/>
            <w:tcBorders>
              <w:top w:val="nil"/>
              <w:left w:val="nil"/>
              <w:bottom w:val="single" w:sz="4" w:space="0" w:color="auto"/>
              <w:right w:val="single" w:sz="4" w:space="0" w:color="auto"/>
            </w:tcBorders>
            <w:shd w:val="clear" w:color="auto" w:fill="auto"/>
            <w:noWrap/>
            <w:vAlign w:val="bottom"/>
            <w:hideMark/>
          </w:tcPr>
          <w:p w14:paraId="11B1B78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2,483</w:t>
            </w:r>
          </w:p>
        </w:tc>
        <w:tc>
          <w:tcPr>
            <w:tcW w:w="873" w:type="dxa"/>
            <w:tcBorders>
              <w:top w:val="nil"/>
              <w:left w:val="nil"/>
              <w:bottom w:val="single" w:sz="4" w:space="0" w:color="auto"/>
              <w:right w:val="single" w:sz="4" w:space="0" w:color="auto"/>
            </w:tcBorders>
            <w:shd w:val="clear" w:color="auto" w:fill="auto"/>
            <w:noWrap/>
            <w:vAlign w:val="bottom"/>
            <w:hideMark/>
          </w:tcPr>
          <w:p w14:paraId="69DB56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2,566</w:t>
            </w:r>
          </w:p>
        </w:tc>
        <w:tc>
          <w:tcPr>
            <w:tcW w:w="873" w:type="dxa"/>
            <w:tcBorders>
              <w:top w:val="nil"/>
              <w:left w:val="nil"/>
              <w:bottom w:val="single" w:sz="4" w:space="0" w:color="auto"/>
              <w:right w:val="single" w:sz="4" w:space="0" w:color="auto"/>
            </w:tcBorders>
            <w:shd w:val="clear" w:color="auto" w:fill="auto"/>
            <w:noWrap/>
            <w:vAlign w:val="bottom"/>
            <w:hideMark/>
          </w:tcPr>
          <w:p w14:paraId="1E81AC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2,656</w:t>
            </w:r>
          </w:p>
        </w:tc>
        <w:tc>
          <w:tcPr>
            <w:tcW w:w="873" w:type="dxa"/>
            <w:tcBorders>
              <w:top w:val="nil"/>
              <w:left w:val="nil"/>
              <w:bottom w:val="single" w:sz="4" w:space="0" w:color="auto"/>
              <w:right w:val="single" w:sz="4" w:space="0" w:color="auto"/>
            </w:tcBorders>
            <w:shd w:val="clear" w:color="auto" w:fill="auto"/>
            <w:noWrap/>
            <w:vAlign w:val="bottom"/>
            <w:hideMark/>
          </w:tcPr>
          <w:p w14:paraId="6FCB701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2,773</w:t>
            </w:r>
          </w:p>
        </w:tc>
        <w:tc>
          <w:tcPr>
            <w:tcW w:w="873" w:type="dxa"/>
            <w:tcBorders>
              <w:top w:val="nil"/>
              <w:left w:val="nil"/>
              <w:bottom w:val="single" w:sz="4" w:space="0" w:color="auto"/>
              <w:right w:val="single" w:sz="4" w:space="0" w:color="auto"/>
            </w:tcBorders>
            <w:shd w:val="clear" w:color="auto" w:fill="auto"/>
            <w:noWrap/>
            <w:vAlign w:val="bottom"/>
            <w:hideMark/>
          </w:tcPr>
          <w:p w14:paraId="6A99435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2,885</w:t>
            </w:r>
          </w:p>
        </w:tc>
        <w:tc>
          <w:tcPr>
            <w:tcW w:w="873" w:type="dxa"/>
            <w:tcBorders>
              <w:top w:val="nil"/>
              <w:left w:val="nil"/>
              <w:bottom w:val="single" w:sz="4" w:space="0" w:color="auto"/>
              <w:right w:val="single" w:sz="4" w:space="0" w:color="auto"/>
            </w:tcBorders>
            <w:shd w:val="clear" w:color="auto" w:fill="auto"/>
            <w:noWrap/>
            <w:vAlign w:val="bottom"/>
            <w:hideMark/>
          </w:tcPr>
          <w:p w14:paraId="14B8E74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3,173</w:t>
            </w:r>
          </w:p>
        </w:tc>
        <w:tc>
          <w:tcPr>
            <w:tcW w:w="873" w:type="dxa"/>
            <w:tcBorders>
              <w:top w:val="nil"/>
              <w:left w:val="nil"/>
              <w:bottom w:val="single" w:sz="4" w:space="0" w:color="auto"/>
              <w:right w:val="single" w:sz="4" w:space="0" w:color="auto"/>
            </w:tcBorders>
            <w:shd w:val="clear" w:color="auto" w:fill="auto"/>
            <w:noWrap/>
            <w:vAlign w:val="bottom"/>
            <w:hideMark/>
          </w:tcPr>
          <w:p w14:paraId="148D48A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3,567</w:t>
            </w:r>
          </w:p>
        </w:tc>
        <w:tc>
          <w:tcPr>
            <w:tcW w:w="873" w:type="dxa"/>
            <w:tcBorders>
              <w:top w:val="nil"/>
              <w:left w:val="nil"/>
              <w:bottom w:val="single" w:sz="4" w:space="0" w:color="auto"/>
              <w:right w:val="single" w:sz="4" w:space="0" w:color="auto"/>
            </w:tcBorders>
            <w:shd w:val="clear" w:color="auto" w:fill="auto"/>
            <w:noWrap/>
            <w:vAlign w:val="bottom"/>
            <w:hideMark/>
          </w:tcPr>
          <w:p w14:paraId="0B2877C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3,536</w:t>
            </w:r>
          </w:p>
        </w:tc>
        <w:tc>
          <w:tcPr>
            <w:tcW w:w="873" w:type="dxa"/>
            <w:tcBorders>
              <w:top w:val="nil"/>
              <w:left w:val="nil"/>
              <w:bottom w:val="single" w:sz="4" w:space="0" w:color="auto"/>
              <w:right w:val="single" w:sz="4" w:space="0" w:color="auto"/>
            </w:tcBorders>
            <w:shd w:val="clear" w:color="auto" w:fill="auto"/>
            <w:noWrap/>
            <w:vAlign w:val="bottom"/>
            <w:hideMark/>
          </w:tcPr>
          <w:p w14:paraId="2A86AE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3,99</w:t>
            </w:r>
          </w:p>
        </w:tc>
      </w:tr>
      <w:tr w:rsidR="00BF12D5" w:rsidRPr="00BD0223" w14:paraId="52BC5D5A" w14:textId="77777777" w:rsidTr="0039539B">
        <w:trPr>
          <w:trHeight w:val="302"/>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53D8AE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Abril</w:t>
            </w:r>
          </w:p>
        </w:tc>
        <w:tc>
          <w:tcPr>
            <w:tcW w:w="768" w:type="dxa"/>
            <w:tcBorders>
              <w:top w:val="nil"/>
              <w:left w:val="nil"/>
              <w:bottom w:val="single" w:sz="4" w:space="0" w:color="auto"/>
              <w:right w:val="single" w:sz="4" w:space="0" w:color="auto"/>
            </w:tcBorders>
            <w:shd w:val="clear" w:color="auto" w:fill="auto"/>
            <w:noWrap/>
            <w:vAlign w:val="bottom"/>
            <w:hideMark/>
          </w:tcPr>
          <w:p w14:paraId="3AA731E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2,454</w:t>
            </w:r>
          </w:p>
        </w:tc>
        <w:tc>
          <w:tcPr>
            <w:tcW w:w="873" w:type="dxa"/>
            <w:tcBorders>
              <w:top w:val="nil"/>
              <w:left w:val="nil"/>
              <w:bottom w:val="single" w:sz="4" w:space="0" w:color="auto"/>
              <w:right w:val="single" w:sz="4" w:space="0" w:color="auto"/>
            </w:tcBorders>
            <w:shd w:val="clear" w:color="auto" w:fill="auto"/>
            <w:noWrap/>
            <w:vAlign w:val="bottom"/>
            <w:hideMark/>
          </w:tcPr>
          <w:p w14:paraId="3B335E1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2,728</w:t>
            </w:r>
          </w:p>
        </w:tc>
        <w:tc>
          <w:tcPr>
            <w:tcW w:w="873" w:type="dxa"/>
            <w:tcBorders>
              <w:top w:val="nil"/>
              <w:left w:val="nil"/>
              <w:bottom w:val="single" w:sz="4" w:space="0" w:color="auto"/>
              <w:right w:val="single" w:sz="4" w:space="0" w:color="auto"/>
            </w:tcBorders>
            <w:shd w:val="clear" w:color="auto" w:fill="auto"/>
            <w:noWrap/>
            <w:vAlign w:val="bottom"/>
            <w:hideMark/>
          </w:tcPr>
          <w:p w14:paraId="3CAE528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2,652</w:t>
            </w:r>
          </w:p>
        </w:tc>
        <w:tc>
          <w:tcPr>
            <w:tcW w:w="873" w:type="dxa"/>
            <w:tcBorders>
              <w:top w:val="nil"/>
              <w:left w:val="nil"/>
              <w:bottom w:val="single" w:sz="4" w:space="0" w:color="auto"/>
              <w:right w:val="single" w:sz="4" w:space="0" w:color="auto"/>
            </w:tcBorders>
            <w:shd w:val="clear" w:color="auto" w:fill="auto"/>
            <w:noWrap/>
            <w:vAlign w:val="bottom"/>
            <w:hideMark/>
          </w:tcPr>
          <w:p w14:paraId="06A0F6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2,768</w:t>
            </w:r>
          </w:p>
        </w:tc>
        <w:tc>
          <w:tcPr>
            <w:tcW w:w="873" w:type="dxa"/>
            <w:tcBorders>
              <w:top w:val="nil"/>
              <w:left w:val="nil"/>
              <w:bottom w:val="single" w:sz="4" w:space="0" w:color="auto"/>
              <w:right w:val="single" w:sz="4" w:space="0" w:color="auto"/>
            </w:tcBorders>
            <w:shd w:val="clear" w:color="auto" w:fill="auto"/>
            <w:noWrap/>
            <w:vAlign w:val="bottom"/>
            <w:hideMark/>
          </w:tcPr>
          <w:p w14:paraId="68228CC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2,89</w:t>
            </w:r>
          </w:p>
        </w:tc>
        <w:tc>
          <w:tcPr>
            <w:tcW w:w="873" w:type="dxa"/>
            <w:tcBorders>
              <w:top w:val="nil"/>
              <w:left w:val="nil"/>
              <w:bottom w:val="single" w:sz="4" w:space="0" w:color="auto"/>
              <w:right w:val="single" w:sz="4" w:space="0" w:color="auto"/>
            </w:tcBorders>
            <w:shd w:val="clear" w:color="auto" w:fill="auto"/>
            <w:noWrap/>
            <w:vAlign w:val="bottom"/>
            <w:hideMark/>
          </w:tcPr>
          <w:p w14:paraId="107F85A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3,152</w:t>
            </w:r>
          </w:p>
        </w:tc>
        <w:tc>
          <w:tcPr>
            <w:tcW w:w="873" w:type="dxa"/>
            <w:tcBorders>
              <w:top w:val="nil"/>
              <w:left w:val="nil"/>
              <w:bottom w:val="single" w:sz="4" w:space="0" w:color="auto"/>
              <w:right w:val="single" w:sz="4" w:space="0" w:color="auto"/>
            </w:tcBorders>
            <w:shd w:val="clear" w:color="auto" w:fill="auto"/>
            <w:noWrap/>
            <w:vAlign w:val="bottom"/>
            <w:hideMark/>
          </w:tcPr>
          <w:p w14:paraId="0737764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3,538</w:t>
            </w:r>
          </w:p>
        </w:tc>
        <w:tc>
          <w:tcPr>
            <w:tcW w:w="873" w:type="dxa"/>
            <w:tcBorders>
              <w:top w:val="nil"/>
              <w:left w:val="nil"/>
              <w:bottom w:val="single" w:sz="4" w:space="0" w:color="auto"/>
              <w:right w:val="single" w:sz="4" w:space="0" w:color="auto"/>
            </w:tcBorders>
            <w:shd w:val="clear" w:color="auto" w:fill="auto"/>
            <w:noWrap/>
            <w:vAlign w:val="bottom"/>
            <w:hideMark/>
          </w:tcPr>
          <w:p w14:paraId="75C1E32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3,457</w:t>
            </w:r>
          </w:p>
        </w:tc>
        <w:tc>
          <w:tcPr>
            <w:tcW w:w="873" w:type="dxa"/>
            <w:tcBorders>
              <w:top w:val="nil"/>
              <w:left w:val="nil"/>
              <w:bottom w:val="single" w:sz="4" w:space="0" w:color="auto"/>
              <w:right w:val="single" w:sz="4" w:space="0" w:color="auto"/>
            </w:tcBorders>
            <w:shd w:val="clear" w:color="auto" w:fill="auto"/>
            <w:noWrap/>
            <w:vAlign w:val="bottom"/>
            <w:hideMark/>
          </w:tcPr>
          <w:p w14:paraId="2A351D9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4,014</w:t>
            </w:r>
          </w:p>
        </w:tc>
      </w:tr>
      <w:tr w:rsidR="00BF12D5" w:rsidRPr="00BD0223" w14:paraId="58335CBE" w14:textId="77777777" w:rsidTr="0039539B">
        <w:trPr>
          <w:trHeight w:val="302"/>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1F56347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Maio</w:t>
            </w:r>
          </w:p>
        </w:tc>
        <w:tc>
          <w:tcPr>
            <w:tcW w:w="768" w:type="dxa"/>
            <w:tcBorders>
              <w:top w:val="nil"/>
              <w:left w:val="nil"/>
              <w:bottom w:val="single" w:sz="4" w:space="0" w:color="auto"/>
              <w:right w:val="single" w:sz="4" w:space="0" w:color="auto"/>
            </w:tcBorders>
            <w:shd w:val="clear" w:color="auto" w:fill="auto"/>
            <w:noWrap/>
            <w:vAlign w:val="bottom"/>
            <w:hideMark/>
          </w:tcPr>
          <w:p w14:paraId="4926985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2,436</w:t>
            </w:r>
          </w:p>
        </w:tc>
        <w:tc>
          <w:tcPr>
            <w:tcW w:w="873" w:type="dxa"/>
            <w:tcBorders>
              <w:top w:val="nil"/>
              <w:left w:val="nil"/>
              <w:bottom w:val="single" w:sz="4" w:space="0" w:color="auto"/>
              <w:right w:val="single" w:sz="4" w:space="0" w:color="auto"/>
            </w:tcBorders>
            <w:shd w:val="clear" w:color="auto" w:fill="auto"/>
            <w:noWrap/>
            <w:vAlign w:val="bottom"/>
            <w:hideMark/>
          </w:tcPr>
          <w:p w14:paraId="68AFDBE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2,763</w:t>
            </w:r>
          </w:p>
        </w:tc>
        <w:tc>
          <w:tcPr>
            <w:tcW w:w="873" w:type="dxa"/>
            <w:tcBorders>
              <w:top w:val="nil"/>
              <w:left w:val="nil"/>
              <w:bottom w:val="single" w:sz="4" w:space="0" w:color="auto"/>
              <w:right w:val="single" w:sz="4" w:space="0" w:color="auto"/>
            </w:tcBorders>
            <w:shd w:val="clear" w:color="auto" w:fill="auto"/>
            <w:noWrap/>
            <w:vAlign w:val="bottom"/>
            <w:hideMark/>
          </w:tcPr>
          <w:p w14:paraId="3D9549D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2,638</w:t>
            </w:r>
          </w:p>
        </w:tc>
        <w:tc>
          <w:tcPr>
            <w:tcW w:w="873" w:type="dxa"/>
            <w:tcBorders>
              <w:top w:val="nil"/>
              <w:left w:val="nil"/>
              <w:bottom w:val="single" w:sz="4" w:space="0" w:color="auto"/>
              <w:right w:val="single" w:sz="4" w:space="0" w:color="auto"/>
            </w:tcBorders>
            <w:shd w:val="clear" w:color="auto" w:fill="auto"/>
            <w:noWrap/>
            <w:vAlign w:val="bottom"/>
            <w:hideMark/>
          </w:tcPr>
          <w:p w14:paraId="233EE47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2,752</w:t>
            </w:r>
          </w:p>
        </w:tc>
        <w:tc>
          <w:tcPr>
            <w:tcW w:w="873" w:type="dxa"/>
            <w:tcBorders>
              <w:top w:val="nil"/>
              <w:left w:val="nil"/>
              <w:bottom w:val="single" w:sz="4" w:space="0" w:color="auto"/>
              <w:right w:val="single" w:sz="4" w:space="0" w:color="auto"/>
            </w:tcBorders>
            <w:shd w:val="clear" w:color="auto" w:fill="auto"/>
            <w:noWrap/>
            <w:vAlign w:val="bottom"/>
            <w:hideMark/>
          </w:tcPr>
          <w:p w14:paraId="3ED0AD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2,881</w:t>
            </w:r>
          </w:p>
        </w:tc>
        <w:tc>
          <w:tcPr>
            <w:tcW w:w="873" w:type="dxa"/>
            <w:tcBorders>
              <w:top w:val="nil"/>
              <w:left w:val="nil"/>
              <w:bottom w:val="single" w:sz="4" w:space="0" w:color="auto"/>
              <w:right w:val="single" w:sz="4" w:space="0" w:color="auto"/>
            </w:tcBorders>
            <w:shd w:val="clear" w:color="auto" w:fill="auto"/>
            <w:noWrap/>
            <w:vAlign w:val="bottom"/>
            <w:hideMark/>
          </w:tcPr>
          <w:p w14:paraId="66A5D7B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3,135</w:t>
            </w:r>
          </w:p>
        </w:tc>
        <w:tc>
          <w:tcPr>
            <w:tcW w:w="873" w:type="dxa"/>
            <w:tcBorders>
              <w:top w:val="nil"/>
              <w:left w:val="nil"/>
              <w:bottom w:val="single" w:sz="4" w:space="0" w:color="auto"/>
              <w:right w:val="single" w:sz="4" w:space="0" w:color="auto"/>
            </w:tcBorders>
            <w:shd w:val="clear" w:color="auto" w:fill="auto"/>
            <w:noWrap/>
            <w:vAlign w:val="bottom"/>
            <w:hideMark/>
          </w:tcPr>
          <w:p w14:paraId="0351803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3,479</w:t>
            </w:r>
          </w:p>
        </w:tc>
        <w:tc>
          <w:tcPr>
            <w:tcW w:w="873" w:type="dxa"/>
            <w:tcBorders>
              <w:top w:val="nil"/>
              <w:left w:val="nil"/>
              <w:bottom w:val="single" w:sz="4" w:space="0" w:color="auto"/>
              <w:right w:val="single" w:sz="4" w:space="0" w:color="auto"/>
            </w:tcBorders>
            <w:shd w:val="clear" w:color="auto" w:fill="auto"/>
            <w:noWrap/>
            <w:vAlign w:val="bottom"/>
            <w:hideMark/>
          </w:tcPr>
          <w:p w14:paraId="68AFA32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3,415</w:t>
            </w:r>
          </w:p>
        </w:tc>
        <w:tc>
          <w:tcPr>
            <w:tcW w:w="873" w:type="dxa"/>
            <w:tcBorders>
              <w:top w:val="nil"/>
              <w:left w:val="nil"/>
              <w:bottom w:val="single" w:sz="4" w:space="0" w:color="auto"/>
              <w:right w:val="single" w:sz="4" w:space="0" w:color="auto"/>
            </w:tcBorders>
            <w:shd w:val="clear" w:color="auto" w:fill="auto"/>
            <w:noWrap/>
            <w:vAlign w:val="bottom"/>
            <w:hideMark/>
          </w:tcPr>
          <w:p w14:paraId="3513EB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4,08</w:t>
            </w:r>
          </w:p>
        </w:tc>
      </w:tr>
      <w:tr w:rsidR="00BF12D5" w:rsidRPr="00BD0223" w14:paraId="6CC5A29B" w14:textId="77777777" w:rsidTr="0039539B">
        <w:trPr>
          <w:trHeight w:val="302"/>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4579D4F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Junho</w:t>
            </w:r>
          </w:p>
        </w:tc>
        <w:tc>
          <w:tcPr>
            <w:tcW w:w="768" w:type="dxa"/>
            <w:tcBorders>
              <w:top w:val="nil"/>
              <w:left w:val="nil"/>
              <w:bottom w:val="single" w:sz="4" w:space="0" w:color="auto"/>
              <w:right w:val="single" w:sz="4" w:space="0" w:color="auto"/>
            </w:tcBorders>
            <w:shd w:val="clear" w:color="auto" w:fill="auto"/>
            <w:noWrap/>
            <w:vAlign w:val="bottom"/>
            <w:hideMark/>
          </w:tcPr>
          <w:p w14:paraId="6DEBEFC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2,424</w:t>
            </w:r>
          </w:p>
        </w:tc>
        <w:tc>
          <w:tcPr>
            <w:tcW w:w="873" w:type="dxa"/>
            <w:tcBorders>
              <w:top w:val="nil"/>
              <w:left w:val="nil"/>
              <w:bottom w:val="single" w:sz="4" w:space="0" w:color="auto"/>
              <w:right w:val="single" w:sz="4" w:space="0" w:color="auto"/>
            </w:tcBorders>
            <w:shd w:val="clear" w:color="auto" w:fill="auto"/>
            <w:noWrap/>
            <w:vAlign w:val="bottom"/>
            <w:hideMark/>
          </w:tcPr>
          <w:p w14:paraId="0F5B972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2,665</w:t>
            </w:r>
          </w:p>
        </w:tc>
        <w:tc>
          <w:tcPr>
            <w:tcW w:w="873" w:type="dxa"/>
            <w:tcBorders>
              <w:top w:val="nil"/>
              <w:left w:val="nil"/>
              <w:bottom w:val="single" w:sz="4" w:space="0" w:color="auto"/>
              <w:right w:val="single" w:sz="4" w:space="0" w:color="auto"/>
            </w:tcBorders>
            <w:shd w:val="clear" w:color="auto" w:fill="auto"/>
            <w:noWrap/>
            <w:vAlign w:val="bottom"/>
            <w:hideMark/>
          </w:tcPr>
          <w:p w14:paraId="47C209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2,636</w:t>
            </w:r>
          </w:p>
        </w:tc>
        <w:tc>
          <w:tcPr>
            <w:tcW w:w="873" w:type="dxa"/>
            <w:tcBorders>
              <w:top w:val="nil"/>
              <w:left w:val="nil"/>
              <w:bottom w:val="single" w:sz="4" w:space="0" w:color="auto"/>
              <w:right w:val="single" w:sz="4" w:space="0" w:color="auto"/>
            </w:tcBorders>
            <w:shd w:val="clear" w:color="auto" w:fill="auto"/>
            <w:noWrap/>
            <w:vAlign w:val="bottom"/>
            <w:hideMark/>
          </w:tcPr>
          <w:p w14:paraId="79FC39F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2,726</w:t>
            </w:r>
          </w:p>
        </w:tc>
        <w:tc>
          <w:tcPr>
            <w:tcW w:w="873" w:type="dxa"/>
            <w:tcBorders>
              <w:top w:val="nil"/>
              <w:left w:val="nil"/>
              <w:bottom w:val="single" w:sz="4" w:space="0" w:color="auto"/>
              <w:right w:val="single" w:sz="4" w:space="0" w:color="auto"/>
            </w:tcBorders>
            <w:shd w:val="clear" w:color="auto" w:fill="auto"/>
            <w:noWrap/>
            <w:vAlign w:val="bottom"/>
            <w:hideMark/>
          </w:tcPr>
          <w:p w14:paraId="5C490D0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2,868</w:t>
            </w:r>
          </w:p>
        </w:tc>
        <w:tc>
          <w:tcPr>
            <w:tcW w:w="873" w:type="dxa"/>
            <w:tcBorders>
              <w:top w:val="nil"/>
              <w:left w:val="nil"/>
              <w:bottom w:val="single" w:sz="4" w:space="0" w:color="auto"/>
              <w:right w:val="single" w:sz="4" w:space="0" w:color="auto"/>
            </w:tcBorders>
            <w:shd w:val="clear" w:color="auto" w:fill="auto"/>
            <w:noWrap/>
            <w:vAlign w:val="bottom"/>
            <w:hideMark/>
          </w:tcPr>
          <w:p w14:paraId="7984A97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3,128</w:t>
            </w:r>
          </w:p>
        </w:tc>
        <w:tc>
          <w:tcPr>
            <w:tcW w:w="873" w:type="dxa"/>
            <w:tcBorders>
              <w:top w:val="nil"/>
              <w:left w:val="nil"/>
              <w:bottom w:val="single" w:sz="4" w:space="0" w:color="auto"/>
              <w:right w:val="single" w:sz="4" w:space="0" w:color="auto"/>
            </w:tcBorders>
            <w:shd w:val="clear" w:color="auto" w:fill="auto"/>
            <w:noWrap/>
            <w:vAlign w:val="bottom"/>
            <w:hideMark/>
          </w:tcPr>
          <w:p w14:paraId="71662CB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3,464</w:t>
            </w:r>
          </w:p>
        </w:tc>
        <w:tc>
          <w:tcPr>
            <w:tcW w:w="873" w:type="dxa"/>
            <w:tcBorders>
              <w:top w:val="nil"/>
              <w:left w:val="nil"/>
              <w:bottom w:val="single" w:sz="4" w:space="0" w:color="auto"/>
              <w:right w:val="single" w:sz="4" w:space="0" w:color="auto"/>
            </w:tcBorders>
            <w:shd w:val="clear" w:color="auto" w:fill="auto"/>
            <w:noWrap/>
            <w:vAlign w:val="bottom"/>
            <w:hideMark/>
          </w:tcPr>
          <w:p w14:paraId="77CE7DA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3,327</w:t>
            </w:r>
          </w:p>
        </w:tc>
        <w:tc>
          <w:tcPr>
            <w:tcW w:w="873" w:type="dxa"/>
            <w:tcBorders>
              <w:top w:val="nil"/>
              <w:left w:val="nil"/>
              <w:bottom w:val="single" w:sz="4" w:space="0" w:color="auto"/>
              <w:right w:val="single" w:sz="4" w:space="0" w:color="auto"/>
            </w:tcBorders>
            <w:shd w:val="clear" w:color="auto" w:fill="auto"/>
            <w:noWrap/>
            <w:vAlign w:val="bottom"/>
            <w:hideMark/>
          </w:tcPr>
          <w:p w14:paraId="47B7AF1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4,34</w:t>
            </w:r>
          </w:p>
        </w:tc>
      </w:tr>
      <w:tr w:rsidR="00BF12D5" w:rsidRPr="00BD0223" w14:paraId="2E80052E" w14:textId="77777777" w:rsidTr="0039539B">
        <w:trPr>
          <w:trHeight w:val="302"/>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74FC018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Julho</w:t>
            </w:r>
          </w:p>
        </w:tc>
        <w:tc>
          <w:tcPr>
            <w:tcW w:w="768" w:type="dxa"/>
            <w:tcBorders>
              <w:top w:val="nil"/>
              <w:left w:val="nil"/>
              <w:bottom w:val="single" w:sz="4" w:space="0" w:color="auto"/>
              <w:right w:val="single" w:sz="4" w:space="0" w:color="auto"/>
            </w:tcBorders>
            <w:shd w:val="clear" w:color="auto" w:fill="auto"/>
            <w:noWrap/>
            <w:vAlign w:val="bottom"/>
            <w:hideMark/>
          </w:tcPr>
          <w:p w14:paraId="02D4782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2,428</w:t>
            </w:r>
          </w:p>
        </w:tc>
        <w:tc>
          <w:tcPr>
            <w:tcW w:w="873" w:type="dxa"/>
            <w:tcBorders>
              <w:top w:val="nil"/>
              <w:left w:val="nil"/>
              <w:bottom w:val="single" w:sz="4" w:space="0" w:color="auto"/>
              <w:right w:val="single" w:sz="4" w:space="0" w:color="auto"/>
            </w:tcBorders>
            <w:shd w:val="clear" w:color="auto" w:fill="auto"/>
            <w:noWrap/>
            <w:vAlign w:val="bottom"/>
            <w:hideMark/>
          </w:tcPr>
          <w:p w14:paraId="2C1178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2,666</w:t>
            </w:r>
          </w:p>
        </w:tc>
        <w:tc>
          <w:tcPr>
            <w:tcW w:w="873" w:type="dxa"/>
            <w:tcBorders>
              <w:top w:val="nil"/>
              <w:left w:val="nil"/>
              <w:bottom w:val="single" w:sz="4" w:space="0" w:color="auto"/>
              <w:right w:val="single" w:sz="4" w:space="0" w:color="auto"/>
            </w:tcBorders>
            <w:shd w:val="clear" w:color="auto" w:fill="auto"/>
            <w:noWrap/>
            <w:vAlign w:val="bottom"/>
            <w:hideMark/>
          </w:tcPr>
          <w:p w14:paraId="353D6A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2,629</w:t>
            </w:r>
          </w:p>
        </w:tc>
        <w:tc>
          <w:tcPr>
            <w:tcW w:w="873" w:type="dxa"/>
            <w:tcBorders>
              <w:top w:val="nil"/>
              <w:left w:val="nil"/>
              <w:bottom w:val="single" w:sz="4" w:space="0" w:color="auto"/>
              <w:right w:val="single" w:sz="4" w:space="0" w:color="auto"/>
            </w:tcBorders>
            <w:shd w:val="clear" w:color="auto" w:fill="auto"/>
            <w:noWrap/>
            <w:vAlign w:val="bottom"/>
            <w:hideMark/>
          </w:tcPr>
          <w:p w14:paraId="102C0B9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2,715</w:t>
            </w:r>
          </w:p>
        </w:tc>
        <w:tc>
          <w:tcPr>
            <w:tcW w:w="873" w:type="dxa"/>
            <w:tcBorders>
              <w:top w:val="nil"/>
              <w:left w:val="nil"/>
              <w:bottom w:val="single" w:sz="4" w:space="0" w:color="auto"/>
              <w:right w:val="single" w:sz="4" w:space="0" w:color="auto"/>
            </w:tcBorders>
            <w:shd w:val="clear" w:color="auto" w:fill="auto"/>
            <w:noWrap/>
            <w:vAlign w:val="bottom"/>
            <w:hideMark/>
          </w:tcPr>
          <w:p w14:paraId="04C57E3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2,857</w:t>
            </w:r>
          </w:p>
        </w:tc>
        <w:tc>
          <w:tcPr>
            <w:tcW w:w="873" w:type="dxa"/>
            <w:tcBorders>
              <w:top w:val="nil"/>
              <w:left w:val="nil"/>
              <w:bottom w:val="single" w:sz="4" w:space="0" w:color="auto"/>
              <w:right w:val="single" w:sz="4" w:space="0" w:color="auto"/>
            </w:tcBorders>
            <w:shd w:val="clear" w:color="auto" w:fill="auto"/>
            <w:noWrap/>
            <w:vAlign w:val="bottom"/>
            <w:hideMark/>
          </w:tcPr>
          <w:p w14:paraId="2786EB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3,109</w:t>
            </w:r>
          </w:p>
        </w:tc>
        <w:tc>
          <w:tcPr>
            <w:tcW w:w="873" w:type="dxa"/>
            <w:tcBorders>
              <w:top w:val="nil"/>
              <w:left w:val="nil"/>
              <w:bottom w:val="single" w:sz="4" w:space="0" w:color="auto"/>
              <w:right w:val="single" w:sz="4" w:space="0" w:color="auto"/>
            </w:tcBorders>
            <w:shd w:val="clear" w:color="auto" w:fill="auto"/>
            <w:noWrap/>
            <w:vAlign w:val="bottom"/>
            <w:hideMark/>
          </w:tcPr>
          <w:p w14:paraId="7E0855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3,44</w:t>
            </w:r>
          </w:p>
        </w:tc>
        <w:tc>
          <w:tcPr>
            <w:tcW w:w="873" w:type="dxa"/>
            <w:tcBorders>
              <w:top w:val="nil"/>
              <w:left w:val="nil"/>
              <w:bottom w:val="single" w:sz="4" w:space="0" w:color="auto"/>
              <w:right w:val="single" w:sz="4" w:space="0" w:color="auto"/>
            </w:tcBorders>
            <w:shd w:val="clear" w:color="auto" w:fill="auto"/>
            <w:noWrap/>
            <w:vAlign w:val="bottom"/>
            <w:hideMark/>
          </w:tcPr>
          <w:p w14:paraId="20B478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3,334</w:t>
            </w:r>
          </w:p>
        </w:tc>
        <w:tc>
          <w:tcPr>
            <w:tcW w:w="873" w:type="dxa"/>
            <w:tcBorders>
              <w:top w:val="nil"/>
              <w:left w:val="nil"/>
              <w:bottom w:val="single" w:sz="4" w:space="0" w:color="auto"/>
              <w:right w:val="single" w:sz="4" w:space="0" w:color="auto"/>
            </w:tcBorders>
            <w:shd w:val="clear" w:color="auto" w:fill="auto"/>
            <w:noWrap/>
            <w:vAlign w:val="bottom"/>
            <w:hideMark/>
          </w:tcPr>
          <w:p w14:paraId="4675C1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4,258</w:t>
            </w:r>
          </w:p>
        </w:tc>
      </w:tr>
      <w:tr w:rsidR="00BF12D5" w:rsidRPr="00BD0223" w14:paraId="42B8DAC5" w14:textId="77777777" w:rsidTr="0039539B">
        <w:trPr>
          <w:trHeight w:val="302"/>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005393E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Agosto</w:t>
            </w:r>
          </w:p>
        </w:tc>
        <w:tc>
          <w:tcPr>
            <w:tcW w:w="768" w:type="dxa"/>
            <w:tcBorders>
              <w:top w:val="nil"/>
              <w:left w:val="nil"/>
              <w:bottom w:val="single" w:sz="4" w:space="0" w:color="auto"/>
              <w:right w:val="single" w:sz="4" w:space="0" w:color="auto"/>
            </w:tcBorders>
            <w:shd w:val="clear" w:color="auto" w:fill="auto"/>
            <w:noWrap/>
            <w:vAlign w:val="bottom"/>
            <w:hideMark/>
          </w:tcPr>
          <w:p w14:paraId="215D9E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2,434</w:t>
            </w:r>
          </w:p>
        </w:tc>
        <w:tc>
          <w:tcPr>
            <w:tcW w:w="873" w:type="dxa"/>
            <w:tcBorders>
              <w:top w:val="nil"/>
              <w:left w:val="nil"/>
              <w:bottom w:val="single" w:sz="4" w:space="0" w:color="auto"/>
              <w:right w:val="single" w:sz="4" w:space="0" w:color="auto"/>
            </w:tcBorders>
            <w:shd w:val="clear" w:color="auto" w:fill="auto"/>
            <w:noWrap/>
            <w:vAlign w:val="bottom"/>
            <w:hideMark/>
          </w:tcPr>
          <w:p w14:paraId="1F92593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2,663</w:t>
            </w:r>
          </w:p>
        </w:tc>
        <w:tc>
          <w:tcPr>
            <w:tcW w:w="873" w:type="dxa"/>
            <w:tcBorders>
              <w:top w:val="nil"/>
              <w:left w:val="nil"/>
              <w:bottom w:val="single" w:sz="4" w:space="0" w:color="auto"/>
              <w:right w:val="single" w:sz="4" w:space="0" w:color="auto"/>
            </w:tcBorders>
            <w:shd w:val="clear" w:color="auto" w:fill="auto"/>
            <w:noWrap/>
            <w:vAlign w:val="bottom"/>
            <w:hideMark/>
          </w:tcPr>
          <w:p w14:paraId="4C766B8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2,621</w:t>
            </w:r>
          </w:p>
        </w:tc>
        <w:tc>
          <w:tcPr>
            <w:tcW w:w="873" w:type="dxa"/>
            <w:tcBorders>
              <w:top w:val="nil"/>
              <w:left w:val="nil"/>
              <w:bottom w:val="single" w:sz="4" w:space="0" w:color="auto"/>
              <w:right w:val="single" w:sz="4" w:space="0" w:color="auto"/>
            </w:tcBorders>
            <w:shd w:val="clear" w:color="auto" w:fill="auto"/>
            <w:noWrap/>
            <w:vAlign w:val="bottom"/>
            <w:hideMark/>
          </w:tcPr>
          <w:p w14:paraId="7606EE6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2,705</w:t>
            </w:r>
          </w:p>
        </w:tc>
        <w:tc>
          <w:tcPr>
            <w:tcW w:w="873" w:type="dxa"/>
            <w:tcBorders>
              <w:top w:val="nil"/>
              <w:left w:val="nil"/>
              <w:bottom w:val="single" w:sz="4" w:space="0" w:color="auto"/>
              <w:right w:val="single" w:sz="4" w:space="0" w:color="auto"/>
            </w:tcBorders>
            <w:shd w:val="clear" w:color="auto" w:fill="auto"/>
            <w:noWrap/>
            <w:vAlign w:val="bottom"/>
            <w:hideMark/>
          </w:tcPr>
          <w:p w14:paraId="02F3FA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2,856</w:t>
            </w:r>
          </w:p>
        </w:tc>
        <w:tc>
          <w:tcPr>
            <w:tcW w:w="873" w:type="dxa"/>
            <w:tcBorders>
              <w:top w:val="nil"/>
              <w:left w:val="nil"/>
              <w:bottom w:val="single" w:sz="4" w:space="0" w:color="auto"/>
              <w:right w:val="single" w:sz="4" w:space="0" w:color="auto"/>
            </w:tcBorders>
            <w:shd w:val="clear" w:color="auto" w:fill="auto"/>
            <w:noWrap/>
            <w:vAlign w:val="bottom"/>
            <w:hideMark/>
          </w:tcPr>
          <w:p w14:paraId="64CF4CE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3,095</w:t>
            </w:r>
          </w:p>
        </w:tc>
        <w:tc>
          <w:tcPr>
            <w:tcW w:w="873" w:type="dxa"/>
            <w:tcBorders>
              <w:top w:val="nil"/>
              <w:left w:val="nil"/>
              <w:bottom w:val="single" w:sz="4" w:space="0" w:color="auto"/>
              <w:right w:val="single" w:sz="4" w:space="0" w:color="auto"/>
            </w:tcBorders>
            <w:shd w:val="clear" w:color="auto" w:fill="auto"/>
            <w:noWrap/>
            <w:vAlign w:val="bottom"/>
            <w:hideMark/>
          </w:tcPr>
          <w:p w14:paraId="7FC62B5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3,446</w:t>
            </w:r>
          </w:p>
        </w:tc>
        <w:tc>
          <w:tcPr>
            <w:tcW w:w="873" w:type="dxa"/>
            <w:tcBorders>
              <w:top w:val="nil"/>
              <w:left w:val="nil"/>
              <w:bottom w:val="single" w:sz="4" w:space="0" w:color="auto"/>
              <w:right w:val="single" w:sz="4" w:space="0" w:color="auto"/>
            </w:tcBorders>
            <w:shd w:val="clear" w:color="auto" w:fill="auto"/>
            <w:noWrap/>
            <w:vAlign w:val="bottom"/>
            <w:hideMark/>
          </w:tcPr>
          <w:p w14:paraId="707A59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3,56</w:t>
            </w:r>
          </w:p>
        </w:tc>
        <w:tc>
          <w:tcPr>
            <w:tcW w:w="873" w:type="dxa"/>
            <w:tcBorders>
              <w:top w:val="nil"/>
              <w:left w:val="nil"/>
              <w:bottom w:val="single" w:sz="4" w:space="0" w:color="auto"/>
              <w:right w:val="single" w:sz="4" w:space="0" w:color="auto"/>
            </w:tcBorders>
            <w:shd w:val="clear" w:color="auto" w:fill="auto"/>
            <w:noWrap/>
            <w:vAlign w:val="bottom"/>
            <w:hideMark/>
          </w:tcPr>
          <w:p w14:paraId="20C50E0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4,214</w:t>
            </w:r>
          </w:p>
        </w:tc>
      </w:tr>
      <w:tr w:rsidR="00BF12D5" w:rsidRPr="00BD0223" w14:paraId="7CF8392A" w14:textId="77777777" w:rsidTr="0039539B">
        <w:trPr>
          <w:trHeight w:val="302"/>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48AD8D6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Setembro</w:t>
            </w:r>
          </w:p>
        </w:tc>
        <w:tc>
          <w:tcPr>
            <w:tcW w:w="768" w:type="dxa"/>
            <w:tcBorders>
              <w:top w:val="nil"/>
              <w:left w:val="nil"/>
              <w:bottom w:val="single" w:sz="4" w:space="0" w:color="auto"/>
              <w:right w:val="single" w:sz="4" w:space="0" w:color="auto"/>
            </w:tcBorders>
            <w:shd w:val="clear" w:color="auto" w:fill="auto"/>
            <w:noWrap/>
            <w:vAlign w:val="bottom"/>
            <w:hideMark/>
          </w:tcPr>
          <w:p w14:paraId="4517BB4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2,437</w:t>
            </w:r>
          </w:p>
        </w:tc>
        <w:tc>
          <w:tcPr>
            <w:tcW w:w="873" w:type="dxa"/>
            <w:tcBorders>
              <w:top w:val="nil"/>
              <w:left w:val="nil"/>
              <w:bottom w:val="single" w:sz="4" w:space="0" w:color="auto"/>
              <w:right w:val="single" w:sz="4" w:space="0" w:color="auto"/>
            </w:tcBorders>
            <w:shd w:val="clear" w:color="auto" w:fill="auto"/>
            <w:noWrap/>
            <w:vAlign w:val="bottom"/>
            <w:hideMark/>
          </w:tcPr>
          <w:p w14:paraId="3A79935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2,658</w:t>
            </w:r>
          </w:p>
        </w:tc>
        <w:tc>
          <w:tcPr>
            <w:tcW w:w="873" w:type="dxa"/>
            <w:tcBorders>
              <w:top w:val="nil"/>
              <w:left w:val="nil"/>
              <w:bottom w:val="single" w:sz="4" w:space="0" w:color="auto"/>
              <w:right w:val="single" w:sz="4" w:space="0" w:color="auto"/>
            </w:tcBorders>
            <w:shd w:val="clear" w:color="auto" w:fill="auto"/>
            <w:noWrap/>
            <w:vAlign w:val="bottom"/>
            <w:hideMark/>
          </w:tcPr>
          <w:p w14:paraId="6515B7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2,627</w:t>
            </w:r>
          </w:p>
        </w:tc>
        <w:tc>
          <w:tcPr>
            <w:tcW w:w="873" w:type="dxa"/>
            <w:tcBorders>
              <w:top w:val="nil"/>
              <w:left w:val="nil"/>
              <w:bottom w:val="single" w:sz="4" w:space="0" w:color="auto"/>
              <w:right w:val="single" w:sz="4" w:space="0" w:color="auto"/>
            </w:tcBorders>
            <w:shd w:val="clear" w:color="auto" w:fill="auto"/>
            <w:noWrap/>
            <w:vAlign w:val="bottom"/>
            <w:hideMark/>
          </w:tcPr>
          <w:p w14:paraId="0D3C460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2,708</w:t>
            </w:r>
          </w:p>
        </w:tc>
        <w:tc>
          <w:tcPr>
            <w:tcW w:w="873" w:type="dxa"/>
            <w:tcBorders>
              <w:top w:val="nil"/>
              <w:left w:val="nil"/>
              <w:bottom w:val="single" w:sz="4" w:space="0" w:color="auto"/>
              <w:right w:val="single" w:sz="4" w:space="0" w:color="auto"/>
            </w:tcBorders>
            <w:shd w:val="clear" w:color="auto" w:fill="auto"/>
            <w:noWrap/>
            <w:vAlign w:val="bottom"/>
            <w:hideMark/>
          </w:tcPr>
          <w:p w14:paraId="5C58183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2,847</w:t>
            </w:r>
          </w:p>
        </w:tc>
        <w:tc>
          <w:tcPr>
            <w:tcW w:w="873" w:type="dxa"/>
            <w:tcBorders>
              <w:top w:val="nil"/>
              <w:left w:val="nil"/>
              <w:bottom w:val="single" w:sz="4" w:space="0" w:color="auto"/>
              <w:right w:val="single" w:sz="4" w:space="0" w:color="auto"/>
            </w:tcBorders>
            <w:shd w:val="clear" w:color="auto" w:fill="auto"/>
            <w:noWrap/>
            <w:vAlign w:val="bottom"/>
            <w:hideMark/>
          </w:tcPr>
          <w:p w14:paraId="3AA6F3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3,101</w:t>
            </w:r>
          </w:p>
        </w:tc>
        <w:tc>
          <w:tcPr>
            <w:tcW w:w="873" w:type="dxa"/>
            <w:tcBorders>
              <w:top w:val="nil"/>
              <w:left w:val="nil"/>
              <w:bottom w:val="single" w:sz="4" w:space="0" w:color="auto"/>
              <w:right w:val="single" w:sz="4" w:space="0" w:color="auto"/>
            </w:tcBorders>
            <w:shd w:val="clear" w:color="auto" w:fill="auto"/>
            <w:noWrap/>
            <w:vAlign w:val="bottom"/>
            <w:hideMark/>
          </w:tcPr>
          <w:p w14:paraId="31CD660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3,448</w:t>
            </w:r>
          </w:p>
        </w:tc>
        <w:tc>
          <w:tcPr>
            <w:tcW w:w="873" w:type="dxa"/>
            <w:tcBorders>
              <w:top w:val="nil"/>
              <w:left w:val="nil"/>
              <w:bottom w:val="single" w:sz="4" w:space="0" w:color="auto"/>
              <w:right w:val="single" w:sz="4" w:space="0" w:color="auto"/>
            </w:tcBorders>
            <w:shd w:val="clear" w:color="auto" w:fill="auto"/>
            <w:noWrap/>
            <w:vAlign w:val="bottom"/>
            <w:hideMark/>
          </w:tcPr>
          <w:p w14:paraId="2FCF638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3,643</w:t>
            </w:r>
          </w:p>
        </w:tc>
        <w:tc>
          <w:tcPr>
            <w:tcW w:w="873" w:type="dxa"/>
            <w:tcBorders>
              <w:top w:val="nil"/>
              <w:left w:val="nil"/>
              <w:bottom w:val="single" w:sz="4" w:space="0" w:color="auto"/>
              <w:right w:val="single" w:sz="4" w:space="0" w:color="auto"/>
            </w:tcBorders>
            <w:shd w:val="clear" w:color="auto" w:fill="auto"/>
            <w:noWrap/>
            <w:vAlign w:val="bottom"/>
            <w:hideMark/>
          </w:tcPr>
          <w:p w14:paraId="422ABF4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4,399</w:t>
            </w:r>
          </w:p>
        </w:tc>
      </w:tr>
      <w:tr w:rsidR="00BF12D5" w:rsidRPr="00BD0223" w14:paraId="18316427" w14:textId="77777777" w:rsidTr="0039539B">
        <w:trPr>
          <w:trHeight w:val="302"/>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59B5F99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Outubro</w:t>
            </w:r>
          </w:p>
        </w:tc>
        <w:tc>
          <w:tcPr>
            <w:tcW w:w="768" w:type="dxa"/>
            <w:tcBorders>
              <w:top w:val="nil"/>
              <w:left w:val="nil"/>
              <w:bottom w:val="single" w:sz="4" w:space="0" w:color="auto"/>
              <w:right w:val="single" w:sz="4" w:space="0" w:color="auto"/>
            </w:tcBorders>
            <w:shd w:val="clear" w:color="auto" w:fill="auto"/>
            <w:noWrap/>
            <w:vAlign w:val="bottom"/>
            <w:hideMark/>
          </w:tcPr>
          <w:p w14:paraId="35340C8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2,47</w:t>
            </w:r>
          </w:p>
        </w:tc>
        <w:tc>
          <w:tcPr>
            <w:tcW w:w="873" w:type="dxa"/>
            <w:tcBorders>
              <w:top w:val="nil"/>
              <w:left w:val="nil"/>
              <w:bottom w:val="single" w:sz="4" w:space="0" w:color="auto"/>
              <w:right w:val="single" w:sz="4" w:space="0" w:color="auto"/>
            </w:tcBorders>
            <w:shd w:val="clear" w:color="auto" w:fill="auto"/>
            <w:noWrap/>
            <w:vAlign w:val="bottom"/>
            <w:hideMark/>
          </w:tcPr>
          <w:p w14:paraId="28D0D9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2,665</w:t>
            </w:r>
          </w:p>
        </w:tc>
        <w:tc>
          <w:tcPr>
            <w:tcW w:w="873" w:type="dxa"/>
            <w:tcBorders>
              <w:top w:val="nil"/>
              <w:left w:val="nil"/>
              <w:bottom w:val="single" w:sz="4" w:space="0" w:color="auto"/>
              <w:right w:val="single" w:sz="4" w:space="0" w:color="auto"/>
            </w:tcBorders>
            <w:shd w:val="clear" w:color="auto" w:fill="auto"/>
            <w:noWrap/>
            <w:vAlign w:val="bottom"/>
            <w:hideMark/>
          </w:tcPr>
          <w:p w14:paraId="6F33052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2,628</w:t>
            </w:r>
          </w:p>
        </w:tc>
        <w:tc>
          <w:tcPr>
            <w:tcW w:w="873" w:type="dxa"/>
            <w:tcBorders>
              <w:top w:val="nil"/>
              <w:left w:val="nil"/>
              <w:bottom w:val="single" w:sz="4" w:space="0" w:color="auto"/>
              <w:right w:val="single" w:sz="4" w:space="0" w:color="auto"/>
            </w:tcBorders>
            <w:shd w:val="clear" w:color="auto" w:fill="auto"/>
            <w:noWrap/>
            <w:vAlign w:val="bottom"/>
            <w:hideMark/>
          </w:tcPr>
          <w:p w14:paraId="135913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2,713</w:t>
            </w:r>
          </w:p>
        </w:tc>
        <w:tc>
          <w:tcPr>
            <w:tcW w:w="873" w:type="dxa"/>
            <w:tcBorders>
              <w:top w:val="nil"/>
              <w:left w:val="nil"/>
              <w:bottom w:val="single" w:sz="4" w:space="0" w:color="auto"/>
              <w:right w:val="single" w:sz="4" w:space="0" w:color="auto"/>
            </w:tcBorders>
            <w:shd w:val="clear" w:color="auto" w:fill="auto"/>
            <w:noWrap/>
            <w:vAlign w:val="bottom"/>
            <w:hideMark/>
          </w:tcPr>
          <w:p w14:paraId="5B45D6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2,844</w:t>
            </w:r>
          </w:p>
        </w:tc>
        <w:tc>
          <w:tcPr>
            <w:tcW w:w="873" w:type="dxa"/>
            <w:tcBorders>
              <w:top w:val="nil"/>
              <w:left w:val="nil"/>
              <w:bottom w:val="single" w:sz="4" w:space="0" w:color="auto"/>
              <w:right w:val="single" w:sz="4" w:space="0" w:color="auto"/>
            </w:tcBorders>
            <w:shd w:val="clear" w:color="auto" w:fill="auto"/>
            <w:noWrap/>
            <w:vAlign w:val="bottom"/>
            <w:hideMark/>
          </w:tcPr>
          <w:p w14:paraId="2138287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3,315</w:t>
            </w:r>
          </w:p>
        </w:tc>
        <w:tc>
          <w:tcPr>
            <w:tcW w:w="873" w:type="dxa"/>
            <w:tcBorders>
              <w:top w:val="nil"/>
              <w:left w:val="nil"/>
              <w:bottom w:val="single" w:sz="4" w:space="0" w:color="auto"/>
              <w:right w:val="single" w:sz="4" w:space="0" w:color="auto"/>
            </w:tcBorders>
            <w:shd w:val="clear" w:color="auto" w:fill="auto"/>
            <w:noWrap/>
            <w:vAlign w:val="bottom"/>
            <w:hideMark/>
          </w:tcPr>
          <w:p w14:paraId="02753C5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3,468</w:t>
            </w:r>
          </w:p>
        </w:tc>
        <w:tc>
          <w:tcPr>
            <w:tcW w:w="873" w:type="dxa"/>
            <w:tcBorders>
              <w:top w:val="nil"/>
              <w:left w:val="nil"/>
              <w:bottom w:val="single" w:sz="4" w:space="0" w:color="auto"/>
              <w:right w:val="single" w:sz="4" w:space="0" w:color="auto"/>
            </w:tcBorders>
            <w:shd w:val="clear" w:color="auto" w:fill="auto"/>
            <w:noWrap/>
            <w:vAlign w:val="bottom"/>
            <w:hideMark/>
          </w:tcPr>
          <w:p w14:paraId="6697B6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3,698</w:t>
            </w:r>
          </w:p>
        </w:tc>
        <w:tc>
          <w:tcPr>
            <w:tcW w:w="873" w:type="dxa"/>
            <w:tcBorders>
              <w:top w:val="nil"/>
              <w:left w:val="nil"/>
              <w:bottom w:val="single" w:sz="4" w:space="0" w:color="auto"/>
              <w:right w:val="single" w:sz="4" w:space="0" w:color="auto"/>
            </w:tcBorders>
            <w:shd w:val="clear" w:color="auto" w:fill="auto"/>
            <w:noWrap/>
            <w:vAlign w:val="bottom"/>
            <w:hideMark/>
          </w:tcPr>
          <w:p w14:paraId="6534085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4,499</w:t>
            </w:r>
          </w:p>
        </w:tc>
      </w:tr>
      <w:tr w:rsidR="00BF12D5" w:rsidRPr="00BD0223" w14:paraId="2C57D750" w14:textId="77777777" w:rsidTr="0039539B">
        <w:trPr>
          <w:trHeight w:val="302"/>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39DBDE8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Novembro</w:t>
            </w:r>
          </w:p>
        </w:tc>
        <w:tc>
          <w:tcPr>
            <w:tcW w:w="768" w:type="dxa"/>
            <w:tcBorders>
              <w:top w:val="nil"/>
              <w:left w:val="nil"/>
              <w:bottom w:val="single" w:sz="4" w:space="0" w:color="auto"/>
              <w:right w:val="single" w:sz="4" w:space="0" w:color="auto"/>
            </w:tcBorders>
            <w:shd w:val="clear" w:color="auto" w:fill="auto"/>
            <w:noWrap/>
            <w:vAlign w:val="bottom"/>
            <w:hideMark/>
          </w:tcPr>
          <w:p w14:paraId="42F4708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2,483</w:t>
            </w:r>
          </w:p>
        </w:tc>
        <w:tc>
          <w:tcPr>
            <w:tcW w:w="873" w:type="dxa"/>
            <w:tcBorders>
              <w:top w:val="nil"/>
              <w:left w:val="nil"/>
              <w:bottom w:val="single" w:sz="4" w:space="0" w:color="auto"/>
              <w:right w:val="single" w:sz="4" w:space="0" w:color="auto"/>
            </w:tcBorders>
            <w:shd w:val="clear" w:color="auto" w:fill="auto"/>
            <w:noWrap/>
            <w:vAlign w:val="bottom"/>
            <w:hideMark/>
          </w:tcPr>
          <w:p w14:paraId="368EC2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2,658</w:t>
            </w:r>
          </w:p>
        </w:tc>
        <w:tc>
          <w:tcPr>
            <w:tcW w:w="873" w:type="dxa"/>
            <w:tcBorders>
              <w:top w:val="nil"/>
              <w:left w:val="nil"/>
              <w:bottom w:val="single" w:sz="4" w:space="0" w:color="auto"/>
              <w:right w:val="single" w:sz="4" w:space="0" w:color="auto"/>
            </w:tcBorders>
            <w:shd w:val="clear" w:color="auto" w:fill="auto"/>
            <w:noWrap/>
            <w:vAlign w:val="bottom"/>
            <w:hideMark/>
          </w:tcPr>
          <w:p w14:paraId="1DB7CE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2,627</w:t>
            </w:r>
          </w:p>
        </w:tc>
        <w:tc>
          <w:tcPr>
            <w:tcW w:w="873" w:type="dxa"/>
            <w:tcBorders>
              <w:top w:val="nil"/>
              <w:left w:val="nil"/>
              <w:bottom w:val="single" w:sz="4" w:space="0" w:color="auto"/>
              <w:right w:val="single" w:sz="4" w:space="0" w:color="auto"/>
            </w:tcBorders>
            <w:shd w:val="clear" w:color="auto" w:fill="auto"/>
            <w:noWrap/>
            <w:vAlign w:val="bottom"/>
            <w:hideMark/>
          </w:tcPr>
          <w:p w14:paraId="2F84A8D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2,717</w:t>
            </w:r>
          </w:p>
        </w:tc>
        <w:tc>
          <w:tcPr>
            <w:tcW w:w="873" w:type="dxa"/>
            <w:tcBorders>
              <w:top w:val="nil"/>
              <w:left w:val="nil"/>
              <w:bottom w:val="single" w:sz="4" w:space="0" w:color="auto"/>
              <w:right w:val="single" w:sz="4" w:space="0" w:color="auto"/>
            </w:tcBorders>
            <w:shd w:val="clear" w:color="auto" w:fill="auto"/>
            <w:noWrap/>
            <w:vAlign w:val="bottom"/>
            <w:hideMark/>
          </w:tcPr>
          <w:p w14:paraId="0F4F412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2,886</w:t>
            </w:r>
          </w:p>
        </w:tc>
        <w:tc>
          <w:tcPr>
            <w:tcW w:w="873" w:type="dxa"/>
            <w:tcBorders>
              <w:top w:val="nil"/>
              <w:left w:val="nil"/>
              <w:bottom w:val="single" w:sz="4" w:space="0" w:color="auto"/>
              <w:right w:val="single" w:sz="4" w:space="0" w:color="auto"/>
            </w:tcBorders>
            <w:shd w:val="clear" w:color="auto" w:fill="auto"/>
            <w:noWrap/>
            <w:vAlign w:val="bottom"/>
            <w:hideMark/>
          </w:tcPr>
          <w:p w14:paraId="6E83AD0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3,449</w:t>
            </w:r>
          </w:p>
        </w:tc>
        <w:tc>
          <w:tcPr>
            <w:tcW w:w="873" w:type="dxa"/>
            <w:tcBorders>
              <w:top w:val="nil"/>
              <w:left w:val="nil"/>
              <w:bottom w:val="single" w:sz="4" w:space="0" w:color="auto"/>
              <w:right w:val="single" w:sz="4" w:space="0" w:color="auto"/>
            </w:tcBorders>
            <w:shd w:val="clear" w:color="auto" w:fill="auto"/>
            <w:noWrap/>
            <w:vAlign w:val="bottom"/>
            <w:hideMark/>
          </w:tcPr>
          <w:p w14:paraId="4C924F1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3,507</w:t>
            </w:r>
          </w:p>
        </w:tc>
        <w:tc>
          <w:tcPr>
            <w:tcW w:w="873" w:type="dxa"/>
            <w:tcBorders>
              <w:top w:val="nil"/>
              <w:left w:val="nil"/>
              <w:bottom w:val="single" w:sz="4" w:space="0" w:color="auto"/>
              <w:right w:val="single" w:sz="4" w:space="0" w:color="auto"/>
            </w:tcBorders>
            <w:shd w:val="clear" w:color="auto" w:fill="auto"/>
            <w:noWrap/>
            <w:vAlign w:val="bottom"/>
            <w:hideMark/>
          </w:tcPr>
          <w:p w14:paraId="23F12C4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3,818</w:t>
            </w:r>
          </w:p>
        </w:tc>
        <w:tc>
          <w:tcPr>
            <w:tcW w:w="873" w:type="dxa"/>
            <w:tcBorders>
              <w:top w:val="nil"/>
              <w:left w:val="nil"/>
              <w:bottom w:val="single" w:sz="4" w:space="0" w:color="auto"/>
              <w:right w:val="single" w:sz="4" w:space="0" w:color="auto"/>
            </w:tcBorders>
            <w:shd w:val="clear" w:color="auto" w:fill="auto"/>
            <w:noWrap/>
            <w:vAlign w:val="bottom"/>
            <w:hideMark/>
          </w:tcPr>
          <w:p w14:paraId="763D64F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4,372</w:t>
            </w:r>
          </w:p>
        </w:tc>
      </w:tr>
      <w:tr w:rsidR="00BF12D5" w:rsidRPr="00BD0223" w14:paraId="22DCAE42" w14:textId="77777777" w:rsidTr="0039539B">
        <w:trPr>
          <w:trHeight w:val="302"/>
          <w:jc w:val="center"/>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14:paraId="40EBE1B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Dezembro</w:t>
            </w:r>
          </w:p>
        </w:tc>
        <w:tc>
          <w:tcPr>
            <w:tcW w:w="768" w:type="dxa"/>
            <w:tcBorders>
              <w:top w:val="nil"/>
              <w:left w:val="nil"/>
              <w:bottom w:val="single" w:sz="4" w:space="0" w:color="auto"/>
              <w:right w:val="single" w:sz="4" w:space="0" w:color="auto"/>
            </w:tcBorders>
            <w:shd w:val="clear" w:color="auto" w:fill="auto"/>
            <w:noWrap/>
            <w:vAlign w:val="bottom"/>
            <w:hideMark/>
          </w:tcPr>
          <w:p w14:paraId="343F188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2,499</w:t>
            </w:r>
          </w:p>
        </w:tc>
        <w:tc>
          <w:tcPr>
            <w:tcW w:w="873" w:type="dxa"/>
            <w:tcBorders>
              <w:top w:val="nil"/>
              <w:left w:val="nil"/>
              <w:bottom w:val="single" w:sz="4" w:space="0" w:color="auto"/>
              <w:right w:val="single" w:sz="4" w:space="0" w:color="auto"/>
            </w:tcBorders>
            <w:shd w:val="clear" w:color="auto" w:fill="auto"/>
            <w:noWrap/>
            <w:vAlign w:val="bottom"/>
            <w:hideMark/>
          </w:tcPr>
          <w:p w14:paraId="739CAD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2,659</w:t>
            </w:r>
          </w:p>
        </w:tc>
        <w:tc>
          <w:tcPr>
            <w:tcW w:w="873" w:type="dxa"/>
            <w:tcBorders>
              <w:top w:val="nil"/>
              <w:left w:val="nil"/>
              <w:bottom w:val="single" w:sz="4" w:space="0" w:color="auto"/>
              <w:right w:val="single" w:sz="4" w:space="0" w:color="auto"/>
            </w:tcBorders>
            <w:shd w:val="clear" w:color="auto" w:fill="auto"/>
            <w:noWrap/>
            <w:vAlign w:val="bottom"/>
            <w:hideMark/>
          </w:tcPr>
          <w:p w14:paraId="5CC6C15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2,638</w:t>
            </w:r>
          </w:p>
        </w:tc>
        <w:tc>
          <w:tcPr>
            <w:tcW w:w="873" w:type="dxa"/>
            <w:tcBorders>
              <w:top w:val="nil"/>
              <w:left w:val="nil"/>
              <w:bottom w:val="single" w:sz="4" w:space="0" w:color="auto"/>
              <w:right w:val="single" w:sz="4" w:space="0" w:color="auto"/>
            </w:tcBorders>
            <w:shd w:val="clear" w:color="auto" w:fill="auto"/>
            <w:noWrap/>
            <w:vAlign w:val="bottom"/>
            <w:hideMark/>
          </w:tcPr>
          <w:p w14:paraId="4FF3059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2,827</w:t>
            </w:r>
          </w:p>
        </w:tc>
        <w:tc>
          <w:tcPr>
            <w:tcW w:w="873" w:type="dxa"/>
            <w:tcBorders>
              <w:top w:val="nil"/>
              <w:left w:val="nil"/>
              <w:bottom w:val="single" w:sz="4" w:space="0" w:color="auto"/>
              <w:right w:val="single" w:sz="4" w:space="0" w:color="auto"/>
            </w:tcBorders>
            <w:shd w:val="clear" w:color="auto" w:fill="auto"/>
            <w:noWrap/>
            <w:vAlign w:val="bottom"/>
            <w:hideMark/>
          </w:tcPr>
          <w:p w14:paraId="392A181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2,904</w:t>
            </w:r>
          </w:p>
        </w:tc>
        <w:tc>
          <w:tcPr>
            <w:tcW w:w="873" w:type="dxa"/>
            <w:tcBorders>
              <w:top w:val="nil"/>
              <w:left w:val="nil"/>
              <w:bottom w:val="single" w:sz="4" w:space="0" w:color="auto"/>
              <w:right w:val="single" w:sz="4" w:space="0" w:color="auto"/>
            </w:tcBorders>
            <w:shd w:val="clear" w:color="auto" w:fill="auto"/>
            <w:noWrap/>
            <w:vAlign w:val="bottom"/>
            <w:hideMark/>
          </w:tcPr>
          <w:p w14:paraId="1EEA367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3,507</w:t>
            </w:r>
          </w:p>
        </w:tc>
        <w:tc>
          <w:tcPr>
            <w:tcW w:w="873" w:type="dxa"/>
            <w:tcBorders>
              <w:top w:val="nil"/>
              <w:left w:val="nil"/>
              <w:bottom w:val="single" w:sz="4" w:space="0" w:color="auto"/>
              <w:right w:val="single" w:sz="4" w:space="0" w:color="auto"/>
            </w:tcBorders>
            <w:shd w:val="clear" w:color="auto" w:fill="auto"/>
            <w:noWrap/>
            <w:vAlign w:val="bottom"/>
            <w:hideMark/>
          </w:tcPr>
          <w:p w14:paraId="1A3766F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3,573</w:t>
            </w:r>
          </w:p>
        </w:tc>
        <w:tc>
          <w:tcPr>
            <w:tcW w:w="873" w:type="dxa"/>
            <w:tcBorders>
              <w:top w:val="nil"/>
              <w:left w:val="nil"/>
              <w:bottom w:val="single" w:sz="4" w:space="0" w:color="auto"/>
              <w:right w:val="single" w:sz="4" w:space="0" w:color="auto"/>
            </w:tcBorders>
            <w:shd w:val="clear" w:color="auto" w:fill="auto"/>
            <w:noWrap/>
            <w:vAlign w:val="bottom"/>
            <w:hideMark/>
          </w:tcPr>
          <w:p w14:paraId="5A75EA5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3,92</w:t>
            </w:r>
          </w:p>
        </w:tc>
        <w:tc>
          <w:tcPr>
            <w:tcW w:w="873" w:type="dxa"/>
            <w:tcBorders>
              <w:top w:val="nil"/>
              <w:left w:val="nil"/>
              <w:bottom w:val="single" w:sz="4" w:space="0" w:color="auto"/>
              <w:right w:val="single" w:sz="4" w:space="0" w:color="auto"/>
            </w:tcBorders>
            <w:shd w:val="clear" w:color="auto" w:fill="auto"/>
            <w:noWrap/>
            <w:vAlign w:val="bottom"/>
            <w:hideMark/>
          </w:tcPr>
          <w:p w14:paraId="78AD13C7" w14:textId="77777777" w:rsidR="00BF12D5" w:rsidRPr="00BD0223" w:rsidRDefault="00BF12D5" w:rsidP="0039539B">
            <w:pPr>
              <w:keepNext/>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4,148</w:t>
            </w:r>
          </w:p>
        </w:tc>
      </w:tr>
    </w:tbl>
    <w:p w14:paraId="0715E249" w14:textId="77777777" w:rsidR="00BF12D5" w:rsidRPr="008D398D" w:rsidRDefault="00BF12D5" w:rsidP="00BF12D5">
      <w:pPr>
        <w:pStyle w:val="Ttabela-fonte"/>
        <w:rPr>
          <w:color w:val="FF0000"/>
        </w:rPr>
      </w:pPr>
      <w:r w:rsidRPr="00BD0223">
        <w:t>Fonte: ANP</w:t>
      </w:r>
      <w:r>
        <w:t xml:space="preserve">. </w:t>
      </w:r>
      <w:r w:rsidRPr="00906965">
        <w:t>Elaboração do Autor</w:t>
      </w:r>
      <w:r w:rsidRPr="008D398D">
        <w:rPr>
          <w:color w:val="FF0000"/>
        </w:rPr>
        <w:t>.</w:t>
      </w:r>
    </w:p>
    <w:p w14:paraId="6D96C8DB" w14:textId="77777777" w:rsidR="00BF12D5" w:rsidRDefault="00BF12D5" w:rsidP="00BF12D5">
      <w:pPr>
        <w:rPr>
          <w:lang w:eastAsia="pt-PT"/>
        </w:rPr>
      </w:pPr>
    </w:p>
    <w:p w14:paraId="49F16D2E" w14:textId="77777777" w:rsidR="004F409C" w:rsidRDefault="004F409C" w:rsidP="00BF12D5">
      <w:pPr>
        <w:pStyle w:val="Tfigura-titulo"/>
        <w:jc w:val="both"/>
      </w:pPr>
    </w:p>
    <w:p w14:paraId="4CA47E8E" w14:textId="43CDD1AB" w:rsidR="00BF12D5" w:rsidRPr="00BD0223" w:rsidRDefault="00BF12D5" w:rsidP="00BF12D5">
      <w:pPr>
        <w:pStyle w:val="Tfigura-titulo"/>
        <w:jc w:val="both"/>
      </w:pPr>
      <w:r w:rsidRPr="00BD0223">
        <w:t>Tabela 11 – Preço médio corrente em reais do litro do óleo diesel, mês a mês, registrado nos postos de combustíveis do estado de Minas Gerais de 2010 a 2018.</w:t>
      </w:r>
    </w:p>
    <w:tbl>
      <w:tblPr>
        <w:tblW w:w="5000" w:type="pct"/>
        <w:jc w:val="center"/>
        <w:tblCellMar>
          <w:left w:w="70" w:type="dxa"/>
          <w:right w:w="70" w:type="dxa"/>
        </w:tblCellMar>
        <w:tblLook w:val="04A0" w:firstRow="1" w:lastRow="0" w:firstColumn="1" w:lastColumn="0" w:noHBand="0" w:noVBand="1"/>
      </w:tblPr>
      <w:tblGrid>
        <w:gridCol w:w="1300"/>
        <w:gridCol w:w="730"/>
        <w:gridCol w:w="878"/>
        <w:gridCol w:w="879"/>
        <w:gridCol w:w="879"/>
        <w:gridCol w:w="879"/>
        <w:gridCol w:w="879"/>
        <w:gridCol w:w="879"/>
        <w:gridCol w:w="879"/>
        <w:gridCol w:w="879"/>
      </w:tblGrid>
      <w:tr w:rsidR="00BF12D5" w:rsidRPr="001C03A7" w14:paraId="7F29E4F9" w14:textId="77777777" w:rsidTr="0039539B">
        <w:trPr>
          <w:trHeight w:val="255"/>
          <w:tblHeader/>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7F74F"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14:paraId="29F776DB"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2010</w:t>
            </w:r>
          </w:p>
        </w:tc>
        <w:tc>
          <w:tcPr>
            <w:tcW w:w="878" w:type="dxa"/>
            <w:tcBorders>
              <w:top w:val="single" w:sz="4" w:space="0" w:color="auto"/>
              <w:left w:val="nil"/>
              <w:bottom w:val="single" w:sz="4" w:space="0" w:color="auto"/>
              <w:right w:val="single" w:sz="4" w:space="0" w:color="auto"/>
            </w:tcBorders>
            <w:shd w:val="clear" w:color="auto" w:fill="auto"/>
            <w:noWrap/>
            <w:vAlign w:val="bottom"/>
            <w:hideMark/>
          </w:tcPr>
          <w:p w14:paraId="15976B48"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2011</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6CFB53B7"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2012</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00C773EB"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2013</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7EB6A927"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2014</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40843282"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2015</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2A92757A"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2016</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4FB19167"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2017</w:t>
            </w:r>
          </w:p>
        </w:tc>
        <w:tc>
          <w:tcPr>
            <w:tcW w:w="879" w:type="dxa"/>
            <w:tcBorders>
              <w:top w:val="single" w:sz="4" w:space="0" w:color="auto"/>
              <w:left w:val="nil"/>
              <w:bottom w:val="single" w:sz="4" w:space="0" w:color="auto"/>
              <w:right w:val="single" w:sz="4" w:space="0" w:color="auto"/>
            </w:tcBorders>
            <w:shd w:val="clear" w:color="auto" w:fill="auto"/>
            <w:noWrap/>
            <w:vAlign w:val="bottom"/>
            <w:hideMark/>
          </w:tcPr>
          <w:p w14:paraId="6A23EC37"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2018</w:t>
            </w:r>
          </w:p>
        </w:tc>
      </w:tr>
      <w:tr w:rsidR="00BF12D5" w:rsidRPr="00BD0223" w14:paraId="0814B0D6" w14:textId="77777777" w:rsidTr="0039539B">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54233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Janeiro</w:t>
            </w:r>
          </w:p>
        </w:tc>
        <w:tc>
          <w:tcPr>
            <w:tcW w:w="730" w:type="dxa"/>
            <w:tcBorders>
              <w:top w:val="nil"/>
              <w:left w:val="nil"/>
              <w:bottom w:val="single" w:sz="4" w:space="0" w:color="auto"/>
              <w:right w:val="single" w:sz="4" w:space="0" w:color="auto"/>
            </w:tcBorders>
            <w:shd w:val="clear" w:color="auto" w:fill="auto"/>
            <w:noWrap/>
            <w:vAlign w:val="bottom"/>
            <w:hideMark/>
          </w:tcPr>
          <w:p w14:paraId="57B89FC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1,952</w:t>
            </w:r>
          </w:p>
        </w:tc>
        <w:tc>
          <w:tcPr>
            <w:tcW w:w="878" w:type="dxa"/>
            <w:tcBorders>
              <w:top w:val="nil"/>
              <w:left w:val="nil"/>
              <w:bottom w:val="single" w:sz="4" w:space="0" w:color="auto"/>
              <w:right w:val="single" w:sz="4" w:space="0" w:color="auto"/>
            </w:tcBorders>
            <w:shd w:val="clear" w:color="auto" w:fill="auto"/>
            <w:noWrap/>
            <w:vAlign w:val="bottom"/>
            <w:hideMark/>
          </w:tcPr>
          <w:p w14:paraId="60D70D0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1,965</w:t>
            </w:r>
          </w:p>
        </w:tc>
        <w:tc>
          <w:tcPr>
            <w:tcW w:w="879" w:type="dxa"/>
            <w:tcBorders>
              <w:top w:val="nil"/>
              <w:left w:val="nil"/>
              <w:bottom w:val="single" w:sz="4" w:space="0" w:color="auto"/>
              <w:right w:val="single" w:sz="4" w:space="0" w:color="auto"/>
            </w:tcBorders>
            <w:shd w:val="clear" w:color="auto" w:fill="auto"/>
            <w:noWrap/>
            <w:vAlign w:val="bottom"/>
            <w:hideMark/>
          </w:tcPr>
          <w:p w14:paraId="351ACC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2,033</w:t>
            </w:r>
          </w:p>
        </w:tc>
        <w:tc>
          <w:tcPr>
            <w:tcW w:w="879" w:type="dxa"/>
            <w:tcBorders>
              <w:top w:val="nil"/>
              <w:left w:val="nil"/>
              <w:bottom w:val="single" w:sz="4" w:space="0" w:color="auto"/>
              <w:right w:val="single" w:sz="4" w:space="0" w:color="auto"/>
            </w:tcBorders>
            <w:shd w:val="clear" w:color="auto" w:fill="auto"/>
            <w:noWrap/>
            <w:vAlign w:val="bottom"/>
            <w:hideMark/>
          </w:tcPr>
          <w:p w14:paraId="6025703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2,172</w:t>
            </w:r>
          </w:p>
        </w:tc>
        <w:tc>
          <w:tcPr>
            <w:tcW w:w="879" w:type="dxa"/>
            <w:tcBorders>
              <w:top w:val="nil"/>
              <w:left w:val="nil"/>
              <w:bottom w:val="single" w:sz="4" w:space="0" w:color="auto"/>
              <w:right w:val="single" w:sz="4" w:space="0" w:color="auto"/>
            </w:tcBorders>
            <w:shd w:val="clear" w:color="auto" w:fill="auto"/>
            <w:noWrap/>
            <w:vAlign w:val="bottom"/>
            <w:hideMark/>
          </w:tcPr>
          <w:p w14:paraId="174E127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2,507</w:t>
            </w:r>
          </w:p>
        </w:tc>
        <w:tc>
          <w:tcPr>
            <w:tcW w:w="879" w:type="dxa"/>
            <w:tcBorders>
              <w:top w:val="nil"/>
              <w:left w:val="nil"/>
              <w:bottom w:val="single" w:sz="4" w:space="0" w:color="auto"/>
              <w:right w:val="single" w:sz="4" w:space="0" w:color="auto"/>
            </w:tcBorders>
            <w:shd w:val="clear" w:color="auto" w:fill="auto"/>
            <w:noWrap/>
            <w:vAlign w:val="bottom"/>
            <w:hideMark/>
          </w:tcPr>
          <w:p w14:paraId="29284DE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2,611</w:t>
            </w:r>
          </w:p>
        </w:tc>
        <w:tc>
          <w:tcPr>
            <w:tcW w:w="879" w:type="dxa"/>
            <w:tcBorders>
              <w:top w:val="nil"/>
              <w:left w:val="nil"/>
              <w:bottom w:val="single" w:sz="4" w:space="0" w:color="auto"/>
              <w:right w:val="single" w:sz="4" w:space="0" w:color="auto"/>
            </w:tcBorders>
            <w:shd w:val="clear" w:color="auto" w:fill="auto"/>
            <w:noWrap/>
            <w:vAlign w:val="bottom"/>
            <w:hideMark/>
          </w:tcPr>
          <w:p w14:paraId="0A427B5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2,992</w:t>
            </w:r>
          </w:p>
        </w:tc>
        <w:tc>
          <w:tcPr>
            <w:tcW w:w="879" w:type="dxa"/>
            <w:tcBorders>
              <w:top w:val="nil"/>
              <w:left w:val="nil"/>
              <w:bottom w:val="single" w:sz="4" w:space="0" w:color="auto"/>
              <w:right w:val="single" w:sz="4" w:space="0" w:color="auto"/>
            </w:tcBorders>
            <w:shd w:val="clear" w:color="auto" w:fill="auto"/>
            <w:noWrap/>
            <w:vAlign w:val="bottom"/>
            <w:hideMark/>
          </w:tcPr>
          <w:p w14:paraId="338308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3,092</w:t>
            </w:r>
          </w:p>
        </w:tc>
        <w:tc>
          <w:tcPr>
            <w:tcW w:w="879" w:type="dxa"/>
            <w:tcBorders>
              <w:top w:val="nil"/>
              <w:left w:val="nil"/>
              <w:bottom w:val="single" w:sz="4" w:space="0" w:color="auto"/>
              <w:right w:val="single" w:sz="4" w:space="0" w:color="auto"/>
            </w:tcBorders>
            <w:shd w:val="clear" w:color="auto" w:fill="auto"/>
            <w:noWrap/>
            <w:vAlign w:val="bottom"/>
            <w:hideMark/>
          </w:tcPr>
          <w:p w14:paraId="44D7062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3,455</w:t>
            </w:r>
          </w:p>
        </w:tc>
      </w:tr>
      <w:tr w:rsidR="00BF12D5" w:rsidRPr="00BD0223" w14:paraId="738340DD" w14:textId="77777777" w:rsidTr="0039539B">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CD0B5F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Fevereiro</w:t>
            </w:r>
          </w:p>
        </w:tc>
        <w:tc>
          <w:tcPr>
            <w:tcW w:w="730" w:type="dxa"/>
            <w:tcBorders>
              <w:top w:val="nil"/>
              <w:left w:val="nil"/>
              <w:bottom w:val="single" w:sz="4" w:space="0" w:color="auto"/>
              <w:right w:val="single" w:sz="4" w:space="0" w:color="auto"/>
            </w:tcBorders>
            <w:shd w:val="clear" w:color="auto" w:fill="auto"/>
            <w:noWrap/>
            <w:vAlign w:val="bottom"/>
            <w:hideMark/>
          </w:tcPr>
          <w:p w14:paraId="0DE1B5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1,954</w:t>
            </w:r>
          </w:p>
        </w:tc>
        <w:tc>
          <w:tcPr>
            <w:tcW w:w="878" w:type="dxa"/>
            <w:tcBorders>
              <w:top w:val="nil"/>
              <w:left w:val="nil"/>
              <w:bottom w:val="single" w:sz="4" w:space="0" w:color="auto"/>
              <w:right w:val="single" w:sz="4" w:space="0" w:color="auto"/>
            </w:tcBorders>
            <w:shd w:val="clear" w:color="auto" w:fill="auto"/>
            <w:noWrap/>
            <w:vAlign w:val="bottom"/>
            <w:hideMark/>
          </w:tcPr>
          <w:p w14:paraId="270550C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1,972</w:t>
            </w:r>
          </w:p>
        </w:tc>
        <w:tc>
          <w:tcPr>
            <w:tcW w:w="879" w:type="dxa"/>
            <w:tcBorders>
              <w:top w:val="nil"/>
              <w:left w:val="nil"/>
              <w:bottom w:val="single" w:sz="4" w:space="0" w:color="auto"/>
              <w:right w:val="single" w:sz="4" w:space="0" w:color="auto"/>
            </w:tcBorders>
            <w:shd w:val="clear" w:color="auto" w:fill="auto"/>
            <w:noWrap/>
            <w:vAlign w:val="bottom"/>
            <w:hideMark/>
          </w:tcPr>
          <w:p w14:paraId="11F7A7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2,05</w:t>
            </w:r>
          </w:p>
        </w:tc>
        <w:tc>
          <w:tcPr>
            <w:tcW w:w="879" w:type="dxa"/>
            <w:tcBorders>
              <w:top w:val="nil"/>
              <w:left w:val="nil"/>
              <w:bottom w:val="single" w:sz="4" w:space="0" w:color="auto"/>
              <w:right w:val="single" w:sz="4" w:space="0" w:color="auto"/>
            </w:tcBorders>
            <w:shd w:val="clear" w:color="auto" w:fill="auto"/>
            <w:noWrap/>
            <w:vAlign w:val="bottom"/>
            <w:hideMark/>
          </w:tcPr>
          <w:p w14:paraId="64EA331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2,264</w:t>
            </w:r>
          </w:p>
        </w:tc>
        <w:tc>
          <w:tcPr>
            <w:tcW w:w="879" w:type="dxa"/>
            <w:tcBorders>
              <w:top w:val="nil"/>
              <w:left w:val="nil"/>
              <w:bottom w:val="single" w:sz="4" w:space="0" w:color="auto"/>
              <w:right w:val="single" w:sz="4" w:space="0" w:color="auto"/>
            </w:tcBorders>
            <w:shd w:val="clear" w:color="auto" w:fill="auto"/>
            <w:noWrap/>
            <w:vAlign w:val="bottom"/>
            <w:hideMark/>
          </w:tcPr>
          <w:p w14:paraId="07B776E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2,512</w:t>
            </w:r>
          </w:p>
        </w:tc>
        <w:tc>
          <w:tcPr>
            <w:tcW w:w="879" w:type="dxa"/>
            <w:tcBorders>
              <w:top w:val="nil"/>
              <w:left w:val="nil"/>
              <w:bottom w:val="single" w:sz="4" w:space="0" w:color="auto"/>
              <w:right w:val="single" w:sz="4" w:space="0" w:color="auto"/>
            </w:tcBorders>
            <w:shd w:val="clear" w:color="auto" w:fill="auto"/>
            <w:noWrap/>
            <w:vAlign w:val="bottom"/>
            <w:hideMark/>
          </w:tcPr>
          <w:p w14:paraId="2459BC4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2,795</w:t>
            </w:r>
          </w:p>
        </w:tc>
        <w:tc>
          <w:tcPr>
            <w:tcW w:w="879" w:type="dxa"/>
            <w:tcBorders>
              <w:top w:val="nil"/>
              <w:left w:val="nil"/>
              <w:bottom w:val="single" w:sz="4" w:space="0" w:color="auto"/>
              <w:right w:val="single" w:sz="4" w:space="0" w:color="auto"/>
            </w:tcBorders>
            <w:shd w:val="clear" w:color="auto" w:fill="auto"/>
            <w:noWrap/>
            <w:vAlign w:val="bottom"/>
            <w:hideMark/>
          </w:tcPr>
          <w:p w14:paraId="2198143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3,003</w:t>
            </w:r>
          </w:p>
        </w:tc>
        <w:tc>
          <w:tcPr>
            <w:tcW w:w="879" w:type="dxa"/>
            <w:tcBorders>
              <w:top w:val="nil"/>
              <w:left w:val="nil"/>
              <w:bottom w:val="single" w:sz="4" w:space="0" w:color="auto"/>
              <w:right w:val="single" w:sz="4" w:space="0" w:color="auto"/>
            </w:tcBorders>
            <w:shd w:val="clear" w:color="auto" w:fill="auto"/>
            <w:noWrap/>
            <w:vAlign w:val="bottom"/>
            <w:hideMark/>
          </w:tcPr>
          <w:p w14:paraId="624CF6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3,093</w:t>
            </w:r>
          </w:p>
        </w:tc>
        <w:tc>
          <w:tcPr>
            <w:tcW w:w="879" w:type="dxa"/>
            <w:tcBorders>
              <w:top w:val="nil"/>
              <w:left w:val="nil"/>
              <w:bottom w:val="single" w:sz="4" w:space="0" w:color="auto"/>
              <w:right w:val="single" w:sz="4" w:space="0" w:color="auto"/>
            </w:tcBorders>
            <w:shd w:val="clear" w:color="auto" w:fill="auto"/>
            <w:noWrap/>
            <w:vAlign w:val="bottom"/>
            <w:hideMark/>
          </w:tcPr>
          <w:p w14:paraId="3D9E0DC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3,47</w:t>
            </w:r>
          </w:p>
        </w:tc>
      </w:tr>
      <w:tr w:rsidR="00BF12D5" w:rsidRPr="00BD0223" w14:paraId="25BE4698" w14:textId="77777777" w:rsidTr="0039539B">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D5C59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Março</w:t>
            </w:r>
          </w:p>
        </w:tc>
        <w:tc>
          <w:tcPr>
            <w:tcW w:w="730" w:type="dxa"/>
            <w:tcBorders>
              <w:top w:val="nil"/>
              <w:left w:val="nil"/>
              <w:bottom w:val="single" w:sz="4" w:space="0" w:color="auto"/>
              <w:right w:val="single" w:sz="4" w:space="0" w:color="auto"/>
            </w:tcBorders>
            <w:shd w:val="clear" w:color="auto" w:fill="auto"/>
            <w:noWrap/>
            <w:vAlign w:val="bottom"/>
            <w:hideMark/>
          </w:tcPr>
          <w:p w14:paraId="2AE6DBA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1,956</w:t>
            </w:r>
          </w:p>
        </w:tc>
        <w:tc>
          <w:tcPr>
            <w:tcW w:w="878" w:type="dxa"/>
            <w:tcBorders>
              <w:top w:val="nil"/>
              <w:left w:val="nil"/>
              <w:bottom w:val="single" w:sz="4" w:space="0" w:color="auto"/>
              <w:right w:val="single" w:sz="4" w:space="0" w:color="auto"/>
            </w:tcBorders>
            <w:shd w:val="clear" w:color="auto" w:fill="auto"/>
            <w:noWrap/>
            <w:vAlign w:val="bottom"/>
            <w:hideMark/>
          </w:tcPr>
          <w:p w14:paraId="7584E2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1,983</w:t>
            </w:r>
          </w:p>
        </w:tc>
        <w:tc>
          <w:tcPr>
            <w:tcW w:w="879" w:type="dxa"/>
            <w:tcBorders>
              <w:top w:val="nil"/>
              <w:left w:val="nil"/>
              <w:bottom w:val="single" w:sz="4" w:space="0" w:color="auto"/>
              <w:right w:val="single" w:sz="4" w:space="0" w:color="auto"/>
            </w:tcBorders>
            <w:shd w:val="clear" w:color="auto" w:fill="auto"/>
            <w:noWrap/>
            <w:vAlign w:val="bottom"/>
            <w:hideMark/>
          </w:tcPr>
          <w:p w14:paraId="060032A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2,057</w:t>
            </w:r>
          </w:p>
        </w:tc>
        <w:tc>
          <w:tcPr>
            <w:tcW w:w="879" w:type="dxa"/>
            <w:tcBorders>
              <w:top w:val="nil"/>
              <w:left w:val="nil"/>
              <w:bottom w:val="single" w:sz="4" w:space="0" w:color="auto"/>
              <w:right w:val="single" w:sz="4" w:space="0" w:color="auto"/>
            </w:tcBorders>
            <w:shd w:val="clear" w:color="auto" w:fill="auto"/>
            <w:noWrap/>
            <w:vAlign w:val="bottom"/>
            <w:hideMark/>
          </w:tcPr>
          <w:p w14:paraId="50A3AF3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2,317</w:t>
            </w:r>
          </w:p>
        </w:tc>
        <w:tc>
          <w:tcPr>
            <w:tcW w:w="879" w:type="dxa"/>
            <w:tcBorders>
              <w:top w:val="nil"/>
              <w:left w:val="nil"/>
              <w:bottom w:val="single" w:sz="4" w:space="0" w:color="auto"/>
              <w:right w:val="single" w:sz="4" w:space="0" w:color="auto"/>
            </w:tcBorders>
            <w:shd w:val="clear" w:color="auto" w:fill="auto"/>
            <w:noWrap/>
            <w:vAlign w:val="bottom"/>
            <w:hideMark/>
          </w:tcPr>
          <w:p w14:paraId="3286CC6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2,515</w:t>
            </w:r>
          </w:p>
        </w:tc>
        <w:tc>
          <w:tcPr>
            <w:tcW w:w="879" w:type="dxa"/>
            <w:tcBorders>
              <w:top w:val="nil"/>
              <w:left w:val="nil"/>
              <w:bottom w:val="single" w:sz="4" w:space="0" w:color="auto"/>
              <w:right w:val="single" w:sz="4" w:space="0" w:color="auto"/>
            </w:tcBorders>
            <w:shd w:val="clear" w:color="auto" w:fill="auto"/>
            <w:noWrap/>
            <w:vAlign w:val="bottom"/>
            <w:hideMark/>
          </w:tcPr>
          <w:p w14:paraId="785CF81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2,823</w:t>
            </w:r>
          </w:p>
        </w:tc>
        <w:tc>
          <w:tcPr>
            <w:tcW w:w="879" w:type="dxa"/>
            <w:tcBorders>
              <w:top w:val="nil"/>
              <w:left w:val="nil"/>
              <w:bottom w:val="single" w:sz="4" w:space="0" w:color="auto"/>
              <w:right w:val="single" w:sz="4" w:space="0" w:color="auto"/>
            </w:tcBorders>
            <w:shd w:val="clear" w:color="auto" w:fill="auto"/>
            <w:noWrap/>
            <w:vAlign w:val="bottom"/>
            <w:hideMark/>
          </w:tcPr>
          <w:p w14:paraId="21A7692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3,006</w:t>
            </w:r>
          </w:p>
        </w:tc>
        <w:tc>
          <w:tcPr>
            <w:tcW w:w="879" w:type="dxa"/>
            <w:tcBorders>
              <w:top w:val="nil"/>
              <w:left w:val="nil"/>
              <w:bottom w:val="single" w:sz="4" w:space="0" w:color="auto"/>
              <w:right w:val="single" w:sz="4" w:space="0" w:color="auto"/>
            </w:tcBorders>
            <w:shd w:val="clear" w:color="auto" w:fill="auto"/>
            <w:noWrap/>
            <w:vAlign w:val="bottom"/>
            <w:hideMark/>
          </w:tcPr>
          <w:p w14:paraId="2E7A818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3,04</w:t>
            </w:r>
          </w:p>
        </w:tc>
        <w:tc>
          <w:tcPr>
            <w:tcW w:w="879" w:type="dxa"/>
            <w:tcBorders>
              <w:top w:val="nil"/>
              <w:left w:val="nil"/>
              <w:bottom w:val="single" w:sz="4" w:space="0" w:color="auto"/>
              <w:right w:val="single" w:sz="4" w:space="0" w:color="auto"/>
            </w:tcBorders>
            <w:shd w:val="clear" w:color="auto" w:fill="auto"/>
            <w:noWrap/>
            <w:vAlign w:val="bottom"/>
            <w:hideMark/>
          </w:tcPr>
          <w:p w14:paraId="2CC8930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3,461</w:t>
            </w:r>
          </w:p>
        </w:tc>
      </w:tr>
      <w:tr w:rsidR="00BF12D5" w:rsidRPr="00BD0223" w14:paraId="6FB6D0E6" w14:textId="77777777" w:rsidTr="0039539B">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FA70C2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Abril</w:t>
            </w:r>
          </w:p>
        </w:tc>
        <w:tc>
          <w:tcPr>
            <w:tcW w:w="730" w:type="dxa"/>
            <w:tcBorders>
              <w:top w:val="nil"/>
              <w:left w:val="nil"/>
              <w:bottom w:val="single" w:sz="4" w:space="0" w:color="auto"/>
              <w:right w:val="single" w:sz="4" w:space="0" w:color="auto"/>
            </w:tcBorders>
            <w:shd w:val="clear" w:color="auto" w:fill="auto"/>
            <w:noWrap/>
            <w:vAlign w:val="bottom"/>
            <w:hideMark/>
          </w:tcPr>
          <w:p w14:paraId="1689692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1,953</w:t>
            </w:r>
          </w:p>
        </w:tc>
        <w:tc>
          <w:tcPr>
            <w:tcW w:w="878" w:type="dxa"/>
            <w:tcBorders>
              <w:top w:val="nil"/>
              <w:left w:val="nil"/>
              <w:bottom w:val="single" w:sz="4" w:space="0" w:color="auto"/>
              <w:right w:val="single" w:sz="4" w:space="0" w:color="auto"/>
            </w:tcBorders>
            <w:shd w:val="clear" w:color="auto" w:fill="auto"/>
            <w:noWrap/>
            <w:vAlign w:val="bottom"/>
            <w:hideMark/>
          </w:tcPr>
          <w:p w14:paraId="309450E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1,99</w:t>
            </w:r>
          </w:p>
        </w:tc>
        <w:tc>
          <w:tcPr>
            <w:tcW w:w="879" w:type="dxa"/>
            <w:tcBorders>
              <w:top w:val="nil"/>
              <w:left w:val="nil"/>
              <w:bottom w:val="single" w:sz="4" w:space="0" w:color="auto"/>
              <w:right w:val="single" w:sz="4" w:space="0" w:color="auto"/>
            </w:tcBorders>
            <w:shd w:val="clear" w:color="auto" w:fill="auto"/>
            <w:noWrap/>
            <w:vAlign w:val="bottom"/>
            <w:hideMark/>
          </w:tcPr>
          <w:p w14:paraId="44F106F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2,06</w:t>
            </w:r>
          </w:p>
        </w:tc>
        <w:tc>
          <w:tcPr>
            <w:tcW w:w="879" w:type="dxa"/>
            <w:tcBorders>
              <w:top w:val="nil"/>
              <w:left w:val="nil"/>
              <w:bottom w:val="single" w:sz="4" w:space="0" w:color="auto"/>
              <w:right w:val="single" w:sz="4" w:space="0" w:color="auto"/>
            </w:tcBorders>
            <w:shd w:val="clear" w:color="auto" w:fill="auto"/>
            <w:noWrap/>
            <w:vAlign w:val="bottom"/>
            <w:hideMark/>
          </w:tcPr>
          <w:p w14:paraId="6DA5D38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2,348</w:t>
            </w:r>
          </w:p>
        </w:tc>
        <w:tc>
          <w:tcPr>
            <w:tcW w:w="879" w:type="dxa"/>
            <w:tcBorders>
              <w:top w:val="nil"/>
              <w:left w:val="nil"/>
              <w:bottom w:val="single" w:sz="4" w:space="0" w:color="auto"/>
              <w:right w:val="single" w:sz="4" w:space="0" w:color="auto"/>
            </w:tcBorders>
            <w:shd w:val="clear" w:color="auto" w:fill="auto"/>
            <w:noWrap/>
            <w:vAlign w:val="bottom"/>
            <w:hideMark/>
          </w:tcPr>
          <w:p w14:paraId="0DB1B88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2,517</w:t>
            </w:r>
          </w:p>
        </w:tc>
        <w:tc>
          <w:tcPr>
            <w:tcW w:w="879" w:type="dxa"/>
            <w:tcBorders>
              <w:top w:val="nil"/>
              <w:left w:val="nil"/>
              <w:bottom w:val="single" w:sz="4" w:space="0" w:color="auto"/>
              <w:right w:val="single" w:sz="4" w:space="0" w:color="auto"/>
            </w:tcBorders>
            <w:shd w:val="clear" w:color="auto" w:fill="auto"/>
            <w:noWrap/>
            <w:vAlign w:val="bottom"/>
            <w:hideMark/>
          </w:tcPr>
          <w:p w14:paraId="76016A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2,823</w:t>
            </w:r>
          </w:p>
        </w:tc>
        <w:tc>
          <w:tcPr>
            <w:tcW w:w="879" w:type="dxa"/>
            <w:tcBorders>
              <w:top w:val="nil"/>
              <w:left w:val="nil"/>
              <w:bottom w:val="single" w:sz="4" w:space="0" w:color="auto"/>
              <w:right w:val="single" w:sz="4" w:space="0" w:color="auto"/>
            </w:tcBorders>
            <w:shd w:val="clear" w:color="auto" w:fill="auto"/>
            <w:noWrap/>
            <w:vAlign w:val="bottom"/>
            <w:hideMark/>
          </w:tcPr>
          <w:p w14:paraId="2F69928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3,003</w:t>
            </w:r>
          </w:p>
        </w:tc>
        <w:tc>
          <w:tcPr>
            <w:tcW w:w="879" w:type="dxa"/>
            <w:tcBorders>
              <w:top w:val="nil"/>
              <w:left w:val="nil"/>
              <w:bottom w:val="single" w:sz="4" w:space="0" w:color="auto"/>
              <w:right w:val="single" w:sz="4" w:space="0" w:color="auto"/>
            </w:tcBorders>
            <w:shd w:val="clear" w:color="auto" w:fill="auto"/>
            <w:noWrap/>
            <w:vAlign w:val="bottom"/>
            <w:hideMark/>
          </w:tcPr>
          <w:p w14:paraId="00264C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w:t>
            </w:r>
          </w:p>
        </w:tc>
        <w:tc>
          <w:tcPr>
            <w:tcW w:w="879" w:type="dxa"/>
            <w:tcBorders>
              <w:top w:val="nil"/>
              <w:left w:val="nil"/>
              <w:bottom w:val="single" w:sz="4" w:space="0" w:color="auto"/>
              <w:right w:val="single" w:sz="4" w:space="0" w:color="auto"/>
            </w:tcBorders>
            <w:shd w:val="clear" w:color="auto" w:fill="auto"/>
            <w:noWrap/>
            <w:vAlign w:val="bottom"/>
            <w:hideMark/>
          </w:tcPr>
          <w:p w14:paraId="585C806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3,509</w:t>
            </w:r>
          </w:p>
        </w:tc>
      </w:tr>
      <w:tr w:rsidR="00BF12D5" w:rsidRPr="00BD0223" w14:paraId="6BF0576E" w14:textId="77777777" w:rsidTr="0039539B">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378FB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Maio</w:t>
            </w:r>
          </w:p>
        </w:tc>
        <w:tc>
          <w:tcPr>
            <w:tcW w:w="730" w:type="dxa"/>
            <w:tcBorders>
              <w:top w:val="nil"/>
              <w:left w:val="nil"/>
              <w:bottom w:val="single" w:sz="4" w:space="0" w:color="auto"/>
              <w:right w:val="single" w:sz="4" w:space="0" w:color="auto"/>
            </w:tcBorders>
            <w:shd w:val="clear" w:color="auto" w:fill="auto"/>
            <w:noWrap/>
            <w:vAlign w:val="bottom"/>
            <w:hideMark/>
          </w:tcPr>
          <w:p w14:paraId="636263B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1,952</w:t>
            </w:r>
          </w:p>
        </w:tc>
        <w:tc>
          <w:tcPr>
            <w:tcW w:w="878" w:type="dxa"/>
            <w:tcBorders>
              <w:top w:val="nil"/>
              <w:left w:val="nil"/>
              <w:bottom w:val="single" w:sz="4" w:space="0" w:color="auto"/>
              <w:right w:val="single" w:sz="4" w:space="0" w:color="auto"/>
            </w:tcBorders>
            <w:shd w:val="clear" w:color="auto" w:fill="auto"/>
            <w:noWrap/>
            <w:vAlign w:val="bottom"/>
            <w:hideMark/>
          </w:tcPr>
          <w:p w14:paraId="509819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1,986</w:t>
            </w:r>
          </w:p>
        </w:tc>
        <w:tc>
          <w:tcPr>
            <w:tcW w:w="879" w:type="dxa"/>
            <w:tcBorders>
              <w:top w:val="nil"/>
              <w:left w:val="nil"/>
              <w:bottom w:val="single" w:sz="4" w:space="0" w:color="auto"/>
              <w:right w:val="single" w:sz="4" w:space="0" w:color="auto"/>
            </w:tcBorders>
            <w:shd w:val="clear" w:color="auto" w:fill="auto"/>
            <w:noWrap/>
            <w:vAlign w:val="bottom"/>
            <w:hideMark/>
          </w:tcPr>
          <w:p w14:paraId="761A222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2,064</w:t>
            </w:r>
          </w:p>
        </w:tc>
        <w:tc>
          <w:tcPr>
            <w:tcW w:w="879" w:type="dxa"/>
            <w:tcBorders>
              <w:top w:val="nil"/>
              <w:left w:val="nil"/>
              <w:bottom w:val="single" w:sz="4" w:space="0" w:color="auto"/>
              <w:right w:val="single" w:sz="4" w:space="0" w:color="auto"/>
            </w:tcBorders>
            <w:shd w:val="clear" w:color="auto" w:fill="auto"/>
            <w:noWrap/>
            <w:vAlign w:val="bottom"/>
            <w:hideMark/>
          </w:tcPr>
          <w:p w14:paraId="639CEE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2,356</w:t>
            </w:r>
          </w:p>
        </w:tc>
        <w:tc>
          <w:tcPr>
            <w:tcW w:w="879" w:type="dxa"/>
            <w:tcBorders>
              <w:top w:val="nil"/>
              <w:left w:val="nil"/>
              <w:bottom w:val="single" w:sz="4" w:space="0" w:color="auto"/>
              <w:right w:val="single" w:sz="4" w:space="0" w:color="auto"/>
            </w:tcBorders>
            <w:shd w:val="clear" w:color="auto" w:fill="auto"/>
            <w:noWrap/>
            <w:vAlign w:val="bottom"/>
            <w:hideMark/>
          </w:tcPr>
          <w:p w14:paraId="16730D7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2,514</w:t>
            </w:r>
          </w:p>
        </w:tc>
        <w:tc>
          <w:tcPr>
            <w:tcW w:w="879" w:type="dxa"/>
            <w:tcBorders>
              <w:top w:val="nil"/>
              <w:left w:val="nil"/>
              <w:bottom w:val="single" w:sz="4" w:space="0" w:color="auto"/>
              <w:right w:val="single" w:sz="4" w:space="0" w:color="auto"/>
            </w:tcBorders>
            <w:shd w:val="clear" w:color="auto" w:fill="auto"/>
            <w:noWrap/>
            <w:vAlign w:val="bottom"/>
            <w:hideMark/>
          </w:tcPr>
          <w:p w14:paraId="56D911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2,823</w:t>
            </w:r>
          </w:p>
        </w:tc>
        <w:tc>
          <w:tcPr>
            <w:tcW w:w="879" w:type="dxa"/>
            <w:tcBorders>
              <w:top w:val="nil"/>
              <w:left w:val="nil"/>
              <w:bottom w:val="single" w:sz="4" w:space="0" w:color="auto"/>
              <w:right w:val="single" w:sz="4" w:space="0" w:color="auto"/>
            </w:tcBorders>
            <w:shd w:val="clear" w:color="auto" w:fill="auto"/>
            <w:noWrap/>
            <w:vAlign w:val="bottom"/>
            <w:hideMark/>
          </w:tcPr>
          <w:p w14:paraId="6086478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2,998</w:t>
            </w:r>
          </w:p>
        </w:tc>
        <w:tc>
          <w:tcPr>
            <w:tcW w:w="879" w:type="dxa"/>
            <w:tcBorders>
              <w:top w:val="nil"/>
              <w:left w:val="nil"/>
              <w:bottom w:val="single" w:sz="4" w:space="0" w:color="auto"/>
              <w:right w:val="single" w:sz="4" w:space="0" w:color="auto"/>
            </w:tcBorders>
            <w:shd w:val="clear" w:color="auto" w:fill="auto"/>
            <w:noWrap/>
            <w:vAlign w:val="bottom"/>
            <w:hideMark/>
          </w:tcPr>
          <w:p w14:paraId="1A739B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3,014</w:t>
            </w:r>
          </w:p>
        </w:tc>
        <w:tc>
          <w:tcPr>
            <w:tcW w:w="879" w:type="dxa"/>
            <w:tcBorders>
              <w:top w:val="nil"/>
              <w:left w:val="nil"/>
              <w:bottom w:val="single" w:sz="4" w:space="0" w:color="auto"/>
              <w:right w:val="single" w:sz="4" w:space="0" w:color="auto"/>
            </w:tcBorders>
            <w:shd w:val="clear" w:color="auto" w:fill="auto"/>
            <w:noWrap/>
            <w:vAlign w:val="bottom"/>
            <w:hideMark/>
          </w:tcPr>
          <w:p w14:paraId="60244EC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3,709</w:t>
            </w:r>
          </w:p>
        </w:tc>
      </w:tr>
      <w:tr w:rsidR="00BF12D5" w:rsidRPr="00BD0223" w14:paraId="0441DAB3" w14:textId="77777777" w:rsidTr="0039539B">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E56F6F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Junho</w:t>
            </w:r>
          </w:p>
        </w:tc>
        <w:tc>
          <w:tcPr>
            <w:tcW w:w="730" w:type="dxa"/>
            <w:tcBorders>
              <w:top w:val="nil"/>
              <w:left w:val="nil"/>
              <w:bottom w:val="single" w:sz="4" w:space="0" w:color="auto"/>
              <w:right w:val="single" w:sz="4" w:space="0" w:color="auto"/>
            </w:tcBorders>
            <w:shd w:val="clear" w:color="auto" w:fill="auto"/>
            <w:noWrap/>
            <w:vAlign w:val="bottom"/>
            <w:hideMark/>
          </w:tcPr>
          <w:p w14:paraId="694C6F9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1,95</w:t>
            </w:r>
          </w:p>
        </w:tc>
        <w:tc>
          <w:tcPr>
            <w:tcW w:w="878" w:type="dxa"/>
            <w:tcBorders>
              <w:top w:val="nil"/>
              <w:left w:val="nil"/>
              <w:bottom w:val="single" w:sz="4" w:space="0" w:color="auto"/>
              <w:right w:val="single" w:sz="4" w:space="0" w:color="auto"/>
            </w:tcBorders>
            <w:shd w:val="clear" w:color="auto" w:fill="auto"/>
            <w:noWrap/>
            <w:vAlign w:val="bottom"/>
            <w:hideMark/>
          </w:tcPr>
          <w:p w14:paraId="3462C1D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1,982</w:t>
            </w:r>
          </w:p>
        </w:tc>
        <w:tc>
          <w:tcPr>
            <w:tcW w:w="879" w:type="dxa"/>
            <w:tcBorders>
              <w:top w:val="nil"/>
              <w:left w:val="nil"/>
              <w:bottom w:val="single" w:sz="4" w:space="0" w:color="auto"/>
              <w:right w:val="single" w:sz="4" w:space="0" w:color="auto"/>
            </w:tcBorders>
            <w:shd w:val="clear" w:color="auto" w:fill="auto"/>
            <w:noWrap/>
            <w:vAlign w:val="bottom"/>
            <w:hideMark/>
          </w:tcPr>
          <w:p w14:paraId="4BB211F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2,062</w:t>
            </w:r>
          </w:p>
        </w:tc>
        <w:tc>
          <w:tcPr>
            <w:tcW w:w="879" w:type="dxa"/>
            <w:tcBorders>
              <w:top w:val="nil"/>
              <w:left w:val="nil"/>
              <w:bottom w:val="single" w:sz="4" w:space="0" w:color="auto"/>
              <w:right w:val="single" w:sz="4" w:space="0" w:color="auto"/>
            </w:tcBorders>
            <w:shd w:val="clear" w:color="auto" w:fill="auto"/>
            <w:noWrap/>
            <w:vAlign w:val="bottom"/>
            <w:hideMark/>
          </w:tcPr>
          <w:p w14:paraId="0969176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2,356</w:t>
            </w:r>
          </w:p>
        </w:tc>
        <w:tc>
          <w:tcPr>
            <w:tcW w:w="879" w:type="dxa"/>
            <w:tcBorders>
              <w:top w:val="nil"/>
              <w:left w:val="nil"/>
              <w:bottom w:val="single" w:sz="4" w:space="0" w:color="auto"/>
              <w:right w:val="single" w:sz="4" w:space="0" w:color="auto"/>
            </w:tcBorders>
            <w:shd w:val="clear" w:color="auto" w:fill="auto"/>
            <w:noWrap/>
            <w:vAlign w:val="bottom"/>
            <w:hideMark/>
          </w:tcPr>
          <w:p w14:paraId="1FB404B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2,516</w:t>
            </w:r>
          </w:p>
        </w:tc>
        <w:tc>
          <w:tcPr>
            <w:tcW w:w="879" w:type="dxa"/>
            <w:tcBorders>
              <w:top w:val="nil"/>
              <w:left w:val="nil"/>
              <w:bottom w:val="single" w:sz="4" w:space="0" w:color="auto"/>
              <w:right w:val="single" w:sz="4" w:space="0" w:color="auto"/>
            </w:tcBorders>
            <w:shd w:val="clear" w:color="auto" w:fill="auto"/>
            <w:noWrap/>
            <w:vAlign w:val="bottom"/>
            <w:hideMark/>
          </w:tcPr>
          <w:p w14:paraId="5824C33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2,819</w:t>
            </w:r>
          </w:p>
        </w:tc>
        <w:tc>
          <w:tcPr>
            <w:tcW w:w="879" w:type="dxa"/>
            <w:tcBorders>
              <w:top w:val="nil"/>
              <w:left w:val="nil"/>
              <w:bottom w:val="single" w:sz="4" w:space="0" w:color="auto"/>
              <w:right w:val="single" w:sz="4" w:space="0" w:color="auto"/>
            </w:tcBorders>
            <w:shd w:val="clear" w:color="auto" w:fill="auto"/>
            <w:noWrap/>
            <w:vAlign w:val="bottom"/>
            <w:hideMark/>
          </w:tcPr>
          <w:p w14:paraId="156197F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2,999</w:t>
            </w:r>
          </w:p>
        </w:tc>
        <w:tc>
          <w:tcPr>
            <w:tcW w:w="879" w:type="dxa"/>
            <w:tcBorders>
              <w:top w:val="nil"/>
              <w:left w:val="nil"/>
              <w:bottom w:val="single" w:sz="4" w:space="0" w:color="auto"/>
              <w:right w:val="single" w:sz="4" w:space="0" w:color="auto"/>
            </w:tcBorders>
            <w:shd w:val="clear" w:color="auto" w:fill="auto"/>
            <w:noWrap/>
            <w:vAlign w:val="bottom"/>
            <w:hideMark/>
          </w:tcPr>
          <w:p w14:paraId="5C1035D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2,994</w:t>
            </w:r>
          </w:p>
        </w:tc>
        <w:tc>
          <w:tcPr>
            <w:tcW w:w="879" w:type="dxa"/>
            <w:tcBorders>
              <w:top w:val="nil"/>
              <w:left w:val="nil"/>
              <w:bottom w:val="single" w:sz="4" w:space="0" w:color="auto"/>
              <w:right w:val="single" w:sz="4" w:space="0" w:color="auto"/>
            </w:tcBorders>
            <w:shd w:val="clear" w:color="auto" w:fill="auto"/>
            <w:noWrap/>
            <w:vAlign w:val="bottom"/>
            <w:hideMark/>
          </w:tcPr>
          <w:p w14:paraId="74EEB27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3,489</w:t>
            </w:r>
          </w:p>
        </w:tc>
      </w:tr>
      <w:tr w:rsidR="00BF12D5" w:rsidRPr="00BD0223" w14:paraId="7A23B60F" w14:textId="77777777" w:rsidTr="0039539B">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D6FB98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Julho</w:t>
            </w:r>
          </w:p>
        </w:tc>
        <w:tc>
          <w:tcPr>
            <w:tcW w:w="730" w:type="dxa"/>
            <w:tcBorders>
              <w:top w:val="nil"/>
              <w:left w:val="nil"/>
              <w:bottom w:val="single" w:sz="4" w:space="0" w:color="auto"/>
              <w:right w:val="single" w:sz="4" w:space="0" w:color="auto"/>
            </w:tcBorders>
            <w:shd w:val="clear" w:color="auto" w:fill="auto"/>
            <w:noWrap/>
            <w:vAlign w:val="bottom"/>
            <w:hideMark/>
          </w:tcPr>
          <w:p w14:paraId="722E3CB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1,95</w:t>
            </w:r>
          </w:p>
        </w:tc>
        <w:tc>
          <w:tcPr>
            <w:tcW w:w="878" w:type="dxa"/>
            <w:tcBorders>
              <w:top w:val="nil"/>
              <w:left w:val="nil"/>
              <w:bottom w:val="single" w:sz="4" w:space="0" w:color="auto"/>
              <w:right w:val="single" w:sz="4" w:space="0" w:color="auto"/>
            </w:tcBorders>
            <w:shd w:val="clear" w:color="auto" w:fill="auto"/>
            <w:noWrap/>
            <w:vAlign w:val="bottom"/>
            <w:hideMark/>
          </w:tcPr>
          <w:p w14:paraId="72DC71A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1,986</w:t>
            </w:r>
          </w:p>
        </w:tc>
        <w:tc>
          <w:tcPr>
            <w:tcW w:w="879" w:type="dxa"/>
            <w:tcBorders>
              <w:top w:val="nil"/>
              <w:left w:val="nil"/>
              <w:bottom w:val="single" w:sz="4" w:space="0" w:color="auto"/>
              <w:right w:val="single" w:sz="4" w:space="0" w:color="auto"/>
            </w:tcBorders>
            <w:shd w:val="clear" w:color="auto" w:fill="auto"/>
            <w:noWrap/>
            <w:vAlign w:val="bottom"/>
            <w:hideMark/>
          </w:tcPr>
          <w:p w14:paraId="0E00010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2,091</w:t>
            </w:r>
          </w:p>
        </w:tc>
        <w:tc>
          <w:tcPr>
            <w:tcW w:w="879" w:type="dxa"/>
            <w:tcBorders>
              <w:top w:val="nil"/>
              <w:left w:val="nil"/>
              <w:bottom w:val="single" w:sz="4" w:space="0" w:color="auto"/>
              <w:right w:val="single" w:sz="4" w:space="0" w:color="auto"/>
            </w:tcBorders>
            <w:shd w:val="clear" w:color="auto" w:fill="auto"/>
            <w:noWrap/>
            <w:vAlign w:val="bottom"/>
            <w:hideMark/>
          </w:tcPr>
          <w:p w14:paraId="31347E2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2,356</w:t>
            </w:r>
          </w:p>
        </w:tc>
        <w:tc>
          <w:tcPr>
            <w:tcW w:w="879" w:type="dxa"/>
            <w:tcBorders>
              <w:top w:val="nil"/>
              <w:left w:val="nil"/>
              <w:bottom w:val="single" w:sz="4" w:space="0" w:color="auto"/>
              <w:right w:val="single" w:sz="4" w:space="0" w:color="auto"/>
            </w:tcBorders>
            <w:shd w:val="clear" w:color="auto" w:fill="auto"/>
            <w:noWrap/>
            <w:vAlign w:val="bottom"/>
            <w:hideMark/>
          </w:tcPr>
          <w:p w14:paraId="45D772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2,517</w:t>
            </w:r>
          </w:p>
        </w:tc>
        <w:tc>
          <w:tcPr>
            <w:tcW w:w="879" w:type="dxa"/>
            <w:tcBorders>
              <w:top w:val="nil"/>
              <w:left w:val="nil"/>
              <w:bottom w:val="single" w:sz="4" w:space="0" w:color="auto"/>
              <w:right w:val="single" w:sz="4" w:space="0" w:color="auto"/>
            </w:tcBorders>
            <w:shd w:val="clear" w:color="auto" w:fill="auto"/>
            <w:noWrap/>
            <w:vAlign w:val="bottom"/>
            <w:hideMark/>
          </w:tcPr>
          <w:p w14:paraId="755F19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2,814</w:t>
            </w:r>
          </w:p>
        </w:tc>
        <w:tc>
          <w:tcPr>
            <w:tcW w:w="879" w:type="dxa"/>
            <w:tcBorders>
              <w:top w:val="nil"/>
              <w:left w:val="nil"/>
              <w:bottom w:val="single" w:sz="4" w:space="0" w:color="auto"/>
              <w:right w:val="single" w:sz="4" w:space="0" w:color="auto"/>
            </w:tcBorders>
            <w:shd w:val="clear" w:color="auto" w:fill="auto"/>
            <w:noWrap/>
            <w:vAlign w:val="bottom"/>
            <w:hideMark/>
          </w:tcPr>
          <w:p w14:paraId="5C52BB7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2,999</w:t>
            </w:r>
          </w:p>
        </w:tc>
        <w:tc>
          <w:tcPr>
            <w:tcW w:w="879" w:type="dxa"/>
            <w:tcBorders>
              <w:top w:val="nil"/>
              <w:left w:val="nil"/>
              <w:bottom w:val="single" w:sz="4" w:space="0" w:color="auto"/>
              <w:right w:val="single" w:sz="4" w:space="0" w:color="auto"/>
            </w:tcBorders>
            <w:shd w:val="clear" w:color="auto" w:fill="auto"/>
            <w:noWrap/>
            <w:vAlign w:val="bottom"/>
            <w:hideMark/>
          </w:tcPr>
          <w:p w14:paraId="6CEF50F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2,988</w:t>
            </w:r>
          </w:p>
        </w:tc>
        <w:tc>
          <w:tcPr>
            <w:tcW w:w="879" w:type="dxa"/>
            <w:tcBorders>
              <w:top w:val="nil"/>
              <w:left w:val="nil"/>
              <w:bottom w:val="single" w:sz="4" w:space="0" w:color="auto"/>
              <w:right w:val="single" w:sz="4" w:space="0" w:color="auto"/>
            </w:tcBorders>
            <w:shd w:val="clear" w:color="auto" w:fill="auto"/>
            <w:noWrap/>
            <w:vAlign w:val="bottom"/>
            <w:hideMark/>
          </w:tcPr>
          <w:p w14:paraId="340335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3,455</w:t>
            </w:r>
          </w:p>
        </w:tc>
      </w:tr>
      <w:tr w:rsidR="00BF12D5" w:rsidRPr="00BD0223" w14:paraId="76E59B55" w14:textId="77777777" w:rsidTr="0039539B">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70C45E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Agosto</w:t>
            </w:r>
          </w:p>
        </w:tc>
        <w:tc>
          <w:tcPr>
            <w:tcW w:w="730" w:type="dxa"/>
            <w:tcBorders>
              <w:top w:val="nil"/>
              <w:left w:val="nil"/>
              <w:bottom w:val="single" w:sz="4" w:space="0" w:color="auto"/>
              <w:right w:val="single" w:sz="4" w:space="0" w:color="auto"/>
            </w:tcBorders>
            <w:shd w:val="clear" w:color="auto" w:fill="auto"/>
            <w:noWrap/>
            <w:vAlign w:val="bottom"/>
            <w:hideMark/>
          </w:tcPr>
          <w:p w14:paraId="3CE26A7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1,947</w:t>
            </w:r>
          </w:p>
        </w:tc>
        <w:tc>
          <w:tcPr>
            <w:tcW w:w="878" w:type="dxa"/>
            <w:tcBorders>
              <w:top w:val="nil"/>
              <w:left w:val="nil"/>
              <w:bottom w:val="single" w:sz="4" w:space="0" w:color="auto"/>
              <w:right w:val="single" w:sz="4" w:space="0" w:color="auto"/>
            </w:tcBorders>
            <w:shd w:val="clear" w:color="auto" w:fill="auto"/>
            <w:noWrap/>
            <w:vAlign w:val="bottom"/>
            <w:hideMark/>
          </w:tcPr>
          <w:p w14:paraId="551C00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1,984</w:t>
            </w:r>
          </w:p>
        </w:tc>
        <w:tc>
          <w:tcPr>
            <w:tcW w:w="879" w:type="dxa"/>
            <w:tcBorders>
              <w:top w:val="nil"/>
              <w:left w:val="nil"/>
              <w:bottom w:val="single" w:sz="4" w:space="0" w:color="auto"/>
              <w:right w:val="single" w:sz="4" w:space="0" w:color="auto"/>
            </w:tcBorders>
            <w:shd w:val="clear" w:color="auto" w:fill="auto"/>
            <w:noWrap/>
            <w:vAlign w:val="bottom"/>
            <w:hideMark/>
          </w:tcPr>
          <w:p w14:paraId="2E480B5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2,14</w:t>
            </w:r>
          </w:p>
        </w:tc>
        <w:tc>
          <w:tcPr>
            <w:tcW w:w="879" w:type="dxa"/>
            <w:tcBorders>
              <w:top w:val="nil"/>
              <w:left w:val="nil"/>
              <w:bottom w:val="single" w:sz="4" w:space="0" w:color="auto"/>
              <w:right w:val="single" w:sz="4" w:space="0" w:color="auto"/>
            </w:tcBorders>
            <w:shd w:val="clear" w:color="auto" w:fill="auto"/>
            <w:noWrap/>
            <w:vAlign w:val="bottom"/>
            <w:hideMark/>
          </w:tcPr>
          <w:p w14:paraId="1CE8E57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2,354</w:t>
            </w:r>
          </w:p>
        </w:tc>
        <w:tc>
          <w:tcPr>
            <w:tcW w:w="879" w:type="dxa"/>
            <w:tcBorders>
              <w:top w:val="nil"/>
              <w:left w:val="nil"/>
              <w:bottom w:val="single" w:sz="4" w:space="0" w:color="auto"/>
              <w:right w:val="single" w:sz="4" w:space="0" w:color="auto"/>
            </w:tcBorders>
            <w:shd w:val="clear" w:color="auto" w:fill="auto"/>
            <w:noWrap/>
            <w:vAlign w:val="bottom"/>
            <w:hideMark/>
          </w:tcPr>
          <w:p w14:paraId="2DB822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2,516</w:t>
            </w:r>
          </w:p>
        </w:tc>
        <w:tc>
          <w:tcPr>
            <w:tcW w:w="879" w:type="dxa"/>
            <w:tcBorders>
              <w:top w:val="nil"/>
              <w:left w:val="nil"/>
              <w:bottom w:val="single" w:sz="4" w:space="0" w:color="auto"/>
              <w:right w:val="single" w:sz="4" w:space="0" w:color="auto"/>
            </w:tcBorders>
            <w:shd w:val="clear" w:color="auto" w:fill="auto"/>
            <w:noWrap/>
            <w:vAlign w:val="bottom"/>
            <w:hideMark/>
          </w:tcPr>
          <w:p w14:paraId="0BFD726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2,816</w:t>
            </w:r>
          </w:p>
        </w:tc>
        <w:tc>
          <w:tcPr>
            <w:tcW w:w="879" w:type="dxa"/>
            <w:tcBorders>
              <w:top w:val="nil"/>
              <w:left w:val="nil"/>
              <w:bottom w:val="single" w:sz="4" w:space="0" w:color="auto"/>
              <w:right w:val="single" w:sz="4" w:space="0" w:color="auto"/>
            </w:tcBorders>
            <w:shd w:val="clear" w:color="auto" w:fill="auto"/>
            <w:noWrap/>
            <w:vAlign w:val="bottom"/>
            <w:hideMark/>
          </w:tcPr>
          <w:p w14:paraId="151AC4C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3,004</w:t>
            </w:r>
          </w:p>
        </w:tc>
        <w:tc>
          <w:tcPr>
            <w:tcW w:w="879" w:type="dxa"/>
            <w:tcBorders>
              <w:top w:val="nil"/>
              <w:left w:val="nil"/>
              <w:bottom w:val="single" w:sz="4" w:space="0" w:color="auto"/>
              <w:right w:val="single" w:sz="4" w:space="0" w:color="auto"/>
            </w:tcBorders>
            <w:shd w:val="clear" w:color="auto" w:fill="auto"/>
            <w:noWrap/>
            <w:vAlign w:val="bottom"/>
            <w:hideMark/>
          </w:tcPr>
          <w:p w14:paraId="3EFC5E6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3,129</w:t>
            </w:r>
          </w:p>
        </w:tc>
        <w:tc>
          <w:tcPr>
            <w:tcW w:w="879" w:type="dxa"/>
            <w:tcBorders>
              <w:top w:val="nil"/>
              <w:left w:val="nil"/>
              <w:bottom w:val="single" w:sz="4" w:space="0" w:color="auto"/>
              <w:right w:val="single" w:sz="4" w:space="0" w:color="auto"/>
            </w:tcBorders>
            <w:shd w:val="clear" w:color="auto" w:fill="auto"/>
            <w:noWrap/>
            <w:vAlign w:val="bottom"/>
            <w:hideMark/>
          </w:tcPr>
          <w:p w14:paraId="72BDD01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3,453</w:t>
            </w:r>
          </w:p>
        </w:tc>
      </w:tr>
      <w:tr w:rsidR="00BF12D5" w:rsidRPr="00BD0223" w14:paraId="3A0CCB6B" w14:textId="77777777" w:rsidTr="0039539B">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185121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Setembro</w:t>
            </w:r>
          </w:p>
        </w:tc>
        <w:tc>
          <w:tcPr>
            <w:tcW w:w="730" w:type="dxa"/>
            <w:tcBorders>
              <w:top w:val="nil"/>
              <w:left w:val="nil"/>
              <w:bottom w:val="single" w:sz="4" w:space="0" w:color="auto"/>
              <w:right w:val="single" w:sz="4" w:space="0" w:color="auto"/>
            </w:tcBorders>
            <w:shd w:val="clear" w:color="auto" w:fill="auto"/>
            <w:noWrap/>
            <w:vAlign w:val="bottom"/>
            <w:hideMark/>
          </w:tcPr>
          <w:p w14:paraId="4913490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1,947</w:t>
            </w:r>
          </w:p>
        </w:tc>
        <w:tc>
          <w:tcPr>
            <w:tcW w:w="878" w:type="dxa"/>
            <w:tcBorders>
              <w:top w:val="nil"/>
              <w:left w:val="nil"/>
              <w:bottom w:val="single" w:sz="4" w:space="0" w:color="auto"/>
              <w:right w:val="single" w:sz="4" w:space="0" w:color="auto"/>
            </w:tcBorders>
            <w:shd w:val="clear" w:color="auto" w:fill="auto"/>
            <w:noWrap/>
            <w:vAlign w:val="bottom"/>
            <w:hideMark/>
          </w:tcPr>
          <w:p w14:paraId="03E5817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1,987</w:t>
            </w:r>
          </w:p>
        </w:tc>
        <w:tc>
          <w:tcPr>
            <w:tcW w:w="879" w:type="dxa"/>
            <w:tcBorders>
              <w:top w:val="nil"/>
              <w:left w:val="nil"/>
              <w:bottom w:val="single" w:sz="4" w:space="0" w:color="auto"/>
              <w:right w:val="single" w:sz="4" w:space="0" w:color="auto"/>
            </w:tcBorders>
            <w:shd w:val="clear" w:color="auto" w:fill="auto"/>
            <w:noWrap/>
            <w:vAlign w:val="bottom"/>
            <w:hideMark/>
          </w:tcPr>
          <w:p w14:paraId="16A55A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2,152</w:t>
            </w:r>
          </w:p>
        </w:tc>
        <w:tc>
          <w:tcPr>
            <w:tcW w:w="879" w:type="dxa"/>
            <w:tcBorders>
              <w:top w:val="nil"/>
              <w:left w:val="nil"/>
              <w:bottom w:val="single" w:sz="4" w:space="0" w:color="auto"/>
              <w:right w:val="single" w:sz="4" w:space="0" w:color="auto"/>
            </w:tcBorders>
            <w:shd w:val="clear" w:color="auto" w:fill="auto"/>
            <w:noWrap/>
            <w:vAlign w:val="bottom"/>
            <w:hideMark/>
          </w:tcPr>
          <w:p w14:paraId="607F3C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2,352</w:t>
            </w:r>
          </w:p>
        </w:tc>
        <w:tc>
          <w:tcPr>
            <w:tcW w:w="879" w:type="dxa"/>
            <w:tcBorders>
              <w:top w:val="nil"/>
              <w:left w:val="nil"/>
              <w:bottom w:val="single" w:sz="4" w:space="0" w:color="auto"/>
              <w:right w:val="single" w:sz="4" w:space="0" w:color="auto"/>
            </w:tcBorders>
            <w:shd w:val="clear" w:color="auto" w:fill="auto"/>
            <w:noWrap/>
            <w:vAlign w:val="bottom"/>
            <w:hideMark/>
          </w:tcPr>
          <w:p w14:paraId="0C4350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2,513</w:t>
            </w:r>
          </w:p>
        </w:tc>
        <w:tc>
          <w:tcPr>
            <w:tcW w:w="879" w:type="dxa"/>
            <w:tcBorders>
              <w:top w:val="nil"/>
              <w:left w:val="nil"/>
              <w:bottom w:val="single" w:sz="4" w:space="0" w:color="auto"/>
              <w:right w:val="single" w:sz="4" w:space="0" w:color="auto"/>
            </w:tcBorders>
            <w:shd w:val="clear" w:color="auto" w:fill="auto"/>
            <w:noWrap/>
            <w:vAlign w:val="bottom"/>
            <w:hideMark/>
          </w:tcPr>
          <w:p w14:paraId="0D6D95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2,811</w:t>
            </w:r>
          </w:p>
        </w:tc>
        <w:tc>
          <w:tcPr>
            <w:tcW w:w="879" w:type="dxa"/>
            <w:tcBorders>
              <w:top w:val="nil"/>
              <w:left w:val="nil"/>
              <w:bottom w:val="single" w:sz="4" w:space="0" w:color="auto"/>
              <w:right w:val="single" w:sz="4" w:space="0" w:color="auto"/>
            </w:tcBorders>
            <w:shd w:val="clear" w:color="auto" w:fill="auto"/>
            <w:noWrap/>
            <w:vAlign w:val="bottom"/>
            <w:hideMark/>
          </w:tcPr>
          <w:p w14:paraId="400F702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3,001</w:t>
            </w:r>
          </w:p>
        </w:tc>
        <w:tc>
          <w:tcPr>
            <w:tcW w:w="879" w:type="dxa"/>
            <w:tcBorders>
              <w:top w:val="nil"/>
              <w:left w:val="nil"/>
              <w:bottom w:val="single" w:sz="4" w:space="0" w:color="auto"/>
              <w:right w:val="single" w:sz="4" w:space="0" w:color="auto"/>
            </w:tcBorders>
            <w:shd w:val="clear" w:color="auto" w:fill="auto"/>
            <w:noWrap/>
            <w:vAlign w:val="bottom"/>
            <w:hideMark/>
          </w:tcPr>
          <w:p w14:paraId="2B4D92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3,21</w:t>
            </w:r>
          </w:p>
        </w:tc>
        <w:tc>
          <w:tcPr>
            <w:tcW w:w="879" w:type="dxa"/>
            <w:tcBorders>
              <w:top w:val="nil"/>
              <w:left w:val="nil"/>
              <w:bottom w:val="single" w:sz="4" w:space="0" w:color="auto"/>
              <w:right w:val="single" w:sz="4" w:space="0" w:color="auto"/>
            </w:tcBorders>
            <w:shd w:val="clear" w:color="auto" w:fill="auto"/>
            <w:noWrap/>
            <w:vAlign w:val="bottom"/>
            <w:hideMark/>
          </w:tcPr>
          <w:p w14:paraId="59F57E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3,679</w:t>
            </w:r>
          </w:p>
        </w:tc>
      </w:tr>
      <w:tr w:rsidR="00BF12D5" w:rsidRPr="00BD0223" w14:paraId="5515E463" w14:textId="77777777" w:rsidTr="0039539B">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7E493C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Outubro</w:t>
            </w:r>
          </w:p>
        </w:tc>
        <w:tc>
          <w:tcPr>
            <w:tcW w:w="730" w:type="dxa"/>
            <w:tcBorders>
              <w:top w:val="nil"/>
              <w:left w:val="nil"/>
              <w:bottom w:val="single" w:sz="4" w:space="0" w:color="auto"/>
              <w:right w:val="single" w:sz="4" w:space="0" w:color="auto"/>
            </w:tcBorders>
            <w:shd w:val="clear" w:color="auto" w:fill="auto"/>
            <w:noWrap/>
            <w:vAlign w:val="bottom"/>
            <w:hideMark/>
          </w:tcPr>
          <w:p w14:paraId="3705EC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1,949</w:t>
            </w:r>
          </w:p>
        </w:tc>
        <w:tc>
          <w:tcPr>
            <w:tcW w:w="878" w:type="dxa"/>
            <w:tcBorders>
              <w:top w:val="nil"/>
              <w:left w:val="nil"/>
              <w:bottom w:val="single" w:sz="4" w:space="0" w:color="auto"/>
              <w:right w:val="single" w:sz="4" w:space="0" w:color="auto"/>
            </w:tcBorders>
            <w:shd w:val="clear" w:color="auto" w:fill="auto"/>
            <w:noWrap/>
            <w:vAlign w:val="bottom"/>
            <w:hideMark/>
          </w:tcPr>
          <w:p w14:paraId="795BF31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1,99</w:t>
            </w:r>
          </w:p>
        </w:tc>
        <w:tc>
          <w:tcPr>
            <w:tcW w:w="879" w:type="dxa"/>
            <w:tcBorders>
              <w:top w:val="nil"/>
              <w:left w:val="nil"/>
              <w:bottom w:val="single" w:sz="4" w:space="0" w:color="auto"/>
              <w:right w:val="single" w:sz="4" w:space="0" w:color="auto"/>
            </w:tcBorders>
            <w:shd w:val="clear" w:color="auto" w:fill="auto"/>
            <w:noWrap/>
            <w:vAlign w:val="bottom"/>
            <w:hideMark/>
          </w:tcPr>
          <w:p w14:paraId="578A4E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2,165</w:t>
            </w:r>
          </w:p>
        </w:tc>
        <w:tc>
          <w:tcPr>
            <w:tcW w:w="879" w:type="dxa"/>
            <w:tcBorders>
              <w:top w:val="nil"/>
              <w:left w:val="nil"/>
              <w:bottom w:val="single" w:sz="4" w:space="0" w:color="auto"/>
              <w:right w:val="single" w:sz="4" w:space="0" w:color="auto"/>
            </w:tcBorders>
            <w:shd w:val="clear" w:color="auto" w:fill="auto"/>
            <w:noWrap/>
            <w:vAlign w:val="bottom"/>
            <w:hideMark/>
          </w:tcPr>
          <w:p w14:paraId="6FF013C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2,353</w:t>
            </w:r>
          </w:p>
        </w:tc>
        <w:tc>
          <w:tcPr>
            <w:tcW w:w="879" w:type="dxa"/>
            <w:tcBorders>
              <w:top w:val="nil"/>
              <w:left w:val="nil"/>
              <w:bottom w:val="single" w:sz="4" w:space="0" w:color="auto"/>
              <w:right w:val="single" w:sz="4" w:space="0" w:color="auto"/>
            </w:tcBorders>
            <w:shd w:val="clear" w:color="auto" w:fill="auto"/>
            <w:noWrap/>
            <w:vAlign w:val="bottom"/>
            <w:hideMark/>
          </w:tcPr>
          <w:p w14:paraId="683475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2,513</w:t>
            </w:r>
          </w:p>
        </w:tc>
        <w:tc>
          <w:tcPr>
            <w:tcW w:w="879" w:type="dxa"/>
            <w:tcBorders>
              <w:top w:val="nil"/>
              <w:left w:val="nil"/>
              <w:bottom w:val="single" w:sz="4" w:space="0" w:color="auto"/>
              <w:right w:val="single" w:sz="4" w:space="0" w:color="auto"/>
            </w:tcBorders>
            <w:shd w:val="clear" w:color="auto" w:fill="auto"/>
            <w:noWrap/>
            <w:vAlign w:val="bottom"/>
            <w:hideMark/>
          </w:tcPr>
          <w:p w14:paraId="3F91EA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2,935</w:t>
            </w:r>
          </w:p>
        </w:tc>
        <w:tc>
          <w:tcPr>
            <w:tcW w:w="879" w:type="dxa"/>
            <w:tcBorders>
              <w:top w:val="nil"/>
              <w:left w:val="nil"/>
              <w:bottom w:val="single" w:sz="4" w:space="0" w:color="auto"/>
              <w:right w:val="single" w:sz="4" w:space="0" w:color="auto"/>
            </w:tcBorders>
            <w:shd w:val="clear" w:color="auto" w:fill="auto"/>
            <w:noWrap/>
            <w:vAlign w:val="bottom"/>
            <w:hideMark/>
          </w:tcPr>
          <w:p w14:paraId="5BD357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3,005</w:t>
            </w:r>
          </w:p>
        </w:tc>
        <w:tc>
          <w:tcPr>
            <w:tcW w:w="879" w:type="dxa"/>
            <w:tcBorders>
              <w:top w:val="nil"/>
              <w:left w:val="nil"/>
              <w:bottom w:val="single" w:sz="4" w:space="0" w:color="auto"/>
              <w:right w:val="single" w:sz="4" w:space="0" w:color="auto"/>
            </w:tcBorders>
            <w:shd w:val="clear" w:color="auto" w:fill="auto"/>
            <w:noWrap/>
            <w:vAlign w:val="bottom"/>
            <w:hideMark/>
          </w:tcPr>
          <w:p w14:paraId="55DB94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3,265</w:t>
            </w:r>
          </w:p>
        </w:tc>
        <w:tc>
          <w:tcPr>
            <w:tcW w:w="879" w:type="dxa"/>
            <w:tcBorders>
              <w:top w:val="nil"/>
              <w:left w:val="nil"/>
              <w:bottom w:val="single" w:sz="4" w:space="0" w:color="auto"/>
              <w:right w:val="single" w:sz="4" w:space="0" w:color="auto"/>
            </w:tcBorders>
            <w:shd w:val="clear" w:color="auto" w:fill="auto"/>
            <w:noWrap/>
            <w:vAlign w:val="bottom"/>
            <w:hideMark/>
          </w:tcPr>
          <w:p w14:paraId="63C9F0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3,76</w:t>
            </w:r>
          </w:p>
        </w:tc>
      </w:tr>
      <w:tr w:rsidR="00BF12D5" w:rsidRPr="00BD0223" w14:paraId="1DE7E77A" w14:textId="77777777" w:rsidTr="0039539B">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3E79F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Novembro</w:t>
            </w:r>
          </w:p>
        </w:tc>
        <w:tc>
          <w:tcPr>
            <w:tcW w:w="730" w:type="dxa"/>
            <w:tcBorders>
              <w:top w:val="nil"/>
              <w:left w:val="nil"/>
              <w:bottom w:val="single" w:sz="4" w:space="0" w:color="auto"/>
              <w:right w:val="single" w:sz="4" w:space="0" w:color="auto"/>
            </w:tcBorders>
            <w:shd w:val="clear" w:color="auto" w:fill="auto"/>
            <w:noWrap/>
            <w:vAlign w:val="bottom"/>
            <w:hideMark/>
          </w:tcPr>
          <w:p w14:paraId="27D738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1,949</w:t>
            </w:r>
          </w:p>
        </w:tc>
        <w:tc>
          <w:tcPr>
            <w:tcW w:w="878" w:type="dxa"/>
            <w:tcBorders>
              <w:top w:val="nil"/>
              <w:left w:val="nil"/>
              <w:bottom w:val="single" w:sz="4" w:space="0" w:color="auto"/>
              <w:right w:val="single" w:sz="4" w:space="0" w:color="auto"/>
            </w:tcBorders>
            <w:shd w:val="clear" w:color="auto" w:fill="auto"/>
            <w:noWrap/>
            <w:vAlign w:val="bottom"/>
            <w:hideMark/>
          </w:tcPr>
          <w:p w14:paraId="068DED7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1,991</w:t>
            </w:r>
          </w:p>
        </w:tc>
        <w:tc>
          <w:tcPr>
            <w:tcW w:w="879" w:type="dxa"/>
            <w:tcBorders>
              <w:top w:val="nil"/>
              <w:left w:val="nil"/>
              <w:bottom w:val="single" w:sz="4" w:space="0" w:color="auto"/>
              <w:right w:val="single" w:sz="4" w:space="0" w:color="auto"/>
            </w:tcBorders>
            <w:shd w:val="clear" w:color="auto" w:fill="auto"/>
            <w:noWrap/>
            <w:vAlign w:val="bottom"/>
            <w:hideMark/>
          </w:tcPr>
          <w:p w14:paraId="0DDCB90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2,17</w:t>
            </w:r>
          </w:p>
        </w:tc>
        <w:tc>
          <w:tcPr>
            <w:tcW w:w="879" w:type="dxa"/>
            <w:tcBorders>
              <w:top w:val="nil"/>
              <w:left w:val="nil"/>
              <w:bottom w:val="single" w:sz="4" w:space="0" w:color="auto"/>
              <w:right w:val="single" w:sz="4" w:space="0" w:color="auto"/>
            </w:tcBorders>
            <w:shd w:val="clear" w:color="auto" w:fill="auto"/>
            <w:noWrap/>
            <w:vAlign w:val="bottom"/>
            <w:hideMark/>
          </w:tcPr>
          <w:p w14:paraId="67B38C4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2,352</w:t>
            </w:r>
          </w:p>
        </w:tc>
        <w:tc>
          <w:tcPr>
            <w:tcW w:w="879" w:type="dxa"/>
            <w:tcBorders>
              <w:top w:val="nil"/>
              <w:left w:val="nil"/>
              <w:bottom w:val="single" w:sz="4" w:space="0" w:color="auto"/>
              <w:right w:val="single" w:sz="4" w:space="0" w:color="auto"/>
            </w:tcBorders>
            <w:shd w:val="clear" w:color="auto" w:fill="auto"/>
            <w:noWrap/>
            <w:vAlign w:val="bottom"/>
            <w:hideMark/>
          </w:tcPr>
          <w:p w14:paraId="6E1A2D6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2,57</w:t>
            </w:r>
          </w:p>
        </w:tc>
        <w:tc>
          <w:tcPr>
            <w:tcW w:w="879" w:type="dxa"/>
            <w:tcBorders>
              <w:top w:val="nil"/>
              <w:left w:val="nil"/>
              <w:bottom w:val="single" w:sz="4" w:space="0" w:color="auto"/>
              <w:right w:val="single" w:sz="4" w:space="0" w:color="auto"/>
            </w:tcBorders>
            <w:shd w:val="clear" w:color="auto" w:fill="auto"/>
            <w:noWrap/>
            <w:vAlign w:val="bottom"/>
            <w:hideMark/>
          </w:tcPr>
          <w:p w14:paraId="7D4BC0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2,96</w:t>
            </w:r>
          </w:p>
        </w:tc>
        <w:tc>
          <w:tcPr>
            <w:tcW w:w="879" w:type="dxa"/>
            <w:tcBorders>
              <w:top w:val="nil"/>
              <w:left w:val="nil"/>
              <w:bottom w:val="single" w:sz="4" w:space="0" w:color="auto"/>
              <w:right w:val="single" w:sz="4" w:space="0" w:color="auto"/>
            </w:tcBorders>
            <w:shd w:val="clear" w:color="auto" w:fill="auto"/>
            <w:noWrap/>
            <w:vAlign w:val="bottom"/>
            <w:hideMark/>
          </w:tcPr>
          <w:p w14:paraId="5E13761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2,993</w:t>
            </w:r>
          </w:p>
        </w:tc>
        <w:tc>
          <w:tcPr>
            <w:tcW w:w="879" w:type="dxa"/>
            <w:tcBorders>
              <w:top w:val="nil"/>
              <w:left w:val="nil"/>
              <w:bottom w:val="single" w:sz="4" w:space="0" w:color="auto"/>
              <w:right w:val="single" w:sz="4" w:space="0" w:color="auto"/>
            </w:tcBorders>
            <w:shd w:val="clear" w:color="auto" w:fill="auto"/>
            <w:noWrap/>
            <w:vAlign w:val="bottom"/>
            <w:hideMark/>
          </w:tcPr>
          <w:p w14:paraId="2BA5E8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3,346</w:t>
            </w:r>
          </w:p>
        </w:tc>
        <w:tc>
          <w:tcPr>
            <w:tcW w:w="879" w:type="dxa"/>
            <w:tcBorders>
              <w:top w:val="nil"/>
              <w:left w:val="nil"/>
              <w:bottom w:val="single" w:sz="4" w:space="0" w:color="auto"/>
              <w:right w:val="single" w:sz="4" w:space="0" w:color="auto"/>
            </w:tcBorders>
            <w:shd w:val="clear" w:color="auto" w:fill="auto"/>
            <w:noWrap/>
            <w:vAlign w:val="bottom"/>
            <w:hideMark/>
          </w:tcPr>
          <w:p w14:paraId="16E3029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3,707</w:t>
            </w:r>
          </w:p>
        </w:tc>
      </w:tr>
      <w:tr w:rsidR="00BF12D5" w:rsidRPr="00BD0223" w14:paraId="205BEE15" w14:textId="77777777" w:rsidTr="0039539B">
        <w:trPr>
          <w:trHeight w:val="255"/>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4A7EDC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Dezembro</w:t>
            </w:r>
          </w:p>
        </w:tc>
        <w:tc>
          <w:tcPr>
            <w:tcW w:w="730" w:type="dxa"/>
            <w:tcBorders>
              <w:top w:val="nil"/>
              <w:left w:val="nil"/>
              <w:bottom w:val="single" w:sz="4" w:space="0" w:color="auto"/>
              <w:right w:val="single" w:sz="4" w:space="0" w:color="auto"/>
            </w:tcBorders>
            <w:shd w:val="clear" w:color="auto" w:fill="auto"/>
            <w:noWrap/>
            <w:vAlign w:val="bottom"/>
            <w:hideMark/>
          </w:tcPr>
          <w:p w14:paraId="195945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1,951</w:t>
            </w:r>
          </w:p>
        </w:tc>
        <w:tc>
          <w:tcPr>
            <w:tcW w:w="878" w:type="dxa"/>
            <w:tcBorders>
              <w:top w:val="nil"/>
              <w:left w:val="nil"/>
              <w:bottom w:val="single" w:sz="4" w:space="0" w:color="auto"/>
              <w:right w:val="single" w:sz="4" w:space="0" w:color="auto"/>
            </w:tcBorders>
            <w:shd w:val="clear" w:color="auto" w:fill="auto"/>
            <w:noWrap/>
            <w:vAlign w:val="bottom"/>
            <w:hideMark/>
          </w:tcPr>
          <w:p w14:paraId="10D5D6E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1,995</w:t>
            </w:r>
          </w:p>
        </w:tc>
        <w:tc>
          <w:tcPr>
            <w:tcW w:w="879" w:type="dxa"/>
            <w:tcBorders>
              <w:top w:val="nil"/>
              <w:left w:val="nil"/>
              <w:bottom w:val="single" w:sz="4" w:space="0" w:color="auto"/>
              <w:right w:val="single" w:sz="4" w:space="0" w:color="auto"/>
            </w:tcBorders>
            <w:shd w:val="clear" w:color="auto" w:fill="auto"/>
            <w:noWrap/>
            <w:vAlign w:val="bottom"/>
            <w:hideMark/>
          </w:tcPr>
          <w:p w14:paraId="76A140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2,171</w:t>
            </w:r>
          </w:p>
        </w:tc>
        <w:tc>
          <w:tcPr>
            <w:tcW w:w="879" w:type="dxa"/>
            <w:tcBorders>
              <w:top w:val="nil"/>
              <w:left w:val="nil"/>
              <w:bottom w:val="single" w:sz="4" w:space="0" w:color="auto"/>
              <w:right w:val="single" w:sz="4" w:space="0" w:color="auto"/>
            </w:tcBorders>
            <w:shd w:val="clear" w:color="auto" w:fill="auto"/>
            <w:noWrap/>
            <w:vAlign w:val="bottom"/>
            <w:hideMark/>
          </w:tcPr>
          <w:p w14:paraId="23320C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2,48</w:t>
            </w:r>
          </w:p>
        </w:tc>
        <w:tc>
          <w:tcPr>
            <w:tcW w:w="879" w:type="dxa"/>
            <w:tcBorders>
              <w:top w:val="nil"/>
              <w:left w:val="nil"/>
              <w:bottom w:val="single" w:sz="4" w:space="0" w:color="auto"/>
              <w:right w:val="single" w:sz="4" w:space="0" w:color="auto"/>
            </w:tcBorders>
            <w:shd w:val="clear" w:color="auto" w:fill="auto"/>
            <w:noWrap/>
            <w:vAlign w:val="bottom"/>
            <w:hideMark/>
          </w:tcPr>
          <w:p w14:paraId="5218BE2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2,61</w:t>
            </w:r>
          </w:p>
        </w:tc>
        <w:tc>
          <w:tcPr>
            <w:tcW w:w="879" w:type="dxa"/>
            <w:tcBorders>
              <w:top w:val="nil"/>
              <w:left w:val="nil"/>
              <w:bottom w:val="single" w:sz="4" w:space="0" w:color="auto"/>
              <w:right w:val="single" w:sz="4" w:space="0" w:color="auto"/>
            </w:tcBorders>
            <w:shd w:val="clear" w:color="auto" w:fill="auto"/>
            <w:noWrap/>
            <w:vAlign w:val="bottom"/>
            <w:hideMark/>
          </w:tcPr>
          <w:p w14:paraId="1A4420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2,977</w:t>
            </w:r>
          </w:p>
        </w:tc>
        <w:tc>
          <w:tcPr>
            <w:tcW w:w="879" w:type="dxa"/>
            <w:tcBorders>
              <w:top w:val="nil"/>
              <w:left w:val="nil"/>
              <w:bottom w:val="single" w:sz="4" w:space="0" w:color="auto"/>
              <w:right w:val="single" w:sz="4" w:space="0" w:color="auto"/>
            </w:tcBorders>
            <w:shd w:val="clear" w:color="auto" w:fill="auto"/>
            <w:noWrap/>
            <w:vAlign w:val="bottom"/>
            <w:hideMark/>
          </w:tcPr>
          <w:p w14:paraId="42A0E1F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3,022</w:t>
            </w:r>
          </w:p>
        </w:tc>
        <w:tc>
          <w:tcPr>
            <w:tcW w:w="879" w:type="dxa"/>
            <w:tcBorders>
              <w:top w:val="nil"/>
              <w:left w:val="nil"/>
              <w:bottom w:val="single" w:sz="4" w:space="0" w:color="auto"/>
              <w:right w:val="single" w:sz="4" w:space="0" w:color="auto"/>
            </w:tcBorders>
            <w:shd w:val="clear" w:color="auto" w:fill="auto"/>
            <w:noWrap/>
            <w:vAlign w:val="bottom"/>
            <w:hideMark/>
          </w:tcPr>
          <w:p w14:paraId="310A85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3,38</w:t>
            </w:r>
          </w:p>
        </w:tc>
        <w:tc>
          <w:tcPr>
            <w:tcW w:w="879" w:type="dxa"/>
            <w:tcBorders>
              <w:top w:val="nil"/>
              <w:left w:val="nil"/>
              <w:bottom w:val="single" w:sz="4" w:space="0" w:color="auto"/>
              <w:right w:val="single" w:sz="4" w:space="0" w:color="auto"/>
            </w:tcBorders>
            <w:shd w:val="clear" w:color="auto" w:fill="auto"/>
            <w:noWrap/>
            <w:vAlign w:val="bottom"/>
            <w:hideMark/>
          </w:tcPr>
          <w:p w14:paraId="7BC06E7F" w14:textId="77777777" w:rsidR="00BF12D5" w:rsidRPr="00BD0223" w:rsidRDefault="00BF12D5" w:rsidP="0039539B">
            <w:pPr>
              <w:keepNext/>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3,516</w:t>
            </w:r>
          </w:p>
        </w:tc>
      </w:tr>
    </w:tbl>
    <w:p w14:paraId="01C95D7F" w14:textId="77777777" w:rsidR="00BF12D5" w:rsidRPr="008D398D" w:rsidRDefault="00BF12D5" w:rsidP="00BF12D5">
      <w:pPr>
        <w:pStyle w:val="Ttabela-fonte"/>
        <w:rPr>
          <w:color w:val="FF0000"/>
        </w:rPr>
      </w:pPr>
      <w:r w:rsidRPr="00BD0223">
        <w:t>Fonte: ANP</w:t>
      </w:r>
      <w:r>
        <w:t xml:space="preserve">. </w:t>
      </w:r>
      <w:r w:rsidRPr="00906965">
        <w:t>Elaboração do Autor</w:t>
      </w:r>
      <w:r w:rsidRPr="008D398D">
        <w:rPr>
          <w:color w:val="FF0000"/>
        </w:rPr>
        <w:t>.</w:t>
      </w:r>
    </w:p>
    <w:p w14:paraId="251477A7" w14:textId="77777777" w:rsidR="00BF12D5" w:rsidRDefault="00BF12D5" w:rsidP="00BF12D5">
      <w:pPr>
        <w:pStyle w:val="Tfigura-figura"/>
        <w:jc w:val="both"/>
        <w:rPr>
          <w:lang w:val="pt-PT" w:eastAsia="pt-PT"/>
        </w:rPr>
      </w:pPr>
    </w:p>
    <w:p w14:paraId="1D3F0316" w14:textId="77777777" w:rsidR="00BF12D5" w:rsidRPr="00BD0223" w:rsidRDefault="00BF12D5" w:rsidP="00BF12D5">
      <w:pPr>
        <w:pStyle w:val="Tfigura-titulo"/>
        <w:jc w:val="both"/>
      </w:pPr>
      <w:r w:rsidRPr="00BD0223">
        <w:t>Tabela 12 – Preço médio corrente em reais do litro do óleo diesel, mês a mês, registrado nos postos de combustíveis do estado de São Paulo de 2010 a 2018.</w:t>
      </w:r>
    </w:p>
    <w:tbl>
      <w:tblPr>
        <w:tblW w:w="4986" w:type="pct"/>
        <w:jc w:val="center"/>
        <w:tblCellMar>
          <w:left w:w="70" w:type="dxa"/>
          <w:right w:w="70" w:type="dxa"/>
        </w:tblCellMar>
        <w:tblLook w:val="04A0" w:firstRow="1" w:lastRow="0" w:firstColumn="1" w:lastColumn="0" w:noHBand="0" w:noVBand="1"/>
      </w:tblPr>
      <w:tblGrid>
        <w:gridCol w:w="1285"/>
        <w:gridCol w:w="767"/>
        <w:gridCol w:w="873"/>
        <w:gridCol w:w="873"/>
        <w:gridCol w:w="873"/>
        <w:gridCol w:w="873"/>
        <w:gridCol w:w="873"/>
        <w:gridCol w:w="873"/>
        <w:gridCol w:w="873"/>
        <w:gridCol w:w="873"/>
      </w:tblGrid>
      <w:tr w:rsidR="00BF12D5" w:rsidRPr="001C03A7" w14:paraId="23BD0299" w14:textId="77777777" w:rsidTr="0039539B">
        <w:trPr>
          <w:trHeight w:val="278"/>
          <w:jc w:val="center"/>
        </w:trPr>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61D11"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14:paraId="0975BFE3"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2010</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054F2F7A"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2011</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49DCFDC9"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2012</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3E00F723"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2013</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4615E1DD"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2014</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5086C78E"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2015</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5DA27E7B"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2016</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3DDB241A"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2017</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14:paraId="1B04D71C"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2018</w:t>
            </w:r>
          </w:p>
        </w:tc>
      </w:tr>
      <w:tr w:rsidR="00BF12D5" w:rsidRPr="00BD0223" w14:paraId="66BA9FAA" w14:textId="77777777" w:rsidTr="0039539B">
        <w:trPr>
          <w:trHeight w:val="278"/>
          <w:jc w:val="center"/>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25196E9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Janeiro</w:t>
            </w:r>
          </w:p>
        </w:tc>
        <w:tc>
          <w:tcPr>
            <w:tcW w:w="767" w:type="dxa"/>
            <w:tcBorders>
              <w:top w:val="nil"/>
              <w:left w:val="nil"/>
              <w:bottom w:val="single" w:sz="4" w:space="0" w:color="auto"/>
              <w:right w:val="single" w:sz="4" w:space="0" w:color="auto"/>
            </w:tcBorders>
            <w:shd w:val="clear" w:color="auto" w:fill="auto"/>
            <w:noWrap/>
            <w:vAlign w:val="bottom"/>
            <w:hideMark/>
          </w:tcPr>
          <w:p w14:paraId="5BB55E5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1,971</w:t>
            </w:r>
          </w:p>
        </w:tc>
        <w:tc>
          <w:tcPr>
            <w:tcW w:w="873" w:type="dxa"/>
            <w:tcBorders>
              <w:top w:val="nil"/>
              <w:left w:val="nil"/>
              <w:bottom w:val="single" w:sz="4" w:space="0" w:color="auto"/>
              <w:right w:val="single" w:sz="4" w:space="0" w:color="auto"/>
            </w:tcBorders>
            <w:shd w:val="clear" w:color="auto" w:fill="auto"/>
            <w:noWrap/>
            <w:vAlign w:val="bottom"/>
            <w:hideMark/>
          </w:tcPr>
          <w:p w14:paraId="57F2141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1,975</w:t>
            </w:r>
          </w:p>
        </w:tc>
        <w:tc>
          <w:tcPr>
            <w:tcW w:w="873" w:type="dxa"/>
            <w:tcBorders>
              <w:top w:val="nil"/>
              <w:left w:val="nil"/>
              <w:bottom w:val="single" w:sz="4" w:space="0" w:color="auto"/>
              <w:right w:val="single" w:sz="4" w:space="0" w:color="auto"/>
            </w:tcBorders>
            <w:shd w:val="clear" w:color="auto" w:fill="auto"/>
            <w:noWrap/>
            <w:vAlign w:val="bottom"/>
            <w:hideMark/>
          </w:tcPr>
          <w:p w14:paraId="7CFA7FD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1,987</w:t>
            </w:r>
          </w:p>
        </w:tc>
        <w:tc>
          <w:tcPr>
            <w:tcW w:w="873" w:type="dxa"/>
            <w:tcBorders>
              <w:top w:val="nil"/>
              <w:left w:val="nil"/>
              <w:bottom w:val="single" w:sz="4" w:space="0" w:color="auto"/>
              <w:right w:val="single" w:sz="4" w:space="0" w:color="auto"/>
            </w:tcBorders>
            <w:shd w:val="clear" w:color="auto" w:fill="auto"/>
            <w:noWrap/>
            <w:vAlign w:val="bottom"/>
            <w:hideMark/>
          </w:tcPr>
          <w:p w14:paraId="3106424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2,102</w:t>
            </w:r>
          </w:p>
        </w:tc>
        <w:tc>
          <w:tcPr>
            <w:tcW w:w="873" w:type="dxa"/>
            <w:tcBorders>
              <w:top w:val="nil"/>
              <w:left w:val="nil"/>
              <w:bottom w:val="single" w:sz="4" w:space="0" w:color="auto"/>
              <w:right w:val="single" w:sz="4" w:space="0" w:color="auto"/>
            </w:tcBorders>
            <w:shd w:val="clear" w:color="auto" w:fill="auto"/>
            <w:noWrap/>
            <w:vAlign w:val="bottom"/>
            <w:hideMark/>
          </w:tcPr>
          <w:p w14:paraId="58287C7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2,432</w:t>
            </w:r>
          </w:p>
        </w:tc>
        <w:tc>
          <w:tcPr>
            <w:tcW w:w="873" w:type="dxa"/>
            <w:tcBorders>
              <w:top w:val="nil"/>
              <w:left w:val="nil"/>
              <w:bottom w:val="single" w:sz="4" w:space="0" w:color="auto"/>
              <w:right w:val="single" w:sz="4" w:space="0" w:color="auto"/>
            </w:tcBorders>
            <w:shd w:val="clear" w:color="auto" w:fill="auto"/>
            <w:noWrap/>
            <w:vAlign w:val="bottom"/>
            <w:hideMark/>
          </w:tcPr>
          <w:p w14:paraId="243C050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2,539</w:t>
            </w:r>
          </w:p>
        </w:tc>
        <w:tc>
          <w:tcPr>
            <w:tcW w:w="873" w:type="dxa"/>
            <w:tcBorders>
              <w:top w:val="nil"/>
              <w:left w:val="nil"/>
              <w:bottom w:val="single" w:sz="4" w:space="0" w:color="auto"/>
              <w:right w:val="single" w:sz="4" w:space="0" w:color="auto"/>
            </w:tcBorders>
            <w:shd w:val="clear" w:color="auto" w:fill="auto"/>
            <w:noWrap/>
            <w:vAlign w:val="bottom"/>
            <w:hideMark/>
          </w:tcPr>
          <w:p w14:paraId="2D99939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2,919</w:t>
            </w:r>
          </w:p>
        </w:tc>
        <w:tc>
          <w:tcPr>
            <w:tcW w:w="873" w:type="dxa"/>
            <w:tcBorders>
              <w:top w:val="nil"/>
              <w:left w:val="nil"/>
              <w:bottom w:val="single" w:sz="4" w:space="0" w:color="auto"/>
              <w:right w:val="single" w:sz="4" w:space="0" w:color="auto"/>
            </w:tcBorders>
            <w:shd w:val="clear" w:color="auto" w:fill="auto"/>
            <w:noWrap/>
            <w:vAlign w:val="bottom"/>
            <w:hideMark/>
          </w:tcPr>
          <w:p w14:paraId="77BEFA1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2,99</w:t>
            </w:r>
          </w:p>
        </w:tc>
        <w:tc>
          <w:tcPr>
            <w:tcW w:w="873" w:type="dxa"/>
            <w:tcBorders>
              <w:top w:val="nil"/>
              <w:left w:val="nil"/>
              <w:bottom w:val="single" w:sz="4" w:space="0" w:color="auto"/>
              <w:right w:val="single" w:sz="4" w:space="0" w:color="auto"/>
            </w:tcBorders>
            <w:shd w:val="clear" w:color="auto" w:fill="auto"/>
            <w:noWrap/>
            <w:vAlign w:val="bottom"/>
            <w:hideMark/>
          </w:tcPr>
          <w:p w14:paraId="748D2B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3,278</w:t>
            </w:r>
          </w:p>
        </w:tc>
      </w:tr>
      <w:tr w:rsidR="00BF12D5" w:rsidRPr="00BD0223" w14:paraId="7CCE70A5" w14:textId="77777777" w:rsidTr="0039539B">
        <w:trPr>
          <w:trHeight w:val="278"/>
          <w:jc w:val="center"/>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208C314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Fevereiro</w:t>
            </w:r>
          </w:p>
        </w:tc>
        <w:tc>
          <w:tcPr>
            <w:tcW w:w="767" w:type="dxa"/>
            <w:tcBorders>
              <w:top w:val="nil"/>
              <w:left w:val="nil"/>
              <w:bottom w:val="single" w:sz="4" w:space="0" w:color="auto"/>
              <w:right w:val="single" w:sz="4" w:space="0" w:color="auto"/>
            </w:tcBorders>
            <w:shd w:val="clear" w:color="auto" w:fill="auto"/>
            <w:noWrap/>
            <w:vAlign w:val="bottom"/>
            <w:hideMark/>
          </w:tcPr>
          <w:p w14:paraId="3D4B0F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1,974</w:t>
            </w:r>
          </w:p>
        </w:tc>
        <w:tc>
          <w:tcPr>
            <w:tcW w:w="873" w:type="dxa"/>
            <w:tcBorders>
              <w:top w:val="nil"/>
              <w:left w:val="nil"/>
              <w:bottom w:val="single" w:sz="4" w:space="0" w:color="auto"/>
              <w:right w:val="single" w:sz="4" w:space="0" w:color="auto"/>
            </w:tcBorders>
            <w:shd w:val="clear" w:color="auto" w:fill="auto"/>
            <w:noWrap/>
            <w:vAlign w:val="bottom"/>
            <w:hideMark/>
          </w:tcPr>
          <w:p w14:paraId="0393811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1,983</w:t>
            </w:r>
          </w:p>
        </w:tc>
        <w:tc>
          <w:tcPr>
            <w:tcW w:w="873" w:type="dxa"/>
            <w:tcBorders>
              <w:top w:val="nil"/>
              <w:left w:val="nil"/>
              <w:bottom w:val="single" w:sz="4" w:space="0" w:color="auto"/>
              <w:right w:val="single" w:sz="4" w:space="0" w:color="auto"/>
            </w:tcBorders>
            <w:shd w:val="clear" w:color="auto" w:fill="auto"/>
            <w:noWrap/>
            <w:vAlign w:val="bottom"/>
            <w:hideMark/>
          </w:tcPr>
          <w:p w14:paraId="4CCBBCC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1,986</w:t>
            </w:r>
          </w:p>
        </w:tc>
        <w:tc>
          <w:tcPr>
            <w:tcW w:w="873" w:type="dxa"/>
            <w:tcBorders>
              <w:top w:val="nil"/>
              <w:left w:val="nil"/>
              <w:bottom w:val="single" w:sz="4" w:space="0" w:color="auto"/>
              <w:right w:val="single" w:sz="4" w:space="0" w:color="auto"/>
            </w:tcBorders>
            <w:shd w:val="clear" w:color="auto" w:fill="auto"/>
            <w:noWrap/>
            <w:vAlign w:val="bottom"/>
            <w:hideMark/>
          </w:tcPr>
          <w:p w14:paraId="3F15CFF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2,198</w:t>
            </w:r>
          </w:p>
        </w:tc>
        <w:tc>
          <w:tcPr>
            <w:tcW w:w="873" w:type="dxa"/>
            <w:tcBorders>
              <w:top w:val="nil"/>
              <w:left w:val="nil"/>
              <w:bottom w:val="single" w:sz="4" w:space="0" w:color="auto"/>
              <w:right w:val="single" w:sz="4" w:space="0" w:color="auto"/>
            </w:tcBorders>
            <w:shd w:val="clear" w:color="auto" w:fill="auto"/>
            <w:noWrap/>
            <w:vAlign w:val="bottom"/>
            <w:hideMark/>
          </w:tcPr>
          <w:p w14:paraId="42D8475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2,434</w:t>
            </w:r>
          </w:p>
        </w:tc>
        <w:tc>
          <w:tcPr>
            <w:tcW w:w="873" w:type="dxa"/>
            <w:tcBorders>
              <w:top w:val="nil"/>
              <w:left w:val="nil"/>
              <w:bottom w:val="single" w:sz="4" w:space="0" w:color="auto"/>
              <w:right w:val="single" w:sz="4" w:space="0" w:color="auto"/>
            </w:tcBorders>
            <w:shd w:val="clear" w:color="auto" w:fill="auto"/>
            <w:noWrap/>
            <w:vAlign w:val="bottom"/>
            <w:hideMark/>
          </w:tcPr>
          <w:p w14:paraId="7E35C42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2,698</w:t>
            </w:r>
          </w:p>
        </w:tc>
        <w:tc>
          <w:tcPr>
            <w:tcW w:w="873" w:type="dxa"/>
            <w:tcBorders>
              <w:top w:val="nil"/>
              <w:left w:val="nil"/>
              <w:bottom w:val="single" w:sz="4" w:space="0" w:color="auto"/>
              <w:right w:val="single" w:sz="4" w:space="0" w:color="auto"/>
            </w:tcBorders>
            <w:shd w:val="clear" w:color="auto" w:fill="auto"/>
            <w:noWrap/>
            <w:vAlign w:val="bottom"/>
            <w:hideMark/>
          </w:tcPr>
          <w:p w14:paraId="6FB3B7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2,925</w:t>
            </w:r>
          </w:p>
        </w:tc>
        <w:tc>
          <w:tcPr>
            <w:tcW w:w="873" w:type="dxa"/>
            <w:tcBorders>
              <w:top w:val="nil"/>
              <w:left w:val="nil"/>
              <w:bottom w:val="single" w:sz="4" w:space="0" w:color="auto"/>
              <w:right w:val="single" w:sz="4" w:space="0" w:color="auto"/>
            </w:tcBorders>
            <w:shd w:val="clear" w:color="auto" w:fill="auto"/>
            <w:noWrap/>
            <w:vAlign w:val="bottom"/>
            <w:hideMark/>
          </w:tcPr>
          <w:p w14:paraId="5C96A2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3,003</w:t>
            </w:r>
          </w:p>
        </w:tc>
        <w:tc>
          <w:tcPr>
            <w:tcW w:w="873" w:type="dxa"/>
            <w:tcBorders>
              <w:top w:val="nil"/>
              <w:left w:val="nil"/>
              <w:bottom w:val="single" w:sz="4" w:space="0" w:color="auto"/>
              <w:right w:val="single" w:sz="4" w:space="0" w:color="auto"/>
            </w:tcBorders>
            <w:shd w:val="clear" w:color="auto" w:fill="auto"/>
            <w:noWrap/>
            <w:vAlign w:val="bottom"/>
            <w:hideMark/>
          </w:tcPr>
          <w:p w14:paraId="19EB8E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3,276</w:t>
            </w:r>
          </w:p>
        </w:tc>
      </w:tr>
      <w:tr w:rsidR="00BF12D5" w:rsidRPr="00BD0223" w14:paraId="23A0E704" w14:textId="77777777" w:rsidTr="0039539B">
        <w:trPr>
          <w:trHeight w:val="278"/>
          <w:jc w:val="center"/>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16C4614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Março</w:t>
            </w:r>
          </w:p>
        </w:tc>
        <w:tc>
          <w:tcPr>
            <w:tcW w:w="767" w:type="dxa"/>
            <w:tcBorders>
              <w:top w:val="nil"/>
              <w:left w:val="nil"/>
              <w:bottom w:val="single" w:sz="4" w:space="0" w:color="auto"/>
              <w:right w:val="single" w:sz="4" w:space="0" w:color="auto"/>
            </w:tcBorders>
            <w:shd w:val="clear" w:color="auto" w:fill="auto"/>
            <w:noWrap/>
            <w:vAlign w:val="bottom"/>
            <w:hideMark/>
          </w:tcPr>
          <w:p w14:paraId="06D5AE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1,971</w:t>
            </w:r>
          </w:p>
        </w:tc>
        <w:tc>
          <w:tcPr>
            <w:tcW w:w="873" w:type="dxa"/>
            <w:tcBorders>
              <w:top w:val="nil"/>
              <w:left w:val="nil"/>
              <w:bottom w:val="single" w:sz="4" w:space="0" w:color="auto"/>
              <w:right w:val="single" w:sz="4" w:space="0" w:color="auto"/>
            </w:tcBorders>
            <w:shd w:val="clear" w:color="auto" w:fill="auto"/>
            <w:noWrap/>
            <w:vAlign w:val="bottom"/>
            <w:hideMark/>
          </w:tcPr>
          <w:p w14:paraId="4E9245B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1,987</w:t>
            </w:r>
          </w:p>
        </w:tc>
        <w:tc>
          <w:tcPr>
            <w:tcW w:w="873" w:type="dxa"/>
            <w:tcBorders>
              <w:top w:val="nil"/>
              <w:left w:val="nil"/>
              <w:bottom w:val="single" w:sz="4" w:space="0" w:color="auto"/>
              <w:right w:val="single" w:sz="4" w:space="0" w:color="auto"/>
            </w:tcBorders>
            <w:shd w:val="clear" w:color="auto" w:fill="auto"/>
            <w:noWrap/>
            <w:vAlign w:val="bottom"/>
            <w:hideMark/>
          </w:tcPr>
          <w:p w14:paraId="5C88A8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1,985</w:t>
            </w:r>
          </w:p>
        </w:tc>
        <w:tc>
          <w:tcPr>
            <w:tcW w:w="873" w:type="dxa"/>
            <w:tcBorders>
              <w:top w:val="nil"/>
              <w:left w:val="nil"/>
              <w:bottom w:val="single" w:sz="4" w:space="0" w:color="auto"/>
              <w:right w:val="single" w:sz="4" w:space="0" w:color="auto"/>
            </w:tcBorders>
            <w:shd w:val="clear" w:color="auto" w:fill="auto"/>
            <w:noWrap/>
            <w:vAlign w:val="bottom"/>
            <w:hideMark/>
          </w:tcPr>
          <w:p w14:paraId="01ACE49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2,255</w:t>
            </w:r>
          </w:p>
        </w:tc>
        <w:tc>
          <w:tcPr>
            <w:tcW w:w="873" w:type="dxa"/>
            <w:tcBorders>
              <w:top w:val="nil"/>
              <w:left w:val="nil"/>
              <w:bottom w:val="single" w:sz="4" w:space="0" w:color="auto"/>
              <w:right w:val="single" w:sz="4" w:space="0" w:color="auto"/>
            </w:tcBorders>
            <w:shd w:val="clear" w:color="auto" w:fill="auto"/>
            <w:noWrap/>
            <w:vAlign w:val="bottom"/>
            <w:hideMark/>
          </w:tcPr>
          <w:p w14:paraId="60C965A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2,437</w:t>
            </w:r>
          </w:p>
        </w:tc>
        <w:tc>
          <w:tcPr>
            <w:tcW w:w="873" w:type="dxa"/>
            <w:tcBorders>
              <w:top w:val="nil"/>
              <w:left w:val="nil"/>
              <w:bottom w:val="single" w:sz="4" w:space="0" w:color="auto"/>
              <w:right w:val="single" w:sz="4" w:space="0" w:color="auto"/>
            </w:tcBorders>
            <w:shd w:val="clear" w:color="auto" w:fill="auto"/>
            <w:noWrap/>
            <w:vAlign w:val="bottom"/>
            <w:hideMark/>
          </w:tcPr>
          <w:p w14:paraId="294E268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2,716</w:t>
            </w:r>
          </w:p>
        </w:tc>
        <w:tc>
          <w:tcPr>
            <w:tcW w:w="873" w:type="dxa"/>
            <w:tcBorders>
              <w:top w:val="nil"/>
              <w:left w:val="nil"/>
              <w:bottom w:val="single" w:sz="4" w:space="0" w:color="auto"/>
              <w:right w:val="single" w:sz="4" w:space="0" w:color="auto"/>
            </w:tcBorders>
            <w:shd w:val="clear" w:color="auto" w:fill="auto"/>
            <w:noWrap/>
            <w:vAlign w:val="bottom"/>
            <w:hideMark/>
          </w:tcPr>
          <w:p w14:paraId="36296F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2,924</w:t>
            </w:r>
          </w:p>
        </w:tc>
        <w:tc>
          <w:tcPr>
            <w:tcW w:w="873" w:type="dxa"/>
            <w:tcBorders>
              <w:top w:val="nil"/>
              <w:left w:val="nil"/>
              <w:bottom w:val="single" w:sz="4" w:space="0" w:color="auto"/>
              <w:right w:val="single" w:sz="4" w:space="0" w:color="auto"/>
            </w:tcBorders>
            <w:shd w:val="clear" w:color="auto" w:fill="auto"/>
            <w:noWrap/>
            <w:vAlign w:val="bottom"/>
            <w:hideMark/>
          </w:tcPr>
          <w:p w14:paraId="6EADF6C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2,952</w:t>
            </w:r>
          </w:p>
        </w:tc>
        <w:tc>
          <w:tcPr>
            <w:tcW w:w="873" w:type="dxa"/>
            <w:tcBorders>
              <w:top w:val="nil"/>
              <w:left w:val="nil"/>
              <w:bottom w:val="single" w:sz="4" w:space="0" w:color="auto"/>
              <w:right w:val="single" w:sz="4" w:space="0" w:color="auto"/>
            </w:tcBorders>
            <w:shd w:val="clear" w:color="auto" w:fill="auto"/>
            <w:noWrap/>
            <w:vAlign w:val="bottom"/>
            <w:hideMark/>
          </w:tcPr>
          <w:p w14:paraId="22E0C2E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3,273</w:t>
            </w:r>
          </w:p>
        </w:tc>
      </w:tr>
      <w:tr w:rsidR="00BF12D5" w:rsidRPr="00BD0223" w14:paraId="6ED618DB" w14:textId="77777777" w:rsidTr="0039539B">
        <w:trPr>
          <w:trHeight w:val="278"/>
          <w:jc w:val="center"/>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ECB3D8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Abril</w:t>
            </w:r>
          </w:p>
        </w:tc>
        <w:tc>
          <w:tcPr>
            <w:tcW w:w="767" w:type="dxa"/>
            <w:tcBorders>
              <w:top w:val="nil"/>
              <w:left w:val="nil"/>
              <w:bottom w:val="single" w:sz="4" w:space="0" w:color="auto"/>
              <w:right w:val="single" w:sz="4" w:space="0" w:color="auto"/>
            </w:tcBorders>
            <w:shd w:val="clear" w:color="auto" w:fill="auto"/>
            <w:noWrap/>
            <w:vAlign w:val="bottom"/>
            <w:hideMark/>
          </w:tcPr>
          <w:p w14:paraId="06050D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1,97</w:t>
            </w:r>
          </w:p>
        </w:tc>
        <w:tc>
          <w:tcPr>
            <w:tcW w:w="873" w:type="dxa"/>
            <w:tcBorders>
              <w:top w:val="nil"/>
              <w:left w:val="nil"/>
              <w:bottom w:val="single" w:sz="4" w:space="0" w:color="auto"/>
              <w:right w:val="single" w:sz="4" w:space="0" w:color="auto"/>
            </w:tcBorders>
            <w:shd w:val="clear" w:color="auto" w:fill="auto"/>
            <w:noWrap/>
            <w:vAlign w:val="bottom"/>
            <w:hideMark/>
          </w:tcPr>
          <w:p w14:paraId="0AE132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1,99</w:t>
            </w:r>
          </w:p>
        </w:tc>
        <w:tc>
          <w:tcPr>
            <w:tcW w:w="873" w:type="dxa"/>
            <w:tcBorders>
              <w:top w:val="nil"/>
              <w:left w:val="nil"/>
              <w:bottom w:val="single" w:sz="4" w:space="0" w:color="auto"/>
              <w:right w:val="single" w:sz="4" w:space="0" w:color="auto"/>
            </w:tcBorders>
            <w:shd w:val="clear" w:color="auto" w:fill="auto"/>
            <w:noWrap/>
            <w:vAlign w:val="bottom"/>
            <w:hideMark/>
          </w:tcPr>
          <w:p w14:paraId="7C5FA25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1,993</w:t>
            </w:r>
          </w:p>
        </w:tc>
        <w:tc>
          <w:tcPr>
            <w:tcW w:w="873" w:type="dxa"/>
            <w:tcBorders>
              <w:top w:val="nil"/>
              <w:left w:val="nil"/>
              <w:bottom w:val="single" w:sz="4" w:space="0" w:color="auto"/>
              <w:right w:val="single" w:sz="4" w:space="0" w:color="auto"/>
            </w:tcBorders>
            <w:shd w:val="clear" w:color="auto" w:fill="auto"/>
            <w:noWrap/>
            <w:vAlign w:val="bottom"/>
            <w:hideMark/>
          </w:tcPr>
          <w:p w14:paraId="7BE33C9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2,284</w:t>
            </w:r>
          </w:p>
        </w:tc>
        <w:tc>
          <w:tcPr>
            <w:tcW w:w="873" w:type="dxa"/>
            <w:tcBorders>
              <w:top w:val="nil"/>
              <w:left w:val="nil"/>
              <w:bottom w:val="single" w:sz="4" w:space="0" w:color="auto"/>
              <w:right w:val="single" w:sz="4" w:space="0" w:color="auto"/>
            </w:tcBorders>
            <w:shd w:val="clear" w:color="auto" w:fill="auto"/>
            <w:noWrap/>
            <w:vAlign w:val="bottom"/>
            <w:hideMark/>
          </w:tcPr>
          <w:p w14:paraId="57976E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2,442</w:t>
            </w:r>
          </w:p>
        </w:tc>
        <w:tc>
          <w:tcPr>
            <w:tcW w:w="873" w:type="dxa"/>
            <w:tcBorders>
              <w:top w:val="nil"/>
              <w:left w:val="nil"/>
              <w:bottom w:val="single" w:sz="4" w:space="0" w:color="auto"/>
              <w:right w:val="single" w:sz="4" w:space="0" w:color="auto"/>
            </w:tcBorders>
            <w:shd w:val="clear" w:color="auto" w:fill="auto"/>
            <w:noWrap/>
            <w:vAlign w:val="bottom"/>
            <w:hideMark/>
          </w:tcPr>
          <w:p w14:paraId="677AE1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2,714</w:t>
            </w:r>
          </w:p>
        </w:tc>
        <w:tc>
          <w:tcPr>
            <w:tcW w:w="873" w:type="dxa"/>
            <w:tcBorders>
              <w:top w:val="nil"/>
              <w:left w:val="nil"/>
              <w:bottom w:val="single" w:sz="4" w:space="0" w:color="auto"/>
              <w:right w:val="single" w:sz="4" w:space="0" w:color="auto"/>
            </w:tcBorders>
            <w:shd w:val="clear" w:color="auto" w:fill="auto"/>
            <w:noWrap/>
            <w:vAlign w:val="bottom"/>
            <w:hideMark/>
          </w:tcPr>
          <w:p w14:paraId="70256BD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2,921</w:t>
            </w:r>
          </w:p>
        </w:tc>
        <w:tc>
          <w:tcPr>
            <w:tcW w:w="873" w:type="dxa"/>
            <w:tcBorders>
              <w:top w:val="nil"/>
              <w:left w:val="nil"/>
              <w:bottom w:val="single" w:sz="4" w:space="0" w:color="auto"/>
              <w:right w:val="single" w:sz="4" w:space="0" w:color="auto"/>
            </w:tcBorders>
            <w:shd w:val="clear" w:color="auto" w:fill="auto"/>
            <w:noWrap/>
            <w:vAlign w:val="bottom"/>
            <w:hideMark/>
          </w:tcPr>
          <w:p w14:paraId="66A68E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2,923</w:t>
            </w:r>
          </w:p>
        </w:tc>
        <w:tc>
          <w:tcPr>
            <w:tcW w:w="873" w:type="dxa"/>
            <w:tcBorders>
              <w:top w:val="nil"/>
              <w:left w:val="nil"/>
              <w:bottom w:val="single" w:sz="4" w:space="0" w:color="auto"/>
              <w:right w:val="single" w:sz="4" w:space="0" w:color="auto"/>
            </w:tcBorders>
            <w:shd w:val="clear" w:color="auto" w:fill="auto"/>
            <w:noWrap/>
            <w:vAlign w:val="bottom"/>
            <w:hideMark/>
          </w:tcPr>
          <w:p w14:paraId="1EA9B01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3,329</w:t>
            </w:r>
          </w:p>
        </w:tc>
      </w:tr>
      <w:tr w:rsidR="00BF12D5" w:rsidRPr="00BD0223" w14:paraId="3A9A6090" w14:textId="77777777" w:rsidTr="0039539B">
        <w:trPr>
          <w:trHeight w:val="278"/>
          <w:jc w:val="center"/>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26847EF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Maio</w:t>
            </w:r>
          </w:p>
        </w:tc>
        <w:tc>
          <w:tcPr>
            <w:tcW w:w="767" w:type="dxa"/>
            <w:tcBorders>
              <w:top w:val="nil"/>
              <w:left w:val="nil"/>
              <w:bottom w:val="single" w:sz="4" w:space="0" w:color="auto"/>
              <w:right w:val="single" w:sz="4" w:space="0" w:color="auto"/>
            </w:tcBorders>
            <w:shd w:val="clear" w:color="auto" w:fill="auto"/>
            <w:noWrap/>
            <w:vAlign w:val="bottom"/>
            <w:hideMark/>
          </w:tcPr>
          <w:p w14:paraId="4407E2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1,966</w:t>
            </w:r>
          </w:p>
        </w:tc>
        <w:tc>
          <w:tcPr>
            <w:tcW w:w="873" w:type="dxa"/>
            <w:tcBorders>
              <w:top w:val="nil"/>
              <w:left w:val="nil"/>
              <w:bottom w:val="single" w:sz="4" w:space="0" w:color="auto"/>
              <w:right w:val="single" w:sz="4" w:space="0" w:color="auto"/>
            </w:tcBorders>
            <w:shd w:val="clear" w:color="auto" w:fill="auto"/>
            <w:noWrap/>
            <w:vAlign w:val="bottom"/>
            <w:hideMark/>
          </w:tcPr>
          <w:p w14:paraId="7D7DFD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1,989</w:t>
            </w:r>
          </w:p>
        </w:tc>
        <w:tc>
          <w:tcPr>
            <w:tcW w:w="873" w:type="dxa"/>
            <w:tcBorders>
              <w:top w:val="nil"/>
              <w:left w:val="nil"/>
              <w:bottom w:val="single" w:sz="4" w:space="0" w:color="auto"/>
              <w:right w:val="single" w:sz="4" w:space="0" w:color="auto"/>
            </w:tcBorders>
            <w:shd w:val="clear" w:color="auto" w:fill="auto"/>
            <w:noWrap/>
            <w:vAlign w:val="bottom"/>
            <w:hideMark/>
          </w:tcPr>
          <w:p w14:paraId="657691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1,989</w:t>
            </w:r>
          </w:p>
        </w:tc>
        <w:tc>
          <w:tcPr>
            <w:tcW w:w="873" w:type="dxa"/>
            <w:tcBorders>
              <w:top w:val="nil"/>
              <w:left w:val="nil"/>
              <w:bottom w:val="single" w:sz="4" w:space="0" w:color="auto"/>
              <w:right w:val="single" w:sz="4" w:space="0" w:color="auto"/>
            </w:tcBorders>
            <w:shd w:val="clear" w:color="auto" w:fill="auto"/>
            <w:noWrap/>
            <w:vAlign w:val="bottom"/>
            <w:hideMark/>
          </w:tcPr>
          <w:p w14:paraId="10A9670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2,283</w:t>
            </w:r>
          </w:p>
        </w:tc>
        <w:tc>
          <w:tcPr>
            <w:tcW w:w="873" w:type="dxa"/>
            <w:tcBorders>
              <w:top w:val="nil"/>
              <w:left w:val="nil"/>
              <w:bottom w:val="single" w:sz="4" w:space="0" w:color="auto"/>
              <w:right w:val="single" w:sz="4" w:space="0" w:color="auto"/>
            </w:tcBorders>
            <w:shd w:val="clear" w:color="auto" w:fill="auto"/>
            <w:noWrap/>
            <w:vAlign w:val="bottom"/>
            <w:hideMark/>
          </w:tcPr>
          <w:p w14:paraId="4DE2C73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2,438</w:t>
            </w:r>
          </w:p>
        </w:tc>
        <w:tc>
          <w:tcPr>
            <w:tcW w:w="873" w:type="dxa"/>
            <w:tcBorders>
              <w:top w:val="nil"/>
              <w:left w:val="nil"/>
              <w:bottom w:val="single" w:sz="4" w:space="0" w:color="auto"/>
              <w:right w:val="single" w:sz="4" w:space="0" w:color="auto"/>
            </w:tcBorders>
            <w:shd w:val="clear" w:color="auto" w:fill="auto"/>
            <w:noWrap/>
            <w:vAlign w:val="bottom"/>
            <w:hideMark/>
          </w:tcPr>
          <w:p w14:paraId="100282D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2,712</w:t>
            </w:r>
          </w:p>
        </w:tc>
        <w:tc>
          <w:tcPr>
            <w:tcW w:w="873" w:type="dxa"/>
            <w:tcBorders>
              <w:top w:val="nil"/>
              <w:left w:val="nil"/>
              <w:bottom w:val="single" w:sz="4" w:space="0" w:color="auto"/>
              <w:right w:val="single" w:sz="4" w:space="0" w:color="auto"/>
            </w:tcBorders>
            <w:shd w:val="clear" w:color="auto" w:fill="auto"/>
            <w:noWrap/>
            <w:vAlign w:val="bottom"/>
            <w:hideMark/>
          </w:tcPr>
          <w:p w14:paraId="4B6272D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2,917</w:t>
            </w:r>
          </w:p>
        </w:tc>
        <w:tc>
          <w:tcPr>
            <w:tcW w:w="873" w:type="dxa"/>
            <w:tcBorders>
              <w:top w:val="nil"/>
              <w:left w:val="nil"/>
              <w:bottom w:val="single" w:sz="4" w:space="0" w:color="auto"/>
              <w:right w:val="single" w:sz="4" w:space="0" w:color="auto"/>
            </w:tcBorders>
            <w:shd w:val="clear" w:color="auto" w:fill="auto"/>
            <w:noWrap/>
            <w:vAlign w:val="bottom"/>
            <w:hideMark/>
          </w:tcPr>
          <w:p w14:paraId="1ADC317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2,928</w:t>
            </w:r>
          </w:p>
        </w:tc>
        <w:tc>
          <w:tcPr>
            <w:tcW w:w="873" w:type="dxa"/>
            <w:tcBorders>
              <w:top w:val="nil"/>
              <w:left w:val="nil"/>
              <w:bottom w:val="single" w:sz="4" w:space="0" w:color="auto"/>
              <w:right w:val="single" w:sz="4" w:space="0" w:color="auto"/>
            </w:tcBorders>
            <w:shd w:val="clear" w:color="auto" w:fill="auto"/>
            <w:noWrap/>
            <w:vAlign w:val="bottom"/>
            <w:hideMark/>
          </w:tcPr>
          <w:p w14:paraId="0C62852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3,537</w:t>
            </w:r>
          </w:p>
        </w:tc>
      </w:tr>
      <w:tr w:rsidR="00BF12D5" w:rsidRPr="00BD0223" w14:paraId="37E8A0E1" w14:textId="77777777" w:rsidTr="0039539B">
        <w:trPr>
          <w:trHeight w:val="278"/>
          <w:jc w:val="center"/>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F774DC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Junho</w:t>
            </w:r>
          </w:p>
        </w:tc>
        <w:tc>
          <w:tcPr>
            <w:tcW w:w="767" w:type="dxa"/>
            <w:tcBorders>
              <w:top w:val="nil"/>
              <w:left w:val="nil"/>
              <w:bottom w:val="single" w:sz="4" w:space="0" w:color="auto"/>
              <w:right w:val="single" w:sz="4" w:space="0" w:color="auto"/>
            </w:tcBorders>
            <w:shd w:val="clear" w:color="auto" w:fill="auto"/>
            <w:noWrap/>
            <w:vAlign w:val="bottom"/>
            <w:hideMark/>
          </w:tcPr>
          <w:p w14:paraId="2EEFA07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1,966</w:t>
            </w:r>
          </w:p>
        </w:tc>
        <w:tc>
          <w:tcPr>
            <w:tcW w:w="873" w:type="dxa"/>
            <w:tcBorders>
              <w:top w:val="nil"/>
              <w:left w:val="nil"/>
              <w:bottom w:val="single" w:sz="4" w:space="0" w:color="auto"/>
              <w:right w:val="single" w:sz="4" w:space="0" w:color="auto"/>
            </w:tcBorders>
            <w:shd w:val="clear" w:color="auto" w:fill="auto"/>
            <w:noWrap/>
            <w:vAlign w:val="bottom"/>
            <w:hideMark/>
          </w:tcPr>
          <w:p w14:paraId="39ECA30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1,984</w:t>
            </w:r>
          </w:p>
        </w:tc>
        <w:tc>
          <w:tcPr>
            <w:tcW w:w="873" w:type="dxa"/>
            <w:tcBorders>
              <w:top w:val="nil"/>
              <w:left w:val="nil"/>
              <w:bottom w:val="single" w:sz="4" w:space="0" w:color="auto"/>
              <w:right w:val="single" w:sz="4" w:space="0" w:color="auto"/>
            </w:tcBorders>
            <w:shd w:val="clear" w:color="auto" w:fill="auto"/>
            <w:noWrap/>
            <w:vAlign w:val="bottom"/>
            <w:hideMark/>
          </w:tcPr>
          <w:p w14:paraId="4637A9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1,991</w:t>
            </w:r>
          </w:p>
        </w:tc>
        <w:tc>
          <w:tcPr>
            <w:tcW w:w="873" w:type="dxa"/>
            <w:tcBorders>
              <w:top w:val="nil"/>
              <w:left w:val="nil"/>
              <w:bottom w:val="single" w:sz="4" w:space="0" w:color="auto"/>
              <w:right w:val="single" w:sz="4" w:space="0" w:color="auto"/>
            </w:tcBorders>
            <w:shd w:val="clear" w:color="auto" w:fill="auto"/>
            <w:noWrap/>
            <w:vAlign w:val="bottom"/>
            <w:hideMark/>
          </w:tcPr>
          <w:p w14:paraId="606898B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2,281</w:t>
            </w:r>
          </w:p>
        </w:tc>
        <w:tc>
          <w:tcPr>
            <w:tcW w:w="873" w:type="dxa"/>
            <w:tcBorders>
              <w:top w:val="nil"/>
              <w:left w:val="nil"/>
              <w:bottom w:val="single" w:sz="4" w:space="0" w:color="auto"/>
              <w:right w:val="single" w:sz="4" w:space="0" w:color="auto"/>
            </w:tcBorders>
            <w:shd w:val="clear" w:color="auto" w:fill="auto"/>
            <w:noWrap/>
            <w:vAlign w:val="bottom"/>
            <w:hideMark/>
          </w:tcPr>
          <w:p w14:paraId="27B6A4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2,434</w:t>
            </w:r>
          </w:p>
        </w:tc>
        <w:tc>
          <w:tcPr>
            <w:tcW w:w="873" w:type="dxa"/>
            <w:tcBorders>
              <w:top w:val="nil"/>
              <w:left w:val="nil"/>
              <w:bottom w:val="single" w:sz="4" w:space="0" w:color="auto"/>
              <w:right w:val="single" w:sz="4" w:space="0" w:color="auto"/>
            </w:tcBorders>
            <w:shd w:val="clear" w:color="auto" w:fill="auto"/>
            <w:noWrap/>
            <w:vAlign w:val="bottom"/>
            <w:hideMark/>
          </w:tcPr>
          <w:p w14:paraId="24D499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2,712</w:t>
            </w:r>
          </w:p>
        </w:tc>
        <w:tc>
          <w:tcPr>
            <w:tcW w:w="873" w:type="dxa"/>
            <w:tcBorders>
              <w:top w:val="nil"/>
              <w:left w:val="nil"/>
              <w:bottom w:val="single" w:sz="4" w:space="0" w:color="auto"/>
              <w:right w:val="single" w:sz="4" w:space="0" w:color="auto"/>
            </w:tcBorders>
            <w:shd w:val="clear" w:color="auto" w:fill="auto"/>
            <w:noWrap/>
            <w:vAlign w:val="bottom"/>
            <w:hideMark/>
          </w:tcPr>
          <w:p w14:paraId="0B093EF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2,918</w:t>
            </w:r>
          </w:p>
        </w:tc>
        <w:tc>
          <w:tcPr>
            <w:tcW w:w="873" w:type="dxa"/>
            <w:tcBorders>
              <w:top w:val="nil"/>
              <w:left w:val="nil"/>
              <w:bottom w:val="single" w:sz="4" w:space="0" w:color="auto"/>
              <w:right w:val="single" w:sz="4" w:space="0" w:color="auto"/>
            </w:tcBorders>
            <w:shd w:val="clear" w:color="auto" w:fill="auto"/>
            <w:noWrap/>
            <w:vAlign w:val="bottom"/>
            <w:hideMark/>
          </w:tcPr>
          <w:p w14:paraId="7CC255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2,905</w:t>
            </w:r>
          </w:p>
        </w:tc>
        <w:tc>
          <w:tcPr>
            <w:tcW w:w="873" w:type="dxa"/>
            <w:tcBorders>
              <w:top w:val="nil"/>
              <w:left w:val="nil"/>
              <w:bottom w:val="single" w:sz="4" w:space="0" w:color="auto"/>
              <w:right w:val="single" w:sz="4" w:space="0" w:color="auto"/>
            </w:tcBorders>
            <w:shd w:val="clear" w:color="auto" w:fill="auto"/>
            <w:noWrap/>
            <w:vAlign w:val="bottom"/>
            <w:hideMark/>
          </w:tcPr>
          <w:p w14:paraId="4668A75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3,311</w:t>
            </w:r>
          </w:p>
        </w:tc>
      </w:tr>
      <w:tr w:rsidR="00BF12D5" w:rsidRPr="00BD0223" w14:paraId="62B38C94" w14:textId="77777777" w:rsidTr="0039539B">
        <w:trPr>
          <w:trHeight w:val="278"/>
          <w:jc w:val="center"/>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2709D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Julho</w:t>
            </w:r>
          </w:p>
        </w:tc>
        <w:tc>
          <w:tcPr>
            <w:tcW w:w="767" w:type="dxa"/>
            <w:tcBorders>
              <w:top w:val="nil"/>
              <w:left w:val="nil"/>
              <w:bottom w:val="single" w:sz="4" w:space="0" w:color="auto"/>
              <w:right w:val="single" w:sz="4" w:space="0" w:color="auto"/>
            </w:tcBorders>
            <w:shd w:val="clear" w:color="auto" w:fill="auto"/>
            <w:noWrap/>
            <w:vAlign w:val="bottom"/>
            <w:hideMark/>
          </w:tcPr>
          <w:p w14:paraId="654E4F7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1,966</w:t>
            </w:r>
          </w:p>
        </w:tc>
        <w:tc>
          <w:tcPr>
            <w:tcW w:w="873" w:type="dxa"/>
            <w:tcBorders>
              <w:top w:val="nil"/>
              <w:left w:val="nil"/>
              <w:bottom w:val="single" w:sz="4" w:space="0" w:color="auto"/>
              <w:right w:val="single" w:sz="4" w:space="0" w:color="auto"/>
            </w:tcBorders>
            <w:shd w:val="clear" w:color="auto" w:fill="auto"/>
            <w:noWrap/>
            <w:vAlign w:val="bottom"/>
            <w:hideMark/>
          </w:tcPr>
          <w:p w14:paraId="084C25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1,987</w:t>
            </w:r>
          </w:p>
        </w:tc>
        <w:tc>
          <w:tcPr>
            <w:tcW w:w="873" w:type="dxa"/>
            <w:tcBorders>
              <w:top w:val="nil"/>
              <w:left w:val="nil"/>
              <w:bottom w:val="single" w:sz="4" w:space="0" w:color="auto"/>
              <w:right w:val="single" w:sz="4" w:space="0" w:color="auto"/>
            </w:tcBorders>
            <w:shd w:val="clear" w:color="auto" w:fill="auto"/>
            <w:noWrap/>
            <w:vAlign w:val="bottom"/>
            <w:hideMark/>
          </w:tcPr>
          <w:p w14:paraId="6C524C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2,024</w:t>
            </w:r>
          </w:p>
        </w:tc>
        <w:tc>
          <w:tcPr>
            <w:tcW w:w="873" w:type="dxa"/>
            <w:tcBorders>
              <w:top w:val="nil"/>
              <w:left w:val="nil"/>
              <w:bottom w:val="single" w:sz="4" w:space="0" w:color="auto"/>
              <w:right w:val="single" w:sz="4" w:space="0" w:color="auto"/>
            </w:tcBorders>
            <w:shd w:val="clear" w:color="auto" w:fill="auto"/>
            <w:noWrap/>
            <w:vAlign w:val="bottom"/>
            <w:hideMark/>
          </w:tcPr>
          <w:p w14:paraId="2C4A416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2,278</w:t>
            </w:r>
          </w:p>
        </w:tc>
        <w:tc>
          <w:tcPr>
            <w:tcW w:w="873" w:type="dxa"/>
            <w:tcBorders>
              <w:top w:val="nil"/>
              <w:left w:val="nil"/>
              <w:bottom w:val="single" w:sz="4" w:space="0" w:color="auto"/>
              <w:right w:val="single" w:sz="4" w:space="0" w:color="auto"/>
            </w:tcBorders>
            <w:shd w:val="clear" w:color="auto" w:fill="auto"/>
            <w:noWrap/>
            <w:vAlign w:val="bottom"/>
            <w:hideMark/>
          </w:tcPr>
          <w:p w14:paraId="37BC87A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2,433</w:t>
            </w:r>
          </w:p>
        </w:tc>
        <w:tc>
          <w:tcPr>
            <w:tcW w:w="873" w:type="dxa"/>
            <w:tcBorders>
              <w:top w:val="nil"/>
              <w:left w:val="nil"/>
              <w:bottom w:val="single" w:sz="4" w:space="0" w:color="auto"/>
              <w:right w:val="single" w:sz="4" w:space="0" w:color="auto"/>
            </w:tcBorders>
            <w:shd w:val="clear" w:color="auto" w:fill="auto"/>
            <w:noWrap/>
            <w:vAlign w:val="bottom"/>
            <w:hideMark/>
          </w:tcPr>
          <w:p w14:paraId="56ACED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2,716</w:t>
            </w:r>
          </w:p>
        </w:tc>
        <w:tc>
          <w:tcPr>
            <w:tcW w:w="873" w:type="dxa"/>
            <w:tcBorders>
              <w:top w:val="nil"/>
              <w:left w:val="nil"/>
              <w:bottom w:val="single" w:sz="4" w:space="0" w:color="auto"/>
              <w:right w:val="single" w:sz="4" w:space="0" w:color="auto"/>
            </w:tcBorders>
            <w:shd w:val="clear" w:color="auto" w:fill="auto"/>
            <w:noWrap/>
            <w:vAlign w:val="bottom"/>
            <w:hideMark/>
          </w:tcPr>
          <w:p w14:paraId="4310092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2,915</w:t>
            </w:r>
          </w:p>
        </w:tc>
        <w:tc>
          <w:tcPr>
            <w:tcW w:w="873" w:type="dxa"/>
            <w:tcBorders>
              <w:top w:val="nil"/>
              <w:left w:val="nil"/>
              <w:bottom w:val="single" w:sz="4" w:space="0" w:color="auto"/>
              <w:right w:val="single" w:sz="4" w:space="0" w:color="auto"/>
            </w:tcBorders>
            <w:shd w:val="clear" w:color="auto" w:fill="auto"/>
            <w:noWrap/>
            <w:vAlign w:val="bottom"/>
            <w:hideMark/>
          </w:tcPr>
          <w:p w14:paraId="593D1FA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2,903</w:t>
            </w:r>
          </w:p>
        </w:tc>
        <w:tc>
          <w:tcPr>
            <w:tcW w:w="873" w:type="dxa"/>
            <w:tcBorders>
              <w:top w:val="nil"/>
              <w:left w:val="nil"/>
              <w:bottom w:val="single" w:sz="4" w:space="0" w:color="auto"/>
              <w:right w:val="single" w:sz="4" w:space="0" w:color="auto"/>
            </w:tcBorders>
            <w:shd w:val="clear" w:color="auto" w:fill="auto"/>
            <w:noWrap/>
            <w:vAlign w:val="bottom"/>
            <w:hideMark/>
          </w:tcPr>
          <w:p w14:paraId="18F3F96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3,268</w:t>
            </w:r>
          </w:p>
        </w:tc>
      </w:tr>
      <w:tr w:rsidR="00BF12D5" w:rsidRPr="00BD0223" w14:paraId="3B270273" w14:textId="77777777" w:rsidTr="0039539B">
        <w:trPr>
          <w:trHeight w:val="278"/>
          <w:jc w:val="center"/>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1D24F1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Agosto</w:t>
            </w:r>
          </w:p>
        </w:tc>
        <w:tc>
          <w:tcPr>
            <w:tcW w:w="767" w:type="dxa"/>
            <w:tcBorders>
              <w:top w:val="nil"/>
              <w:left w:val="nil"/>
              <w:bottom w:val="single" w:sz="4" w:space="0" w:color="auto"/>
              <w:right w:val="single" w:sz="4" w:space="0" w:color="auto"/>
            </w:tcBorders>
            <w:shd w:val="clear" w:color="auto" w:fill="auto"/>
            <w:noWrap/>
            <w:vAlign w:val="bottom"/>
            <w:hideMark/>
          </w:tcPr>
          <w:p w14:paraId="2D4D6B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1,964</w:t>
            </w:r>
          </w:p>
        </w:tc>
        <w:tc>
          <w:tcPr>
            <w:tcW w:w="873" w:type="dxa"/>
            <w:tcBorders>
              <w:top w:val="nil"/>
              <w:left w:val="nil"/>
              <w:bottom w:val="single" w:sz="4" w:space="0" w:color="auto"/>
              <w:right w:val="single" w:sz="4" w:space="0" w:color="auto"/>
            </w:tcBorders>
            <w:shd w:val="clear" w:color="auto" w:fill="auto"/>
            <w:noWrap/>
            <w:vAlign w:val="bottom"/>
            <w:hideMark/>
          </w:tcPr>
          <w:p w14:paraId="0E15CC7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1,984</w:t>
            </w:r>
          </w:p>
        </w:tc>
        <w:tc>
          <w:tcPr>
            <w:tcW w:w="873" w:type="dxa"/>
            <w:tcBorders>
              <w:top w:val="nil"/>
              <w:left w:val="nil"/>
              <w:bottom w:val="single" w:sz="4" w:space="0" w:color="auto"/>
              <w:right w:val="single" w:sz="4" w:space="0" w:color="auto"/>
            </w:tcBorders>
            <w:shd w:val="clear" w:color="auto" w:fill="auto"/>
            <w:noWrap/>
            <w:vAlign w:val="bottom"/>
            <w:hideMark/>
          </w:tcPr>
          <w:p w14:paraId="75516AE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2,084</w:t>
            </w:r>
          </w:p>
        </w:tc>
        <w:tc>
          <w:tcPr>
            <w:tcW w:w="873" w:type="dxa"/>
            <w:tcBorders>
              <w:top w:val="nil"/>
              <w:left w:val="nil"/>
              <w:bottom w:val="single" w:sz="4" w:space="0" w:color="auto"/>
              <w:right w:val="single" w:sz="4" w:space="0" w:color="auto"/>
            </w:tcBorders>
            <w:shd w:val="clear" w:color="auto" w:fill="auto"/>
            <w:noWrap/>
            <w:vAlign w:val="bottom"/>
            <w:hideMark/>
          </w:tcPr>
          <w:p w14:paraId="4F80492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2,279</w:t>
            </w:r>
          </w:p>
        </w:tc>
        <w:tc>
          <w:tcPr>
            <w:tcW w:w="873" w:type="dxa"/>
            <w:tcBorders>
              <w:top w:val="nil"/>
              <w:left w:val="nil"/>
              <w:bottom w:val="single" w:sz="4" w:space="0" w:color="auto"/>
              <w:right w:val="single" w:sz="4" w:space="0" w:color="auto"/>
            </w:tcBorders>
            <w:shd w:val="clear" w:color="auto" w:fill="auto"/>
            <w:noWrap/>
            <w:vAlign w:val="bottom"/>
            <w:hideMark/>
          </w:tcPr>
          <w:p w14:paraId="0782965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w:t>
            </w:r>
          </w:p>
        </w:tc>
        <w:tc>
          <w:tcPr>
            <w:tcW w:w="873" w:type="dxa"/>
            <w:tcBorders>
              <w:top w:val="nil"/>
              <w:left w:val="nil"/>
              <w:bottom w:val="single" w:sz="4" w:space="0" w:color="auto"/>
              <w:right w:val="single" w:sz="4" w:space="0" w:color="auto"/>
            </w:tcBorders>
            <w:shd w:val="clear" w:color="auto" w:fill="auto"/>
            <w:noWrap/>
            <w:vAlign w:val="bottom"/>
            <w:hideMark/>
          </w:tcPr>
          <w:p w14:paraId="37CF2E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2,719</w:t>
            </w:r>
          </w:p>
        </w:tc>
        <w:tc>
          <w:tcPr>
            <w:tcW w:w="873" w:type="dxa"/>
            <w:tcBorders>
              <w:top w:val="nil"/>
              <w:left w:val="nil"/>
              <w:bottom w:val="single" w:sz="4" w:space="0" w:color="auto"/>
              <w:right w:val="single" w:sz="4" w:space="0" w:color="auto"/>
            </w:tcBorders>
            <w:shd w:val="clear" w:color="auto" w:fill="auto"/>
            <w:noWrap/>
            <w:vAlign w:val="bottom"/>
            <w:hideMark/>
          </w:tcPr>
          <w:p w14:paraId="223E61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2,904</w:t>
            </w:r>
          </w:p>
        </w:tc>
        <w:tc>
          <w:tcPr>
            <w:tcW w:w="873" w:type="dxa"/>
            <w:tcBorders>
              <w:top w:val="nil"/>
              <w:left w:val="nil"/>
              <w:bottom w:val="single" w:sz="4" w:space="0" w:color="auto"/>
              <w:right w:val="single" w:sz="4" w:space="0" w:color="auto"/>
            </w:tcBorders>
            <w:shd w:val="clear" w:color="auto" w:fill="auto"/>
            <w:noWrap/>
            <w:vAlign w:val="bottom"/>
            <w:hideMark/>
          </w:tcPr>
          <w:p w14:paraId="4E3D2BE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3,024</w:t>
            </w:r>
          </w:p>
        </w:tc>
        <w:tc>
          <w:tcPr>
            <w:tcW w:w="873" w:type="dxa"/>
            <w:tcBorders>
              <w:top w:val="nil"/>
              <w:left w:val="nil"/>
              <w:bottom w:val="single" w:sz="4" w:space="0" w:color="auto"/>
              <w:right w:val="single" w:sz="4" w:space="0" w:color="auto"/>
            </w:tcBorders>
            <w:shd w:val="clear" w:color="auto" w:fill="auto"/>
            <w:noWrap/>
            <w:vAlign w:val="bottom"/>
            <w:hideMark/>
          </w:tcPr>
          <w:p w14:paraId="1BCA4E3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3,265</w:t>
            </w:r>
          </w:p>
        </w:tc>
      </w:tr>
      <w:tr w:rsidR="00BF12D5" w:rsidRPr="00BD0223" w14:paraId="2C597097" w14:textId="77777777" w:rsidTr="0039539B">
        <w:trPr>
          <w:trHeight w:val="278"/>
          <w:jc w:val="center"/>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6295BC4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Setembro</w:t>
            </w:r>
          </w:p>
        </w:tc>
        <w:tc>
          <w:tcPr>
            <w:tcW w:w="767" w:type="dxa"/>
            <w:tcBorders>
              <w:top w:val="nil"/>
              <w:left w:val="nil"/>
              <w:bottom w:val="single" w:sz="4" w:space="0" w:color="auto"/>
              <w:right w:val="single" w:sz="4" w:space="0" w:color="auto"/>
            </w:tcBorders>
            <w:shd w:val="clear" w:color="auto" w:fill="auto"/>
            <w:noWrap/>
            <w:vAlign w:val="bottom"/>
            <w:hideMark/>
          </w:tcPr>
          <w:p w14:paraId="256513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1,962</w:t>
            </w:r>
          </w:p>
        </w:tc>
        <w:tc>
          <w:tcPr>
            <w:tcW w:w="873" w:type="dxa"/>
            <w:tcBorders>
              <w:top w:val="nil"/>
              <w:left w:val="nil"/>
              <w:bottom w:val="single" w:sz="4" w:space="0" w:color="auto"/>
              <w:right w:val="single" w:sz="4" w:space="0" w:color="auto"/>
            </w:tcBorders>
            <w:shd w:val="clear" w:color="auto" w:fill="auto"/>
            <w:noWrap/>
            <w:vAlign w:val="bottom"/>
            <w:hideMark/>
          </w:tcPr>
          <w:p w14:paraId="31A77E2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1,983</w:t>
            </w:r>
          </w:p>
        </w:tc>
        <w:tc>
          <w:tcPr>
            <w:tcW w:w="873" w:type="dxa"/>
            <w:tcBorders>
              <w:top w:val="nil"/>
              <w:left w:val="nil"/>
              <w:bottom w:val="single" w:sz="4" w:space="0" w:color="auto"/>
              <w:right w:val="single" w:sz="4" w:space="0" w:color="auto"/>
            </w:tcBorders>
            <w:shd w:val="clear" w:color="auto" w:fill="auto"/>
            <w:noWrap/>
            <w:vAlign w:val="bottom"/>
            <w:hideMark/>
          </w:tcPr>
          <w:p w14:paraId="019EE56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2,088</w:t>
            </w:r>
          </w:p>
        </w:tc>
        <w:tc>
          <w:tcPr>
            <w:tcW w:w="873" w:type="dxa"/>
            <w:tcBorders>
              <w:top w:val="nil"/>
              <w:left w:val="nil"/>
              <w:bottom w:val="single" w:sz="4" w:space="0" w:color="auto"/>
              <w:right w:val="single" w:sz="4" w:space="0" w:color="auto"/>
            </w:tcBorders>
            <w:shd w:val="clear" w:color="auto" w:fill="auto"/>
            <w:noWrap/>
            <w:vAlign w:val="bottom"/>
            <w:hideMark/>
          </w:tcPr>
          <w:p w14:paraId="47D2537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2,276</w:t>
            </w:r>
          </w:p>
        </w:tc>
        <w:tc>
          <w:tcPr>
            <w:tcW w:w="873" w:type="dxa"/>
            <w:tcBorders>
              <w:top w:val="nil"/>
              <w:left w:val="nil"/>
              <w:bottom w:val="single" w:sz="4" w:space="0" w:color="auto"/>
              <w:right w:val="single" w:sz="4" w:space="0" w:color="auto"/>
            </w:tcBorders>
            <w:shd w:val="clear" w:color="auto" w:fill="auto"/>
            <w:noWrap/>
            <w:vAlign w:val="bottom"/>
            <w:hideMark/>
          </w:tcPr>
          <w:p w14:paraId="6AD9C46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w:t>
            </w:r>
          </w:p>
        </w:tc>
        <w:tc>
          <w:tcPr>
            <w:tcW w:w="873" w:type="dxa"/>
            <w:tcBorders>
              <w:top w:val="nil"/>
              <w:left w:val="nil"/>
              <w:bottom w:val="single" w:sz="4" w:space="0" w:color="auto"/>
              <w:right w:val="single" w:sz="4" w:space="0" w:color="auto"/>
            </w:tcBorders>
            <w:shd w:val="clear" w:color="auto" w:fill="auto"/>
            <w:noWrap/>
            <w:vAlign w:val="bottom"/>
            <w:hideMark/>
          </w:tcPr>
          <w:p w14:paraId="3F5112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2,732</w:t>
            </w:r>
          </w:p>
        </w:tc>
        <w:tc>
          <w:tcPr>
            <w:tcW w:w="873" w:type="dxa"/>
            <w:tcBorders>
              <w:top w:val="nil"/>
              <w:left w:val="nil"/>
              <w:bottom w:val="single" w:sz="4" w:space="0" w:color="auto"/>
              <w:right w:val="single" w:sz="4" w:space="0" w:color="auto"/>
            </w:tcBorders>
            <w:shd w:val="clear" w:color="auto" w:fill="auto"/>
            <w:noWrap/>
            <w:vAlign w:val="bottom"/>
            <w:hideMark/>
          </w:tcPr>
          <w:p w14:paraId="24377D6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2,903</w:t>
            </w:r>
          </w:p>
        </w:tc>
        <w:tc>
          <w:tcPr>
            <w:tcW w:w="873" w:type="dxa"/>
            <w:tcBorders>
              <w:top w:val="nil"/>
              <w:left w:val="nil"/>
              <w:bottom w:val="single" w:sz="4" w:space="0" w:color="auto"/>
              <w:right w:val="single" w:sz="4" w:space="0" w:color="auto"/>
            </w:tcBorders>
            <w:shd w:val="clear" w:color="auto" w:fill="auto"/>
            <w:noWrap/>
            <w:vAlign w:val="bottom"/>
            <w:hideMark/>
          </w:tcPr>
          <w:p w14:paraId="7FD3583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3,093</w:t>
            </w:r>
          </w:p>
        </w:tc>
        <w:tc>
          <w:tcPr>
            <w:tcW w:w="873" w:type="dxa"/>
            <w:tcBorders>
              <w:top w:val="nil"/>
              <w:left w:val="nil"/>
              <w:bottom w:val="single" w:sz="4" w:space="0" w:color="auto"/>
              <w:right w:val="single" w:sz="4" w:space="0" w:color="auto"/>
            </w:tcBorders>
            <w:shd w:val="clear" w:color="auto" w:fill="auto"/>
            <w:noWrap/>
            <w:vAlign w:val="bottom"/>
            <w:hideMark/>
          </w:tcPr>
          <w:p w14:paraId="69EC61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3,499</w:t>
            </w:r>
          </w:p>
        </w:tc>
      </w:tr>
      <w:tr w:rsidR="00BF12D5" w:rsidRPr="00BD0223" w14:paraId="4199651A" w14:textId="77777777" w:rsidTr="0039539B">
        <w:trPr>
          <w:trHeight w:val="278"/>
          <w:jc w:val="center"/>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7E4117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Outubro</w:t>
            </w:r>
          </w:p>
        </w:tc>
        <w:tc>
          <w:tcPr>
            <w:tcW w:w="767" w:type="dxa"/>
            <w:tcBorders>
              <w:top w:val="nil"/>
              <w:left w:val="nil"/>
              <w:bottom w:val="single" w:sz="4" w:space="0" w:color="auto"/>
              <w:right w:val="single" w:sz="4" w:space="0" w:color="auto"/>
            </w:tcBorders>
            <w:shd w:val="clear" w:color="auto" w:fill="auto"/>
            <w:noWrap/>
            <w:vAlign w:val="bottom"/>
            <w:hideMark/>
          </w:tcPr>
          <w:p w14:paraId="223E40C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1,966</w:t>
            </w:r>
          </w:p>
        </w:tc>
        <w:tc>
          <w:tcPr>
            <w:tcW w:w="873" w:type="dxa"/>
            <w:tcBorders>
              <w:top w:val="nil"/>
              <w:left w:val="nil"/>
              <w:bottom w:val="single" w:sz="4" w:space="0" w:color="auto"/>
              <w:right w:val="single" w:sz="4" w:space="0" w:color="auto"/>
            </w:tcBorders>
            <w:shd w:val="clear" w:color="auto" w:fill="auto"/>
            <w:noWrap/>
            <w:vAlign w:val="bottom"/>
            <w:hideMark/>
          </w:tcPr>
          <w:p w14:paraId="4948AA2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1,984</w:t>
            </w:r>
          </w:p>
        </w:tc>
        <w:tc>
          <w:tcPr>
            <w:tcW w:w="873" w:type="dxa"/>
            <w:tcBorders>
              <w:top w:val="nil"/>
              <w:left w:val="nil"/>
              <w:bottom w:val="single" w:sz="4" w:space="0" w:color="auto"/>
              <w:right w:val="single" w:sz="4" w:space="0" w:color="auto"/>
            </w:tcBorders>
            <w:shd w:val="clear" w:color="auto" w:fill="auto"/>
            <w:noWrap/>
            <w:vAlign w:val="bottom"/>
            <w:hideMark/>
          </w:tcPr>
          <w:p w14:paraId="03B45E0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2,092</w:t>
            </w:r>
          </w:p>
        </w:tc>
        <w:tc>
          <w:tcPr>
            <w:tcW w:w="873" w:type="dxa"/>
            <w:tcBorders>
              <w:top w:val="nil"/>
              <w:left w:val="nil"/>
              <w:bottom w:val="single" w:sz="4" w:space="0" w:color="auto"/>
              <w:right w:val="single" w:sz="4" w:space="0" w:color="auto"/>
            </w:tcBorders>
            <w:shd w:val="clear" w:color="auto" w:fill="auto"/>
            <w:noWrap/>
            <w:vAlign w:val="bottom"/>
            <w:hideMark/>
          </w:tcPr>
          <w:p w14:paraId="398908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2,279</w:t>
            </w:r>
          </w:p>
        </w:tc>
        <w:tc>
          <w:tcPr>
            <w:tcW w:w="873" w:type="dxa"/>
            <w:tcBorders>
              <w:top w:val="nil"/>
              <w:left w:val="nil"/>
              <w:bottom w:val="single" w:sz="4" w:space="0" w:color="auto"/>
              <w:right w:val="single" w:sz="4" w:space="0" w:color="auto"/>
            </w:tcBorders>
            <w:shd w:val="clear" w:color="auto" w:fill="auto"/>
            <w:noWrap/>
            <w:vAlign w:val="bottom"/>
            <w:hideMark/>
          </w:tcPr>
          <w:p w14:paraId="590FEA7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w:t>
            </w:r>
          </w:p>
        </w:tc>
        <w:tc>
          <w:tcPr>
            <w:tcW w:w="873" w:type="dxa"/>
            <w:tcBorders>
              <w:top w:val="nil"/>
              <w:left w:val="nil"/>
              <w:bottom w:val="single" w:sz="4" w:space="0" w:color="auto"/>
              <w:right w:val="single" w:sz="4" w:space="0" w:color="auto"/>
            </w:tcBorders>
            <w:shd w:val="clear" w:color="auto" w:fill="auto"/>
            <w:noWrap/>
            <w:vAlign w:val="bottom"/>
            <w:hideMark/>
          </w:tcPr>
          <w:p w14:paraId="52A3443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2,851</w:t>
            </w:r>
          </w:p>
        </w:tc>
        <w:tc>
          <w:tcPr>
            <w:tcW w:w="873" w:type="dxa"/>
            <w:tcBorders>
              <w:top w:val="nil"/>
              <w:left w:val="nil"/>
              <w:bottom w:val="single" w:sz="4" w:space="0" w:color="auto"/>
              <w:right w:val="single" w:sz="4" w:space="0" w:color="auto"/>
            </w:tcBorders>
            <w:shd w:val="clear" w:color="auto" w:fill="auto"/>
            <w:noWrap/>
            <w:vAlign w:val="bottom"/>
            <w:hideMark/>
          </w:tcPr>
          <w:p w14:paraId="5C7D53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2,904</w:t>
            </w:r>
          </w:p>
        </w:tc>
        <w:tc>
          <w:tcPr>
            <w:tcW w:w="873" w:type="dxa"/>
            <w:tcBorders>
              <w:top w:val="nil"/>
              <w:left w:val="nil"/>
              <w:bottom w:val="single" w:sz="4" w:space="0" w:color="auto"/>
              <w:right w:val="single" w:sz="4" w:space="0" w:color="auto"/>
            </w:tcBorders>
            <w:shd w:val="clear" w:color="auto" w:fill="auto"/>
            <w:noWrap/>
            <w:vAlign w:val="bottom"/>
            <w:hideMark/>
          </w:tcPr>
          <w:p w14:paraId="4EEE3F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3,163</w:t>
            </w:r>
          </w:p>
        </w:tc>
        <w:tc>
          <w:tcPr>
            <w:tcW w:w="873" w:type="dxa"/>
            <w:tcBorders>
              <w:top w:val="nil"/>
              <w:left w:val="nil"/>
              <w:bottom w:val="single" w:sz="4" w:space="0" w:color="auto"/>
              <w:right w:val="single" w:sz="4" w:space="0" w:color="auto"/>
            </w:tcBorders>
            <w:shd w:val="clear" w:color="auto" w:fill="auto"/>
            <w:noWrap/>
            <w:vAlign w:val="bottom"/>
            <w:hideMark/>
          </w:tcPr>
          <w:p w14:paraId="24FE0F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3,599</w:t>
            </w:r>
          </w:p>
        </w:tc>
      </w:tr>
      <w:tr w:rsidR="00BF12D5" w:rsidRPr="00BD0223" w14:paraId="7BB42E02" w14:textId="77777777" w:rsidTr="0039539B">
        <w:trPr>
          <w:trHeight w:val="278"/>
          <w:jc w:val="center"/>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34C866E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Novembro</w:t>
            </w:r>
          </w:p>
        </w:tc>
        <w:tc>
          <w:tcPr>
            <w:tcW w:w="767" w:type="dxa"/>
            <w:tcBorders>
              <w:top w:val="nil"/>
              <w:left w:val="nil"/>
              <w:bottom w:val="single" w:sz="4" w:space="0" w:color="auto"/>
              <w:right w:val="single" w:sz="4" w:space="0" w:color="auto"/>
            </w:tcBorders>
            <w:shd w:val="clear" w:color="auto" w:fill="auto"/>
            <w:noWrap/>
            <w:vAlign w:val="bottom"/>
            <w:hideMark/>
          </w:tcPr>
          <w:p w14:paraId="0721225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1,966</w:t>
            </w:r>
          </w:p>
        </w:tc>
        <w:tc>
          <w:tcPr>
            <w:tcW w:w="873" w:type="dxa"/>
            <w:tcBorders>
              <w:top w:val="nil"/>
              <w:left w:val="nil"/>
              <w:bottom w:val="single" w:sz="4" w:space="0" w:color="auto"/>
              <w:right w:val="single" w:sz="4" w:space="0" w:color="auto"/>
            </w:tcBorders>
            <w:shd w:val="clear" w:color="auto" w:fill="auto"/>
            <w:noWrap/>
            <w:vAlign w:val="bottom"/>
            <w:hideMark/>
          </w:tcPr>
          <w:p w14:paraId="1D2FE6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1,984</w:t>
            </w:r>
          </w:p>
        </w:tc>
        <w:tc>
          <w:tcPr>
            <w:tcW w:w="873" w:type="dxa"/>
            <w:tcBorders>
              <w:top w:val="nil"/>
              <w:left w:val="nil"/>
              <w:bottom w:val="single" w:sz="4" w:space="0" w:color="auto"/>
              <w:right w:val="single" w:sz="4" w:space="0" w:color="auto"/>
            </w:tcBorders>
            <w:shd w:val="clear" w:color="auto" w:fill="auto"/>
            <w:noWrap/>
            <w:vAlign w:val="bottom"/>
            <w:hideMark/>
          </w:tcPr>
          <w:p w14:paraId="51B84BA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2,091</w:t>
            </w:r>
          </w:p>
        </w:tc>
        <w:tc>
          <w:tcPr>
            <w:tcW w:w="873" w:type="dxa"/>
            <w:tcBorders>
              <w:top w:val="nil"/>
              <w:left w:val="nil"/>
              <w:bottom w:val="single" w:sz="4" w:space="0" w:color="auto"/>
              <w:right w:val="single" w:sz="4" w:space="0" w:color="auto"/>
            </w:tcBorders>
            <w:shd w:val="clear" w:color="auto" w:fill="auto"/>
            <w:noWrap/>
            <w:vAlign w:val="bottom"/>
            <w:hideMark/>
          </w:tcPr>
          <w:p w14:paraId="263C302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2,279</w:t>
            </w:r>
          </w:p>
        </w:tc>
        <w:tc>
          <w:tcPr>
            <w:tcW w:w="873" w:type="dxa"/>
            <w:tcBorders>
              <w:top w:val="nil"/>
              <w:left w:val="nil"/>
              <w:bottom w:val="single" w:sz="4" w:space="0" w:color="auto"/>
              <w:right w:val="single" w:sz="4" w:space="0" w:color="auto"/>
            </w:tcBorders>
            <w:shd w:val="clear" w:color="auto" w:fill="auto"/>
            <w:noWrap/>
            <w:vAlign w:val="bottom"/>
            <w:hideMark/>
          </w:tcPr>
          <w:p w14:paraId="6E10D94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2,501</w:t>
            </w:r>
          </w:p>
        </w:tc>
        <w:tc>
          <w:tcPr>
            <w:tcW w:w="873" w:type="dxa"/>
            <w:tcBorders>
              <w:top w:val="nil"/>
              <w:left w:val="nil"/>
              <w:bottom w:val="single" w:sz="4" w:space="0" w:color="auto"/>
              <w:right w:val="single" w:sz="4" w:space="0" w:color="auto"/>
            </w:tcBorders>
            <w:shd w:val="clear" w:color="auto" w:fill="auto"/>
            <w:noWrap/>
            <w:vAlign w:val="bottom"/>
            <w:hideMark/>
          </w:tcPr>
          <w:p w14:paraId="176C7C1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2,899</w:t>
            </w:r>
          </w:p>
        </w:tc>
        <w:tc>
          <w:tcPr>
            <w:tcW w:w="873" w:type="dxa"/>
            <w:tcBorders>
              <w:top w:val="nil"/>
              <w:left w:val="nil"/>
              <w:bottom w:val="single" w:sz="4" w:space="0" w:color="auto"/>
              <w:right w:val="single" w:sz="4" w:space="0" w:color="auto"/>
            </w:tcBorders>
            <w:shd w:val="clear" w:color="auto" w:fill="auto"/>
            <w:noWrap/>
            <w:vAlign w:val="bottom"/>
            <w:hideMark/>
          </w:tcPr>
          <w:p w14:paraId="37E07B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2,889</w:t>
            </w:r>
          </w:p>
        </w:tc>
        <w:tc>
          <w:tcPr>
            <w:tcW w:w="873" w:type="dxa"/>
            <w:tcBorders>
              <w:top w:val="nil"/>
              <w:left w:val="nil"/>
              <w:bottom w:val="single" w:sz="4" w:space="0" w:color="auto"/>
              <w:right w:val="single" w:sz="4" w:space="0" w:color="auto"/>
            </w:tcBorders>
            <w:shd w:val="clear" w:color="auto" w:fill="auto"/>
            <w:noWrap/>
            <w:vAlign w:val="bottom"/>
            <w:hideMark/>
          </w:tcPr>
          <w:p w14:paraId="39DBC5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3,235</w:t>
            </w:r>
          </w:p>
        </w:tc>
        <w:tc>
          <w:tcPr>
            <w:tcW w:w="873" w:type="dxa"/>
            <w:tcBorders>
              <w:top w:val="nil"/>
              <w:left w:val="nil"/>
              <w:bottom w:val="single" w:sz="4" w:space="0" w:color="auto"/>
              <w:right w:val="single" w:sz="4" w:space="0" w:color="auto"/>
            </w:tcBorders>
            <w:shd w:val="clear" w:color="auto" w:fill="auto"/>
            <w:noWrap/>
            <w:vAlign w:val="bottom"/>
            <w:hideMark/>
          </w:tcPr>
          <w:p w14:paraId="3F38A8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3,55</w:t>
            </w:r>
          </w:p>
        </w:tc>
      </w:tr>
      <w:tr w:rsidR="00BF12D5" w:rsidRPr="00BD0223" w14:paraId="7729FEBF" w14:textId="77777777" w:rsidTr="0039539B">
        <w:trPr>
          <w:trHeight w:val="278"/>
          <w:jc w:val="center"/>
        </w:trPr>
        <w:tc>
          <w:tcPr>
            <w:tcW w:w="1284" w:type="dxa"/>
            <w:tcBorders>
              <w:top w:val="nil"/>
              <w:left w:val="single" w:sz="4" w:space="0" w:color="auto"/>
              <w:bottom w:val="single" w:sz="4" w:space="0" w:color="auto"/>
              <w:right w:val="single" w:sz="4" w:space="0" w:color="auto"/>
            </w:tcBorders>
            <w:shd w:val="clear" w:color="auto" w:fill="auto"/>
            <w:noWrap/>
            <w:vAlign w:val="bottom"/>
            <w:hideMark/>
          </w:tcPr>
          <w:p w14:paraId="4A55F43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Dezembro</w:t>
            </w:r>
          </w:p>
        </w:tc>
        <w:tc>
          <w:tcPr>
            <w:tcW w:w="767" w:type="dxa"/>
            <w:tcBorders>
              <w:top w:val="nil"/>
              <w:left w:val="nil"/>
              <w:bottom w:val="single" w:sz="4" w:space="0" w:color="auto"/>
              <w:right w:val="single" w:sz="4" w:space="0" w:color="auto"/>
            </w:tcBorders>
            <w:shd w:val="clear" w:color="auto" w:fill="auto"/>
            <w:noWrap/>
            <w:vAlign w:val="bottom"/>
            <w:hideMark/>
          </w:tcPr>
          <w:p w14:paraId="5E87CF8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1,966</w:t>
            </w:r>
          </w:p>
        </w:tc>
        <w:tc>
          <w:tcPr>
            <w:tcW w:w="873" w:type="dxa"/>
            <w:tcBorders>
              <w:top w:val="nil"/>
              <w:left w:val="nil"/>
              <w:bottom w:val="single" w:sz="4" w:space="0" w:color="auto"/>
              <w:right w:val="single" w:sz="4" w:space="0" w:color="auto"/>
            </w:tcBorders>
            <w:shd w:val="clear" w:color="auto" w:fill="auto"/>
            <w:noWrap/>
            <w:vAlign w:val="bottom"/>
            <w:hideMark/>
          </w:tcPr>
          <w:p w14:paraId="1B325D0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1,985</w:t>
            </w:r>
          </w:p>
        </w:tc>
        <w:tc>
          <w:tcPr>
            <w:tcW w:w="873" w:type="dxa"/>
            <w:tcBorders>
              <w:top w:val="nil"/>
              <w:left w:val="nil"/>
              <w:bottom w:val="single" w:sz="4" w:space="0" w:color="auto"/>
              <w:right w:val="single" w:sz="4" w:space="0" w:color="auto"/>
            </w:tcBorders>
            <w:shd w:val="clear" w:color="auto" w:fill="auto"/>
            <w:noWrap/>
            <w:vAlign w:val="bottom"/>
            <w:hideMark/>
          </w:tcPr>
          <w:p w14:paraId="76283C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2,098</w:t>
            </w:r>
          </w:p>
        </w:tc>
        <w:tc>
          <w:tcPr>
            <w:tcW w:w="873" w:type="dxa"/>
            <w:tcBorders>
              <w:top w:val="nil"/>
              <w:left w:val="nil"/>
              <w:bottom w:val="single" w:sz="4" w:space="0" w:color="auto"/>
              <w:right w:val="single" w:sz="4" w:space="0" w:color="auto"/>
            </w:tcBorders>
            <w:shd w:val="clear" w:color="auto" w:fill="auto"/>
            <w:noWrap/>
            <w:vAlign w:val="bottom"/>
            <w:hideMark/>
          </w:tcPr>
          <w:p w14:paraId="00A1E0E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2,422</w:t>
            </w:r>
          </w:p>
        </w:tc>
        <w:tc>
          <w:tcPr>
            <w:tcW w:w="873" w:type="dxa"/>
            <w:tcBorders>
              <w:top w:val="nil"/>
              <w:left w:val="nil"/>
              <w:bottom w:val="single" w:sz="4" w:space="0" w:color="auto"/>
              <w:right w:val="single" w:sz="4" w:space="0" w:color="auto"/>
            </w:tcBorders>
            <w:shd w:val="clear" w:color="auto" w:fill="auto"/>
            <w:noWrap/>
            <w:vAlign w:val="bottom"/>
            <w:hideMark/>
          </w:tcPr>
          <w:p w14:paraId="5D3D11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2,536</w:t>
            </w:r>
          </w:p>
        </w:tc>
        <w:tc>
          <w:tcPr>
            <w:tcW w:w="873" w:type="dxa"/>
            <w:tcBorders>
              <w:top w:val="nil"/>
              <w:left w:val="nil"/>
              <w:bottom w:val="single" w:sz="4" w:space="0" w:color="auto"/>
              <w:right w:val="single" w:sz="4" w:space="0" w:color="auto"/>
            </w:tcBorders>
            <w:shd w:val="clear" w:color="auto" w:fill="auto"/>
            <w:noWrap/>
            <w:vAlign w:val="bottom"/>
            <w:hideMark/>
          </w:tcPr>
          <w:p w14:paraId="0AC3D6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2,912</w:t>
            </w:r>
          </w:p>
        </w:tc>
        <w:tc>
          <w:tcPr>
            <w:tcW w:w="873" w:type="dxa"/>
            <w:tcBorders>
              <w:top w:val="nil"/>
              <w:left w:val="nil"/>
              <w:bottom w:val="single" w:sz="4" w:space="0" w:color="auto"/>
              <w:right w:val="single" w:sz="4" w:space="0" w:color="auto"/>
            </w:tcBorders>
            <w:shd w:val="clear" w:color="auto" w:fill="auto"/>
            <w:noWrap/>
            <w:vAlign w:val="bottom"/>
            <w:hideMark/>
          </w:tcPr>
          <w:p w14:paraId="15FA43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2,917</w:t>
            </w:r>
          </w:p>
        </w:tc>
        <w:tc>
          <w:tcPr>
            <w:tcW w:w="873" w:type="dxa"/>
            <w:tcBorders>
              <w:top w:val="nil"/>
              <w:left w:val="nil"/>
              <w:bottom w:val="single" w:sz="4" w:space="0" w:color="auto"/>
              <w:right w:val="single" w:sz="4" w:space="0" w:color="auto"/>
            </w:tcBorders>
            <w:shd w:val="clear" w:color="auto" w:fill="auto"/>
            <w:noWrap/>
            <w:vAlign w:val="bottom"/>
            <w:hideMark/>
          </w:tcPr>
          <w:p w14:paraId="3D00F4D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3,251</w:t>
            </w:r>
          </w:p>
        </w:tc>
        <w:tc>
          <w:tcPr>
            <w:tcW w:w="873" w:type="dxa"/>
            <w:tcBorders>
              <w:top w:val="nil"/>
              <w:left w:val="nil"/>
              <w:bottom w:val="single" w:sz="4" w:space="0" w:color="auto"/>
              <w:right w:val="single" w:sz="4" w:space="0" w:color="auto"/>
            </w:tcBorders>
            <w:shd w:val="clear" w:color="auto" w:fill="auto"/>
            <w:noWrap/>
            <w:vAlign w:val="bottom"/>
            <w:hideMark/>
          </w:tcPr>
          <w:p w14:paraId="68BEB4C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3,358</w:t>
            </w:r>
          </w:p>
        </w:tc>
      </w:tr>
    </w:tbl>
    <w:p w14:paraId="211ED807" w14:textId="77777777" w:rsidR="00BF12D5" w:rsidRPr="008D398D" w:rsidRDefault="00BF12D5" w:rsidP="00BF12D5">
      <w:pPr>
        <w:pStyle w:val="Ttabela-fonte"/>
        <w:rPr>
          <w:color w:val="FF0000"/>
        </w:rPr>
      </w:pPr>
      <w:r w:rsidRPr="00BD0223">
        <w:t>Fonte: ANP</w:t>
      </w:r>
      <w:r>
        <w:t xml:space="preserve">. </w:t>
      </w:r>
      <w:r w:rsidRPr="00906965">
        <w:t>Elaboração do Autor</w:t>
      </w:r>
      <w:r w:rsidRPr="008D398D">
        <w:rPr>
          <w:color w:val="FF0000"/>
        </w:rPr>
        <w:t>.</w:t>
      </w:r>
    </w:p>
    <w:p w14:paraId="37525B16" w14:textId="77777777" w:rsidR="00BF12D5" w:rsidRDefault="00BF12D5" w:rsidP="00BF12D5">
      <w:pPr>
        <w:rPr>
          <w:rFonts w:ascii="Times New Roman" w:eastAsia="Times New Roman" w:hAnsi="Times New Roman" w:cs="Arial"/>
          <w:sz w:val="24"/>
          <w:szCs w:val="24"/>
          <w:lang w:val="pt-PT" w:eastAsia="pt-PT"/>
        </w:rPr>
      </w:pPr>
      <w:r>
        <w:br w:type="page"/>
      </w:r>
    </w:p>
    <w:p w14:paraId="6D7D2CF6" w14:textId="77777777" w:rsidR="00BF12D5" w:rsidRPr="00BD0223" w:rsidRDefault="00BF12D5" w:rsidP="00BF12D5">
      <w:pPr>
        <w:pStyle w:val="Tfigura-titulo"/>
        <w:jc w:val="both"/>
      </w:pPr>
      <w:r w:rsidRPr="00BD0223">
        <w:lastRenderedPageBreak/>
        <w:t>Tabela 13 – Vendas de gasol</w:t>
      </w:r>
      <w:r>
        <w:t>ina</w:t>
      </w:r>
      <w:r w:rsidRPr="00BD0223">
        <w:t xml:space="preserve">, em milhões de litros, de </w:t>
      </w:r>
      <w:r>
        <w:t>municípios</w:t>
      </w:r>
      <w:r w:rsidRPr="00BD0223">
        <w:t xml:space="preserve"> selecionad</w:t>
      </w:r>
      <w:r>
        <w:t>o</w:t>
      </w:r>
      <w:r w:rsidRPr="00BD0223">
        <w:t xml:space="preserve">s do Triângulo Mineiro das </w:t>
      </w:r>
      <w:r>
        <w:t>M</w:t>
      </w:r>
      <w:r w:rsidRPr="00BD0223">
        <w:t>icrorregiões de Uberlândia, Uberaba, Frutal e Ituiutaba de 2010 a 2014.</w:t>
      </w:r>
    </w:p>
    <w:tbl>
      <w:tblPr>
        <w:tblW w:w="5000" w:type="pct"/>
        <w:jc w:val="center"/>
        <w:tblCellMar>
          <w:left w:w="70" w:type="dxa"/>
          <w:right w:w="70" w:type="dxa"/>
        </w:tblCellMar>
        <w:tblLook w:val="04A0" w:firstRow="1" w:lastRow="0" w:firstColumn="1" w:lastColumn="0" w:noHBand="0" w:noVBand="1"/>
      </w:tblPr>
      <w:tblGrid>
        <w:gridCol w:w="3155"/>
        <w:gridCol w:w="1182"/>
        <w:gridCol w:w="1181"/>
        <w:gridCol w:w="1181"/>
        <w:gridCol w:w="1181"/>
        <w:gridCol w:w="1181"/>
      </w:tblGrid>
      <w:tr w:rsidR="00BF12D5" w:rsidRPr="001C03A7" w14:paraId="059C6B3B" w14:textId="77777777" w:rsidTr="0039539B">
        <w:trPr>
          <w:trHeight w:val="325"/>
          <w:tblHeader/>
          <w:jc w:val="center"/>
        </w:trPr>
        <w:tc>
          <w:tcPr>
            <w:tcW w:w="3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2CEA1"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14:paraId="162DDAAC"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2010</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14:paraId="782AA66A"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2011</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14:paraId="173F179D"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2012</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14:paraId="6A79931C"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2013</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14:paraId="550D9866"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2014</w:t>
            </w:r>
          </w:p>
        </w:tc>
      </w:tr>
      <w:tr w:rsidR="00BF12D5" w:rsidRPr="00BD0223" w14:paraId="1AA98E81"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5CCA78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ÁGUA COMPRIDA</w:t>
            </w:r>
          </w:p>
        </w:tc>
        <w:tc>
          <w:tcPr>
            <w:tcW w:w="1182" w:type="dxa"/>
            <w:tcBorders>
              <w:top w:val="nil"/>
              <w:left w:val="nil"/>
              <w:bottom w:val="single" w:sz="4" w:space="0" w:color="auto"/>
              <w:right w:val="single" w:sz="4" w:space="0" w:color="auto"/>
            </w:tcBorders>
            <w:shd w:val="clear" w:color="auto" w:fill="auto"/>
            <w:noWrap/>
            <w:vAlign w:val="bottom"/>
            <w:hideMark/>
          </w:tcPr>
          <w:p w14:paraId="5E8427D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1,50</w:t>
            </w:r>
          </w:p>
        </w:tc>
        <w:tc>
          <w:tcPr>
            <w:tcW w:w="1181" w:type="dxa"/>
            <w:tcBorders>
              <w:top w:val="nil"/>
              <w:left w:val="nil"/>
              <w:bottom w:val="single" w:sz="4" w:space="0" w:color="auto"/>
              <w:right w:val="single" w:sz="4" w:space="0" w:color="auto"/>
            </w:tcBorders>
            <w:shd w:val="clear" w:color="auto" w:fill="auto"/>
            <w:noWrap/>
            <w:vAlign w:val="bottom"/>
            <w:hideMark/>
          </w:tcPr>
          <w:p w14:paraId="0EF9364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1,52</w:t>
            </w:r>
          </w:p>
        </w:tc>
        <w:tc>
          <w:tcPr>
            <w:tcW w:w="1181" w:type="dxa"/>
            <w:tcBorders>
              <w:top w:val="nil"/>
              <w:left w:val="nil"/>
              <w:bottom w:val="single" w:sz="4" w:space="0" w:color="auto"/>
              <w:right w:val="single" w:sz="4" w:space="0" w:color="auto"/>
            </w:tcBorders>
            <w:shd w:val="clear" w:color="auto" w:fill="auto"/>
            <w:noWrap/>
            <w:vAlign w:val="bottom"/>
            <w:hideMark/>
          </w:tcPr>
          <w:p w14:paraId="09A40D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1,69</w:t>
            </w:r>
          </w:p>
        </w:tc>
        <w:tc>
          <w:tcPr>
            <w:tcW w:w="1181" w:type="dxa"/>
            <w:tcBorders>
              <w:top w:val="nil"/>
              <w:left w:val="nil"/>
              <w:bottom w:val="single" w:sz="4" w:space="0" w:color="auto"/>
              <w:right w:val="single" w:sz="4" w:space="0" w:color="auto"/>
            </w:tcBorders>
            <w:shd w:val="clear" w:color="auto" w:fill="auto"/>
            <w:noWrap/>
            <w:vAlign w:val="bottom"/>
            <w:hideMark/>
          </w:tcPr>
          <w:p w14:paraId="7597409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1,51</w:t>
            </w:r>
          </w:p>
        </w:tc>
        <w:tc>
          <w:tcPr>
            <w:tcW w:w="1181" w:type="dxa"/>
            <w:tcBorders>
              <w:top w:val="nil"/>
              <w:left w:val="nil"/>
              <w:bottom w:val="single" w:sz="4" w:space="0" w:color="auto"/>
              <w:right w:val="single" w:sz="4" w:space="0" w:color="auto"/>
            </w:tcBorders>
            <w:shd w:val="clear" w:color="auto" w:fill="auto"/>
            <w:noWrap/>
            <w:vAlign w:val="bottom"/>
            <w:hideMark/>
          </w:tcPr>
          <w:p w14:paraId="46969A4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1,55</w:t>
            </w:r>
          </w:p>
        </w:tc>
      </w:tr>
      <w:tr w:rsidR="00BF12D5" w:rsidRPr="00BD0223" w14:paraId="6A247788"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75CCB63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ARAGUARI</w:t>
            </w:r>
          </w:p>
        </w:tc>
        <w:tc>
          <w:tcPr>
            <w:tcW w:w="1182" w:type="dxa"/>
            <w:tcBorders>
              <w:top w:val="nil"/>
              <w:left w:val="nil"/>
              <w:bottom w:val="single" w:sz="4" w:space="0" w:color="auto"/>
              <w:right w:val="single" w:sz="4" w:space="0" w:color="auto"/>
            </w:tcBorders>
            <w:shd w:val="clear" w:color="auto" w:fill="auto"/>
            <w:noWrap/>
            <w:vAlign w:val="bottom"/>
            <w:hideMark/>
          </w:tcPr>
          <w:p w14:paraId="4978380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23,35</w:t>
            </w:r>
          </w:p>
        </w:tc>
        <w:tc>
          <w:tcPr>
            <w:tcW w:w="1181" w:type="dxa"/>
            <w:tcBorders>
              <w:top w:val="nil"/>
              <w:left w:val="nil"/>
              <w:bottom w:val="single" w:sz="4" w:space="0" w:color="auto"/>
              <w:right w:val="single" w:sz="4" w:space="0" w:color="auto"/>
            </w:tcBorders>
            <w:shd w:val="clear" w:color="auto" w:fill="auto"/>
            <w:noWrap/>
            <w:vAlign w:val="bottom"/>
            <w:hideMark/>
          </w:tcPr>
          <w:p w14:paraId="240A0D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25,90</w:t>
            </w:r>
          </w:p>
        </w:tc>
        <w:tc>
          <w:tcPr>
            <w:tcW w:w="1181" w:type="dxa"/>
            <w:tcBorders>
              <w:top w:val="nil"/>
              <w:left w:val="nil"/>
              <w:bottom w:val="single" w:sz="4" w:space="0" w:color="auto"/>
              <w:right w:val="single" w:sz="4" w:space="0" w:color="auto"/>
            </w:tcBorders>
            <w:shd w:val="clear" w:color="auto" w:fill="auto"/>
            <w:noWrap/>
            <w:vAlign w:val="bottom"/>
            <w:hideMark/>
          </w:tcPr>
          <w:p w14:paraId="30B01B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27,37</w:t>
            </w:r>
          </w:p>
        </w:tc>
        <w:tc>
          <w:tcPr>
            <w:tcW w:w="1181" w:type="dxa"/>
            <w:tcBorders>
              <w:top w:val="nil"/>
              <w:left w:val="nil"/>
              <w:bottom w:val="single" w:sz="4" w:space="0" w:color="auto"/>
              <w:right w:val="single" w:sz="4" w:space="0" w:color="auto"/>
            </w:tcBorders>
            <w:shd w:val="clear" w:color="auto" w:fill="auto"/>
            <w:noWrap/>
            <w:vAlign w:val="bottom"/>
            <w:hideMark/>
          </w:tcPr>
          <w:p w14:paraId="6F295D5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28,83</w:t>
            </w:r>
          </w:p>
        </w:tc>
        <w:tc>
          <w:tcPr>
            <w:tcW w:w="1181" w:type="dxa"/>
            <w:tcBorders>
              <w:top w:val="nil"/>
              <w:left w:val="nil"/>
              <w:bottom w:val="single" w:sz="4" w:space="0" w:color="auto"/>
              <w:right w:val="single" w:sz="4" w:space="0" w:color="auto"/>
            </w:tcBorders>
            <w:shd w:val="clear" w:color="auto" w:fill="auto"/>
            <w:noWrap/>
            <w:vAlign w:val="bottom"/>
            <w:hideMark/>
          </w:tcPr>
          <w:p w14:paraId="20EE1EE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30,67</w:t>
            </w:r>
          </w:p>
        </w:tc>
      </w:tr>
      <w:tr w:rsidR="00BF12D5" w:rsidRPr="00BD0223" w14:paraId="17EB19DF"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140A80A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ARAPORA</w:t>
            </w:r>
          </w:p>
        </w:tc>
        <w:tc>
          <w:tcPr>
            <w:tcW w:w="1182" w:type="dxa"/>
            <w:tcBorders>
              <w:top w:val="nil"/>
              <w:left w:val="nil"/>
              <w:bottom w:val="single" w:sz="4" w:space="0" w:color="auto"/>
              <w:right w:val="single" w:sz="4" w:space="0" w:color="auto"/>
            </w:tcBorders>
            <w:shd w:val="clear" w:color="auto" w:fill="auto"/>
            <w:noWrap/>
            <w:vAlign w:val="bottom"/>
            <w:hideMark/>
          </w:tcPr>
          <w:p w14:paraId="71F6AE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3,31</w:t>
            </w:r>
          </w:p>
        </w:tc>
        <w:tc>
          <w:tcPr>
            <w:tcW w:w="1181" w:type="dxa"/>
            <w:tcBorders>
              <w:top w:val="nil"/>
              <w:left w:val="nil"/>
              <w:bottom w:val="single" w:sz="4" w:space="0" w:color="auto"/>
              <w:right w:val="single" w:sz="4" w:space="0" w:color="auto"/>
            </w:tcBorders>
            <w:shd w:val="clear" w:color="auto" w:fill="auto"/>
            <w:noWrap/>
            <w:vAlign w:val="bottom"/>
            <w:hideMark/>
          </w:tcPr>
          <w:p w14:paraId="1F94662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4,66</w:t>
            </w:r>
          </w:p>
        </w:tc>
        <w:tc>
          <w:tcPr>
            <w:tcW w:w="1181" w:type="dxa"/>
            <w:tcBorders>
              <w:top w:val="nil"/>
              <w:left w:val="nil"/>
              <w:bottom w:val="single" w:sz="4" w:space="0" w:color="auto"/>
              <w:right w:val="single" w:sz="4" w:space="0" w:color="auto"/>
            </w:tcBorders>
            <w:shd w:val="clear" w:color="auto" w:fill="auto"/>
            <w:noWrap/>
            <w:vAlign w:val="bottom"/>
            <w:hideMark/>
          </w:tcPr>
          <w:p w14:paraId="1B1F4F0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5,00</w:t>
            </w:r>
          </w:p>
        </w:tc>
        <w:tc>
          <w:tcPr>
            <w:tcW w:w="1181" w:type="dxa"/>
            <w:tcBorders>
              <w:top w:val="nil"/>
              <w:left w:val="nil"/>
              <w:bottom w:val="single" w:sz="4" w:space="0" w:color="auto"/>
              <w:right w:val="single" w:sz="4" w:space="0" w:color="auto"/>
            </w:tcBorders>
            <w:shd w:val="clear" w:color="auto" w:fill="auto"/>
            <w:noWrap/>
            <w:vAlign w:val="bottom"/>
            <w:hideMark/>
          </w:tcPr>
          <w:p w14:paraId="1B27216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4,00</w:t>
            </w:r>
          </w:p>
        </w:tc>
        <w:tc>
          <w:tcPr>
            <w:tcW w:w="1181" w:type="dxa"/>
            <w:tcBorders>
              <w:top w:val="nil"/>
              <w:left w:val="nil"/>
              <w:bottom w:val="single" w:sz="4" w:space="0" w:color="auto"/>
              <w:right w:val="single" w:sz="4" w:space="0" w:color="auto"/>
            </w:tcBorders>
            <w:shd w:val="clear" w:color="auto" w:fill="auto"/>
            <w:noWrap/>
            <w:vAlign w:val="bottom"/>
            <w:hideMark/>
          </w:tcPr>
          <w:p w14:paraId="473A055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6,80</w:t>
            </w:r>
          </w:p>
        </w:tc>
      </w:tr>
      <w:tr w:rsidR="00BF12D5" w:rsidRPr="00BD0223" w14:paraId="24A2A466"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314C35E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CAMPINA VERDE</w:t>
            </w:r>
          </w:p>
        </w:tc>
        <w:tc>
          <w:tcPr>
            <w:tcW w:w="1182" w:type="dxa"/>
            <w:tcBorders>
              <w:top w:val="nil"/>
              <w:left w:val="nil"/>
              <w:bottom w:val="single" w:sz="4" w:space="0" w:color="auto"/>
              <w:right w:val="single" w:sz="4" w:space="0" w:color="auto"/>
            </w:tcBorders>
            <w:shd w:val="clear" w:color="auto" w:fill="auto"/>
            <w:noWrap/>
            <w:vAlign w:val="bottom"/>
            <w:hideMark/>
          </w:tcPr>
          <w:p w14:paraId="53BC0FF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3,33</w:t>
            </w:r>
          </w:p>
        </w:tc>
        <w:tc>
          <w:tcPr>
            <w:tcW w:w="1181" w:type="dxa"/>
            <w:tcBorders>
              <w:top w:val="nil"/>
              <w:left w:val="nil"/>
              <w:bottom w:val="single" w:sz="4" w:space="0" w:color="auto"/>
              <w:right w:val="single" w:sz="4" w:space="0" w:color="auto"/>
            </w:tcBorders>
            <w:shd w:val="clear" w:color="auto" w:fill="auto"/>
            <w:noWrap/>
            <w:vAlign w:val="bottom"/>
            <w:hideMark/>
          </w:tcPr>
          <w:p w14:paraId="70BC7F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3,63</w:t>
            </w:r>
          </w:p>
        </w:tc>
        <w:tc>
          <w:tcPr>
            <w:tcW w:w="1181" w:type="dxa"/>
            <w:tcBorders>
              <w:top w:val="nil"/>
              <w:left w:val="nil"/>
              <w:bottom w:val="single" w:sz="4" w:space="0" w:color="auto"/>
              <w:right w:val="single" w:sz="4" w:space="0" w:color="auto"/>
            </w:tcBorders>
            <w:shd w:val="clear" w:color="auto" w:fill="auto"/>
            <w:noWrap/>
            <w:vAlign w:val="bottom"/>
            <w:hideMark/>
          </w:tcPr>
          <w:p w14:paraId="0A74EB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3,87</w:t>
            </w:r>
          </w:p>
        </w:tc>
        <w:tc>
          <w:tcPr>
            <w:tcW w:w="1181" w:type="dxa"/>
            <w:tcBorders>
              <w:top w:val="nil"/>
              <w:left w:val="nil"/>
              <w:bottom w:val="single" w:sz="4" w:space="0" w:color="auto"/>
              <w:right w:val="single" w:sz="4" w:space="0" w:color="auto"/>
            </w:tcBorders>
            <w:shd w:val="clear" w:color="auto" w:fill="auto"/>
            <w:noWrap/>
            <w:vAlign w:val="bottom"/>
            <w:hideMark/>
          </w:tcPr>
          <w:p w14:paraId="427C8E8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3,89</w:t>
            </w:r>
          </w:p>
        </w:tc>
        <w:tc>
          <w:tcPr>
            <w:tcW w:w="1181" w:type="dxa"/>
            <w:tcBorders>
              <w:top w:val="nil"/>
              <w:left w:val="nil"/>
              <w:bottom w:val="single" w:sz="4" w:space="0" w:color="auto"/>
              <w:right w:val="single" w:sz="4" w:space="0" w:color="auto"/>
            </w:tcBorders>
            <w:shd w:val="clear" w:color="auto" w:fill="auto"/>
            <w:noWrap/>
            <w:vAlign w:val="bottom"/>
            <w:hideMark/>
          </w:tcPr>
          <w:p w14:paraId="3F75C8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3,99</w:t>
            </w:r>
          </w:p>
        </w:tc>
      </w:tr>
      <w:tr w:rsidR="00BF12D5" w:rsidRPr="00BD0223" w14:paraId="1D8F7347"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0E89973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CAMPO FLORIDO</w:t>
            </w:r>
          </w:p>
        </w:tc>
        <w:tc>
          <w:tcPr>
            <w:tcW w:w="1182" w:type="dxa"/>
            <w:tcBorders>
              <w:top w:val="nil"/>
              <w:left w:val="nil"/>
              <w:bottom w:val="single" w:sz="4" w:space="0" w:color="auto"/>
              <w:right w:val="single" w:sz="4" w:space="0" w:color="auto"/>
            </w:tcBorders>
            <w:shd w:val="clear" w:color="auto" w:fill="auto"/>
            <w:noWrap/>
            <w:vAlign w:val="bottom"/>
            <w:hideMark/>
          </w:tcPr>
          <w:p w14:paraId="4F7A579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1,16</w:t>
            </w:r>
          </w:p>
        </w:tc>
        <w:tc>
          <w:tcPr>
            <w:tcW w:w="1181" w:type="dxa"/>
            <w:tcBorders>
              <w:top w:val="nil"/>
              <w:left w:val="nil"/>
              <w:bottom w:val="single" w:sz="4" w:space="0" w:color="auto"/>
              <w:right w:val="single" w:sz="4" w:space="0" w:color="auto"/>
            </w:tcBorders>
            <w:shd w:val="clear" w:color="auto" w:fill="auto"/>
            <w:noWrap/>
            <w:vAlign w:val="bottom"/>
            <w:hideMark/>
          </w:tcPr>
          <w:p w14:paraId="237E3F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1,41</w:t>
            </w:r>
          </w:p>
        </w:tc>
        <w:tc>
          <w:tcPr>
            <w:tcW w:w="1181" w:type="dxa"/>
            <w:tcBorders>
              <w:top w:val="nil"/>
              <w:left w:val="nil"/>
              <w:bottom w:val="single" w:sz="4" w:space="0" w:color="auto"/>
              <w:right w:val="single" w:sz="4" w:space="0" w:color="auto"/>
            </w:tcBorders>
            <w:shd w:val="clear" w:color="auto" w:fill="auto"/>
            <w:noWrap/>
            <w:vAlign w:val="bottom"/>
            <w:hideMark/>
          </w:tcPr>
          <w:p w14:paraId="3D67304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1,59</w:t>
            </w:r>
          </w:p>
        </w:tc>
        <w:tc>
          <w:tcPr>
            <w:tcW w:w="1181" w:type="dxa"/>
            <w:tcBorders>
              <w:top w:val="nil"/>
              <w:left w:val="nil"/>
              <w:bottom w:val="single" w:sz="4" w:space="0" w:color="auto"/>
              <w:right w:val="single" w:sz="4" w:space="0" w:color="auto"/>
            </w:tcBorders>
            <w:shd w:val="clear" w:color="auto" w:fill="auto"/>
            <w:noWrap/>
            <w:vAlign w:val="bottom"/>
            <w:hideMark/>
          </w:tcPr>
          <w:p w14:paraId="3AB4E59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1,42</w:t>
            </w:r>
          </w:p>
        </w:tc>
        <w:tc>
          <w:tcPr>
            <w:tcW w:w="1181" w:type="dxa"/>
            <w:tcBorders>
              <w:top w:val="nil"/>
              <w:left w:val="nil"/>
              <w:bottom w:val="single" w:sz="4" w:space="0" w:color="auto"/>
              <w:right w:val="single" w:sz="4" w:space="0" w:color="auto"/>
            </w:tcBorders>
            <w:shd w:val="clear" w:color="auto" w:fill="auto"/>
            <w:noWrap/>
            <w:vAlign w:val="bottom"/>
            <w:hideMark/>
          </w:tcPr>
          <w:p w14:paraId="48D7E59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1,54</w:t>
            </w:r>
          </w:p>
        </w:tc>
      </w:tr>
      <w:tr w:rsidR="00BF12D5" w:rsidRPr="00BD0223" w14:paraId="2E998DE9"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23461EB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CANAPOLIS</w:t>
            </w:r>
          </w:p>
        </w:tc>
        <w:tc>
          <w:tcPr>
            <w:tcW w:w="1182" w:type="dxa"/>
            <w:tcBorders>
              <w:top w:val="nil"/>
              <w:left w:val="nil"/>
              <w:bottom w:val="single" w:sz="4" w:space="0" w:color="auto"/>
              <w:right w:val="single" w:sz="4" w:space="0" w:color="auto"/>
            </w:tcBorders>
            <w:shd w:val="clear" w:color="auto" w:fill="auto"/>
            <w:noWrap/>
            <w:vAlign w:val="bottom"/>
            <w:hideMark/>
          </w:tcPr>
          <w:p w14:paraId="54154D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1,27</w:t>
            </w:r>
          </w:p>
        </w:tc>
        <w:tc>
          <w:tcPr>
            <w:tcW w:w="1181" w:type="dxa"/>
            <w:tcBorders>
              <w:top w:val="nil"/>
              <w:left w:val="nil"/>
              <w:bottom w:val="single" w:sz="4" w:space="0" w:color="auto"/>
              <w:right w:val="single" w:sz="4" w:space="0" w:color="auto"/>
            </w:tcBorders>
            <w:shd w:val="clear" w:color="auto" w:fill="auto"/>
            <w:noWrap/>
            <w:vAlign w:val="bottom"/>
            <w:hideMark/>
          </w:tcPr>
          <w:p w14:paraId="505CBD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1,22</w:t>
            </w:r>
          </w:p>
        </w:tc>
        <w:tc>
          <w:tcPr>
            <w:tcW w:w="1181" w:type="dxa"/>
            <w:tcBorders>
              <w:top w:val="nil"/>
              <w:left w:val="nil"/>
              <w:bottom w:val="single" w:sz="4" w:space="0" w:color="auto"/>
              <w:right w:val="single" w:sz="4" w:space="0" w:color="auto"/>
            </w:tcBorders>
            <w:shd w:val="clear" w:color="auto" w:fill="auto"/>
            <w:noWrap/>
            <w:vAlign w:val="bottom"/>
            <w:hideMark/>
          </w:tcPr>
          <w:p w14:paraId="10DA9C2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1,18</w:t>
            </w:r>
          </w:p>
        </w:tc>
        <w:tc>
          <w:tcPr>
            <w:tcW w:w="1181" w:type="dxa"/>
            <w:tcBorders>
              <w:top w:val="nil"/>
              <w:left w:val="nil"/>
              <w:bottom w:val="single" w:sz="4" w:space="0" w:color="auto"/>
              <w:right w:val="single" w:sz="4" w:space="0" w:color="auto"/>
            </w:tcBorders>
            <w:shd w:val="clear" w:color="auto" w:fill="auto"/>
            <w:noWrap/>
            <w:vAlign w:val="bottom"/>
            <w:hideMark/>
          </w:tcPr>
          <w:p w14:paraId="2DA5D4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1,37</w:t>
            </w:r>
          </w:p>
        </w:tc>
        <w:tc>
          <w:tcPr>
            <w:tcW w:w="1181" w:type="dxa"/>
            <w:tcBorders>
              <w:top w:val="nil"/>
              <w:left w:val="nil"/>
              <w:bottom w:val="single" w:sz="4" w:space="0" w:color="auto"/>
              <w:right w:val="single" w:sz="4" w:space="0" w:color="auto"/>
            </w:tcBorders>
            <w:shd w:val="clear" w:color="auto" w:fill="auto"/>
            <w:noWrap/>
            <w:vAlign w:val="bottom"/>
            <w:hideMark/>
          </w:tcPr>
          <w:p w14:paraId="4DCC385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1,50</w:t>
            </w:r>
          </w:p>
        </w:tc>
      </w:tr>
      <w:tr w:rsidR="00BF12D5" w:rsidRPr="00BD0223" w14:paraId="2E1ED1DA"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53E601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CAPINOPOLIS</w:t>
            </w:r>
          </w:p>
        </w:tc>
        <w:tc>
          <w:tcPr>
            <w:tcW w:w="1182" w:type="dxa"/>
            <w:tcBorders>
              <w:top w:val="nil"/>
              <w:left w:val="nil"/>
              <w:bottom w:val="single" w:sz="4" w:space="0" w:color="auto"/>
              <w:right w:val="single" w:sz="4" w:space="0" w:color="auto"/>
            </w:tcBorders>
            <w:shd w:val="clear" w:color="auto" w:fill="auto"/>
            <w:noWrap/>
            <w:vAlign w:val="bottom"/>
            <w:hideMark/>
          </w:tcPr>
          <w:p w14:paraId="39D868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2,30</w:t>
            </w:r>
          </w:p>
        </w:tc>
        <w:tc>
          <w:tcPr>
            <w:tcW w:w="1181" w:type="dxa"/>
            <w:tcBorders>
              <w:top w:val="nil"/>
              <w:left w:val="nil"/>
              <w:bottom w:val="single" w:sz="4" w:space="0" w:color="auto"/>
              <w:right w:val="single" w:sz="4" w:space="0" w:color="auto"/>
            </w:tcBorders>
            <w:shd w:val="clear" w:color="auto" w:fill="auto"/>
            <w:noWrap/>
            <w:vAlign w:val="bottom"/>
            <w:hideMark/>
          </w:tcPr>
          <w:p w14:paraId="3E31DF3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2,61</w:t>
            </w:r>
          </w:p>
        </w:tc>
        <w:tc>
          <w:tcPr>
            <w:tcW w:w="1181" w:type="dxa"/>
            <w:tcBorders>
              <w:top w:val="nil"/>
              <w:left w:val="nil"/>
              <w:bottom w:val="single" w:sz="4" w:space="0" w:color="auto"/>
              <w:right w:val="single" w:sz="4" w:space="0" w:color="auto"/>
            </w:tcBorders>
            <w:shd w:val="clear" w:color="auto" w:fill="auto"/>
            <w:noWrap/>
            <w:vAlign w:val="bottom"/>
            <w:hideMark/>
          </w:tcPr>
          <w:p w14:paraId="1A4D4A2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2,87</w:t>
            </w:r>
          </w:p>
        </w:tc>
        <w:tc>
          <w:tcPr>
            <w:tcW w:w="1181" w:type="dxa"/>
            <w:tcBorders>
              <w:top w:val="nil"/>
              <w:left w:val="nil"/>
              <w:bottom w:val="single" w:sz="4" w:space="0" w:color="auto"/>
              <w:right w:val="single" w:sz="4" w:space="0" w:color="auto"/>
            </w:tcBorders>
            <w:shd w:val="clear" w:color="auto" w:fill="auto"/>
            <w:noWrap/>
            <w:vAlign w:val="bottom"/>
            <w:hideMark/>
          </w:tcPr>
          <w:p w14:paraId="22236A3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2,78</w:t>
            </w:r>
          </w:p>
        </w:tc>
        <w:tc>
          <w:tcPr>
            <w:tcW w:w="1181" w:type="dxa"/>
            <w:tcBorders>
              <w:top w:val="nil"/>
              <w:left w:val="nil"/>
              <w:bottom w:val="single" w:sz="4" w:space="0" w:color="auto"/>
              <w:right w:val="single" w:sz="4" w:space="0" w:color="auto"/>
            </w:tcBorders>
            <w:shd w:val="clear" w:color="auto" w:fill="auto"/>
            <w:noWrap/>
            <w:vAlign w:val="bottom"/>
            <w:hideMark/>
          </w:tcPr>
          <w:p w14:paraId="43AF10A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2,80</w:t>
            </w:r>
          </w:p>
        </w:tc>
      </w:tr>
      <w:tr w:rsidR="00BF12D5" w:rsidRPr="00BD0223" w14:paraId="356E0B97"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6F6563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CARNEIRINHO</w:t>
            </w:r>
          </w:p>
        </w:tc>
        <w:tc>
          <w:tcPr>
            <w:tcW w:w="1182" w:type="dxa"/>
            <w:tcBorders>
              <w:top w:val="nil"/>
              <w:left w:val="nil"/>
              <w:bottom w:val="single" w:sz="4" w:space="0" w:color="auto"/>
              <w:right w:val="single" w:sz="4" w:space="0" w:color="auto"/>
            </w:tcBorders>
            <w:shd w:val="clear" w:color="auto" w:fill="auto"/>
            <w:noWrap/>
            <w:vAlign w:val="bottom"/>
            <w:hideMark/>
          </w:tcPr>
          <w:p w14:paraId="1FA12E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1,59</w:t>
            </w:r>
          </w:p>
        </w:tc>
        <w:tc>
          <w:tcPr>
            <w:tcW w:w="1181" w:type="dxa"/>
            <w:tcBorders>
              <w:top w:val="nil"/>
              <w:left w:val="nil"/>
              <w:bottom w:val="single" w:sz="4" w:space="0" w:color="auto"/>
              <w:right w:val="single" w:sz="4" w:space="0" w:color="auto"/>
            </w:tcBorders>
            <w:shd w:val="clear" w:color="auto" w:fill="auto"/>
            <w:noWrap/>
            <w:vAlign w:val="bottom"/>
            <w:hideMark/>
          </w:tcPr>
          <w:p w14:paraId="0579A88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1,81</w:t>
            </w:r>
          </w:p>
        </w:tc>
        <w:tc>
          <w:tcPr>
            <w:tcW w:w="1181" w:type="dxa"/>
            <w:tcBorders>
              <w:top w:val="nil"/>
              <w:left w:val="nil"/>
              <w:bottom w:val="single" w:sz="4" w:space="0" w:color="auto"/>
              <w:right w:val="single" w:sz="4" w:space="0" w:color="auto"/>
            </w:tcBorders>
            <w:shd w:val="clear" w:color="auto" w:fill="auto"/>
            <w:noWrap/>
            <w:vAlign w:val="bottom"/>
            <w:hideMark/>
          </w:tcPr>
          <w:p w14:paraId="2742D5C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2,01</w:t>
            </w:r>
          </w:p>
        </w:tc>
        <w:tc>
          <w:tcPr>
            <w:tcW w:w="1181" w:type="dxa"/>
            <w:tcBorders>
              <w:top w:val="nil"/>
              <w:left w:val="nil"/>
              <w:bottom w:val="single" w:sz="4" w:space="0" w:color="auto"/>
              <w:right w:val="single" w:sz="4" w:space="0" w:color="auto"/>
            </w:tcBorders>
            <w:shd w:val="clear" w:color="auto" w:fill="auto"/>
            <w:noWrap/>
            <w:vAlign w:val="bottom"/>
            <w:hideMark/>
          </w:tcPr>
          <w:p w14:paraId="4A0FF68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2,02</w:t>
            </w:r>
          </w:p>
        </w:tc>
        <w:tc>
          <w:tcPr>
            <w:tcW w:w="1181" w:type="dxa"/>
            <w:tcBorders>
              <w:top w:val="nil"/>
              <w:left w:val="nil"/>
              <w:bottom w:val="single" w:sz="4" w:space="0" w:color="auto"/>
              <w:right w:val="single" w:sz="4" w:space="0" w:color="auto"/>
            </w:tcBorders>
            <w:shd w:val="clear" w:color="auto" w:fill="auto"/>
            <w:noWrap/>
            <w:vAlign w:val="bottom"/>
            <w:hideMark/>
          </w:tcPr>
          <w:p w14:paraId="61708A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2,15</w:t>
            </w:r>
          </w:p>
        </w:tc>
      </w:tr>
      <w:tr w:rsidR="00BF12D5" w:rsidRPr="00BD0223" w14:paraId="0E6BB6B5"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59BF700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CASCALHO RICO</w:t>
            </w:r>
          </w:p>
        </w:tc>
        <w:tc>
          <w:tcPr>
            <w:tcW w:w="1182" w:type="dxa"/>
            <w:tcBorders>
              <w:top w:val="nil"/>
              <w:left w:val="nil"/>
              <w:bottom w:val="single" w:sz="4" w:space="0" w:color="auto"/>
              <w:right w:val="single" w:sz="4" w:space="0" w:color="auto"/>
            </w:tcBorders>
            <w:shd w:val="clear" w:color="auto" w:fill="auto"/>
            <w:noWrap/>
            <w:vAlign w:val="bottom"/>
            <w:hideMark/>
          </w:tcPr>
          <w:p w14:paraId="2039A40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0,30</w:t>
            </w:r>
          </w:p>
        </w:tc>
        <w:tc>
          <w:tcPr>
            <w:tcW w:w="1181" w:type="dxa"/>
            <w:tcBorders>
              <w:top w:val="nil"/>
              <w:left w:val="nil"/>
              <w:bottom w:val="single" w:sz="4" w:space="0" w:color="auto"/>
              <w:right w:val="single" w:sz="4" w:space="0" w:color="auto"/>
            </w:tcBorders>
            <w:shd w:val="clear" w:color="auto" w:fill="auto"/>
            <w:noWrap/>
            <w:vAlign w:val="bottom"/>
            <w:hideMark/>
          </w:tcPr>
          <w:p w14:paraId="5E5627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0,30</w:t>
            </w:r>
          </w:p>
        </w:tc>
        <w:tc>
          <w:tcPr>
            <w:tcW w:w="1181" w:type="dxa"/>
            <w:tcBorders>
              <w:top w:val="nil"/>
              <w:left w:val="nil"/>
              <w:bottom w:val="single" w:sz="4" w:space="0" w:color="auto"/>
              <w:right w:val="single" w:sz="4" w:space="0" w:color="auto"/>
            </w:tcBorders>
            <w:shd w:val="clear" w:color="auto" w:fill="auto"/>
            <w:noWrap/>
            <w:vAlign w:val="bottom"/>
            <w:hideMark/>
          </w:tcPr>
          <w:p w14:paraId="2A3F41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0,35</w:t>
            </w:r>
          </w:p>
        </w:tc>
        <w:tc>
          <w:tcPr>
            <w:tcW w:w="1181" w:type="dxa"/>
            <w:tcBorders>
              <w:top w:val="nil"/>
              <w:left w:val="nil"/>
              <w:bottom w:val="single" w:sz="4" w:space="0" w:color="auto"/>
              <w:right w:val="single" w:sz="4" w:space="0" w:color="auto"/>
            </w:tcBorders>
            <w:shd w:val="clear" w:color="auto" w:fill="auto"/>
            <w:noWrap/>
            <w:vAlign w:val="bottom"/>
            <w:hideMark/>
          </w:tcPr>
          <w:p w14:paraId="57D0C06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0,33</w:t>
            </w:r>
          </w:p>
        </w:tc>
        <w:tc>
          <w:tcPr>
            <w:tcW w:w="1181" w:type="dxa"/>
            <w:tcBorders>
              <w:top w:val="nil"/>
              <w:left w:val="nil"/>
              <w:bottom w:val="single" w:sz="4" w:space="0" w:color="auto"/>
              <w:right w:val="single" w:sz="4" w:space="0" w:color="auto"/>
            </w:tcBorders>
            <w:shd w:val="clear" w:color="auto" w:fill="auto"/>
            <w:noWrap/>
            <w:vAlign w:val="bottom"/>
            <w:hideMark/>
          </w:tcPr>
          <w:p w14:paraId="7E729F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0,32</w:t>
            </w:r>
          </w:p>
        </w:tc>
      </w:tr>
      <w:tr w:rsidR="00BF12D5" w:rsidRPr="00BD0223" w14:paraId="2AE88CB8"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554CF3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CENTRALINA</w:t>
            </w:r>
          </w:p>
        </w:tc>
        <w:tc>
          <w:tcPr>
            <w:tcW w:w="1182" w:type="dxa"/>
            <w:tcBorders>
              <w:top w:val="nil"/>
              <w:left w:val="nil"/>
              <w:bottom w:val="single" w:sz="4" w:space="0" w:color="auto"/>
              <w:right w:val="single" w:sz="4" w:space="0" w:color="auto"/>
            </w:tcBorders>
            <w:shd w:val="clear" w:color="auto" w:fill="auto"/>
            <w:noWrap/>
            <w:vAlign w:val="bottom"/>
            <w:hideMark/>
          </w:tcPr>
          <w:p w14:paraId="0436B1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1,64</w:t>
            </w:r>
          </w:p>
        </w:tc>
        <w:tc>
          <w:tcPr>
            <w:tcW w:w="1181" w:type="dxa"/>
            <w:tcBorders>
              <w:top w:val="nil"/>
              <w:left w:val="nil"/>
              <w:bottom w:val="single" w:sz="4" w:space="0" w:color="auto"/>
              <w:right w:val="single" w:sz="4" w:space="0" w:color="auto"/>
            </w:tcBorders>
            <w:shd w:val="clear" w:color="auto" w:fill="auto"/>
            <w:noWrap/>
            <w:vAlign w:val="bottom"/>
            <w:hideMark/>
          </w:tcPr>
          <w:p w14:paraId="4142674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w:t>
            </w:r>
          </w:p>
        </w:tc>
        <w:tc>
          <w:tcPr>
            <w:tcW w:w="1181" w:type="dxa"/>
            <w:tcBorders>
              <w:top w:val="nil"/>
              <w:left w:val="nil"/>
              <w:bottom w:val="single" w:sz="4" w:space="0" w:color="auto"/>
              <w:right w:val="single" w:sz="4" w:space="0" w:color="auto"/>
            </w:tcBorders>
            <w:shd w:val="clear" w:color="auto" w:fill="auto"/>
            <w:noWrap/>
            <w:vAlign w:val="bottom"/>
            <w:hideMark/>
          </w:tcPr>
          <w:p w14:paraId="2B80510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3,02</w:t>
            </w:r>
          </w:p>
        </w:tc>
        <w:tc>
          <w:tcPr>
            <w:tcW w:w="1181" w:type="dxa"/>
            <w:tcBorders>
              <w:top w:val="nil"/>
              <w:left w:val="nil"/>
              <w:bottom w:val="single" w:sz="4" w:space="0" w:color="auto"/>
              <w:right w:val="single" w:sz="4" w:space="0" w:color="auto"/>
            </w:tcBorders>
            <w:shd w:val="clear" w:color="auto" w:fill="auto"/>
            <w:noWrap/>
            <w:vAlign w:val="bottom"/>
            <w:hideMark/>
          </w:tcPr>
          <w:p w14:paraId="74B2462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3,68</w:t>
            </w:r>
          </w:p>
        </w:tc>
        <w:tc>
          <w:tcPr>
            <w:tcW w:w="1181" w:type="dxa"/>
            <w:tcBorders>
              <w:top w:val="nil"/>
              <w:left w:val="nil"/>
              <w:bottom w:val="single" w:sz="4" w:space="0" w:color="auto"/>
              <w:right w:val="single" w:sz="4" w:space="0" w:color="auto"/>
            </w:tcBorders>
            <w:shd w:val="clear" w:color="auto" w:fill="auto"/>
            <w:noWrap/>
            <w:vAlign w:val="bottom"/>
            <w:hideMark/>
          </w:tcPr>
          <w:p w14:paraId="763A054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3,81</w:t>
            </w:r>
          </w:p>
        </w:tc>
      </w:tr>
      <w:tr w:rsidR="00BF12D5" w:rsidRPr="00BD0223" w14:paraId="49F439DC"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366B3D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COMENDADOR GOMES</w:t>
            </w:r>
          </w:p>
        </w:tc>
        <w:tc>
          <w:tcPr>
            <w:tcW w:w="1182" w:type="dxa"/>
            <w:tcBorders>
              <w:top w:val="nil"/>
              <w:left w:val="nil"/>
              <w:bottom w:val="single" w:sz="4" w:space="0" w:color="auto"/>
              <w:right w:val="single" w:sz="4" w:space="0" w:color="auto"/>
            </w:tcBorders>
            <w:shd w:val="clear" w:color="auto" w:fill="auto"/>
            <w:noWrap/>
            <w:vAlign w:val="bottom"/>
            <w:hideMark/>
          </w:tcPr>
          <w:p w14:paraId="4B1B46E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0,36</w:t>
            </w:r>
          </w:p>
        </w:tc>
        <w:tc>
          <w:tcPr>
            <w:tcW w:w="1181" w:type="dxa"/>
            <w:tcBorders>
              <w:top w:val="nil"/>
              <w:left w:val="nil"/>
              <w:bottom w:val="single" w:sz="4" w:space="0" w:color="auto"/>
              <w:right w:val="single" w:sz="4" w:space="0" w:color="auto"/>
            </w:tcBorders>
            <w:shd w:val="clear" w:color="auto" w:fill="auto"/>
            <w:noWrap/>
            <w:vAlign w:val="bottom"/>
            <w:hideMark/>
          </w:tcPr>
          <w:p w14:paraId="707BF1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0,33</w:t>
            </w:r>
          </w:p>
        </w:tc>
        <w:tc>
          <w:tcPr>
            <w:tcW w:w="1181" w:type="dxa"/>
            <w:tcBorders>
              <w:top w:val="nil"/>
              <w:left w:val="nil"/>
              <w:bottom w:val="single" w:sz="4" w:space="0" w:color="auto"/>
              <w:right w:val="single" w:sz="4" w:space="0" w:color="auto"/>
            </w:tcBorders>
            <w:shd w:val="clear" w:color="auto" w:fill="auto"/>
            <w:noWrap/>
            <w:vAlign w:val="bottom"/>
            <w:hideMark/>
          </w:tcPr>
          <w:p w14:paraId="5DFBC03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0,84</w:t>
            </w:r>
          </w:p>
        </w:tc>
        <w:tc>
          <w:tcPr>
            <w:tcW w:w="1181" w:type="dxa"/>
            <w:tcBorders>
              <w:top w:val="nil"/>
              <w:left w:val="nil"/>
              <w:bottom w:val="single" w:sz="4" w:space="0" w:color="auto"/>
              <w:right w:val="single" w:sz="4" w:space="0" w:color="auto"/>
            </w:tcBorders>
            <w:shd w:val="clear" w:color="auto" w:fill="auto"/>
            <w:noWrap/>
            <w:vAlign w:val="bottom"/>
            <w:hideMark/>
          </w:tcPr>
          <w:p w14:paraId="1E092E7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0,96</w:t>
            </w:r>
          </w:p>
        </w:tc>
        <w:tc>
          <w:tcPr>
            <w:tcW w:w="1181" w:type="dxa"/>
            <w:tcBorders>
              <w:top w:val="nil"/>
              <w:left w:val="nil"/>
              <w:bottom w:val="single" w:sz="4" w:space="0" w:color="auto"/>
              <w:right w:val="single" w:sz="4" w:space="0" w:color="auto"/>
            </w:tcBorders>
            <w:shd w:val="clear" w:color="auto" w:fill="auto"/>
            <w:noWrap/>
            <w:vAlign w:val="bottom"/>
            <w:hideMark/>
          </w:tcPr>
          <w:p w14:paraId="6149093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1,37</w:t>
            </w:r>
          </w:p>
        </w:tc>
      </w:tr>
      <w:tr w:rsidR="00BF12D5" w:rsidRPr="00BD0223" w14:paraId="062E43CB"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395C787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CONCEICAO DAS ALAGOAS</w:t>
            </w:r>
          </w:p>
        </w:tc>
        <w:tc>
          <w:tcPr>
            <w:tcW w:w="1182" w:type="dxa"/>
            <w:tcBorders>
              <w:top w:val="nil"/>
              <w:left w:val="nil"/>
              <w:bottom w:val="single" w:sz="4" w:space="0" w:color="auto"/>
              <w:right w:val="single" w:sz="4" w:space="0" w:color="auto"/>
            </w:tcBorders>
            <w:shd w:val="clear" w:color="auto" w:fill="auto"/>
            <w:noWrap/>
            <w:vAlign w:val="bottom"/>
            <w:hideMark/>
          </w:tcPr>
          <w:p w14:paraId="2B85B137" w14:textId="77777777" w:rsidR="00BF12D5" w:rsidRPr="00BD0223" w:rsidRDefault="00BF12D5" w:rsidP="0039539B">
            <w:pPr>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2,31</w:t>
            </w:r>
          </w:p>
        </w:tc>
        <w:tc>
          <w:tcPr>
            <w:tcW w:w="1181" w:type="dxa"/>
            <w:tcBorders>
              <w:top w:val="nil"/>
              <w:left w:val="nil"/>
              <w:bottom w:val="single" w:sz="4" w:space="0" w:color="auto"/>
              <w:right w:val="single" w:sz="4" w:space="0" w:color="auto"/>
            </w:tcBorders>
            <w:shd w:val="clear" w:color="auto" w:fill="auto"/>
            <w:noWrap/>
            <w:vAlign w:val="bottom"/>
            <w:hideMark/>
          </w:tcPr>
          <w:p w14:paraId="42EC51DD" w14:textId="77777777" w:rsidR="00BF12D5" w:rsidRPr="00BD0223" w:rsidRDefault="00BF12D5" w:rsidP="0039539B">
            <w:pPr>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3,02</w:t>
            </w:r>
          </w:p>
        </w:tc>
        <w:tc>
          <w:tcPr>
            <w:tcW w:w="1181" w:type="dxa"/>
            <w:tcBorders>
              <w:top w:val="nil"/>
              <w:left w:val="nil"/>
              <w:bottom w:val="single" w:sz="4" w:space="0" w:color="auto"/>
              <w:right w:val="single" w:sz="4" w:space="0" w:color="auto"/>
            </w:tcBorders>
            <w:shd w:val="clear" w:color="auto" w:fill="auto"/>
            <w:noWrap/>
            <w:vAlign w:val="bottom"/>
            <w:hideMark/>
          </w:tcPr>
          <w:p w14:paraId="7F0D5EAD" w14:textId="77777777" w:rsidR="00BF12D5" w:rsidRPr="00BD0223" w:rsidRDefault="00BF12D5" w:rsidP="0039539B">
            <w:pPr>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3,48</w:t>
            </w:r>
          </w:p>
        </w:tc>
        <w:tc>
          <w:tcPr>
            <w:tcW w:w="1181" w:type="dxa"/>
            <w:tcBorders>
              <w:top w:val="nil"/>
              <w:left w:val="nil"/>
              <w:bottom w:val="single" w:sz="4" w:space="0" w:color="auto"/>
              <w:right w:val="single" w:sz="4" w:space="0" w:color="auto"/>
            </w:tcBorders>
            <w:shd w:val="clear" w:color="auto" w:fill="auto"/>
            <w:noWrap/>
            <w:vAlign w:val="bottom"/>
            <w:hideMark/>
          </w:tcPr>
          <w:p w14:paraId="3EF6196B" w14:textId="77777777" w:rsidR="00BF12D5" w:rsidRPr="00BD0223" w:rsidRDefault="00BF12D5" w:rsidP="0039539B">
            <w:pPr>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3,13</w:t>
            </w:r>
          </w:p>
        </w:tc>
        <w:tc>
          <w:tcPr>
            <w:tcW w:w="1181" w:type="dxa"/>
            <w:tcBorders>
              <w:top w:val="nil"/>
              <w:left w:val="nil"/>
              <w:bottom w:val="single" w:sz="4" w:space="0" w:color="auto"/>
              <w:right w:val="single" w:sz="4" w:space="0" w:color="auto"/>
            </w:tcBorders>
            <w:shd w:val="clear" w:color="auto" w:fill="auto"/>
            <w:noWrap/>
            <w:vAlign w:val="bottom"/>
            <w:hideMark/>
          </w:tcPr>
          <w:p w14:paraId="023A0068" w14:textId="77777777" w:rsidR="00BF12D5" w:rsidRPr="00BD0223" w:rsidRDefault="00BF12D5" w:rsidP="0039539B">
            <w:pPr>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4,66</w:t>
            </w:r>
          </w:p>
        </w:tc>
      </w:tr>
      <w:tr w:rsidR="00BF12D5" w:rsidRPr="00BD0223" w14:paraId="76F861A8"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37EB641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DELTA</w:t>
            </w:r>
          </w:p>
        </w:tc>
        <w:tc>
          <w:tcPr>
            <w:tcW w:w="1182" w:type="dxa"/>
            <w:tcBorders>
              <w:top w:val="nil"/>
              <w:left w:val="nil"/>
              <w:bottom w:val="single" w:sz="4" w:space="0" w:color="auto"/>
              <w:right w:val="single" w:sz="4" w:space="0" w:color="auto"/>
            </w:tcBorders>
            <w:shd w:val="clear" w:color="auto" w:fill="auto"/>
            <w:noWrap/>
            <w:vAlign w:val="bottom"/>
            <w:hideMark/>
          </w:tcPr>
          <w:p w14:paraId="5C6BB0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0,80</w:t>
            </w:r>
          </w:p>
        </w:tc>
        <w:tc>
          <w:tcPr>
            <w:tcW w:w="1181" w:type="dxa"/>
            <w:tcBorders>
              <w:top w:val="nil"/>
              <w:left w:val="nil"/>
              <w:bottom w:val="single" w:sz="4" w:space="0" w:color="auto"/>
              <w:right w:val="single" w:sz="4" w:space="0" w:color="auto"/>
            </w:tcBorders>
            <w:shd w:val="clear" w:color="auto" w:fill="auto"/>
            <w:noWrap/>
            <w:vAlign w:val="bottom"/>
            <w:hideMark/>
          </w:tcPr>
          <w:p w14:paraId="2A65776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1,20</w:t>
            </w:r>
          </w:p>
        </w:tc>
        <w:tc>
          <w:tcPr>
            <w:tcW w:w="1181" w:type="dxa"/>
            <w:tcBorders>
              <w:top w:val="nil"/>
              <w:left w:val="nil"/>
              <w:bottom w:val="single" w:sz="4" w:space="0" w:color="auto"/>
              <w:right w:val="single" w:sz="4" w:space="0" w:color="auto"/>
            </w:tcBorders>
            <w:shd w:val="clear" w:color="auto" w:fill="auto"/>
            <w:noWrap/>
            <w:vAlign w:val="bottom"/>
            <w:hideMark/>
          </w:tcPr>
          <w:p w14:paraId="11A15C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2,32</w:t>
            </w:r>
          </w:p>
        </w:tc>
        <w:tc>
          <w:tcPr>
            <w:tcW w:w="1181" w:type="dxa"/>
            <w:tcBorders>
              <w:top w:val="nil"/>
              <w:left w:val="nil"/>
              <w:bottom w:val="single" w:sz="4" w:space="0" w:color="auto"/>
              <w:right w:val="single" w:sz="4" w:space="0" w:color="auto"/>
            </w:tcBorders>
            <w:shd w:val="clear" w:color="auto" w:fill="auto"/>
            <w:noWrap/>
            <w:vAlign w:val="bottom"/>
            <w:hideMark/>
          </w:tcPr>
          <w:p w14:paraId="7675677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2,67</w:t>
            </w:r>
          </w:p>
        </w:tc>
        <w:tc>
          <w:tcPr>
            <w:tcW w:w="1181" w:type="dxa"/>
            <w:tcBorders>
              <w:top w:val="nil"/>
              <w:left w:val="nil"/>
              <w:bottom w:val="single" w:sz="4" w:space="0" w:color="auto"/>
              <w:right w:val="single" w:sz="4" w:space="0" w:color="auto"/>
            </w:tcBorders>
            <w:shd w:val="clear" w:color="auto" w:fill="auto"/>
            <w:noWrap/>
            <w:vAlign w:val="bottom"/>
            <w:hideMark/>
          </w:tcPr>
          <w:p w14:paraId="110E91B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2,85</w:t>
            </w:r>
          </w:p>
        </w:tc>
      </w:tr>
      <w:tr w:rsidR="00BF12D5" w:rsidRPr="00BD0223" w14:paraId="4E5DBB9A"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31C75DD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FRONTEIRA</w:t>
            </w:r>
          </w:p>
        </w:tc>
        <w:tc>
          <w:tcPr>
            <w:tcW w:w="1182" w:type="dxa"/>
            <w:tcBorders>
              <w:top w:val="nil"/>
              <w:left w:val="nil"/>
              <w:bottom w:val="single" w:sz="4" w:space="0" w:color="auto"/>
              <w:right w:val="single" w:sz="4" w:space="0" w:color="auto"/>
            </w:tcBorders>
            <w:shd w:val="clear" w:color="auto" w:fill="auto"/>
            <w:noWrap/>
            <w:vAlign w:val="bottom"/>
            <w:hideMark/>
          </w:tcPr>
          <w:p w14:paraId="486906F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1,48</w:t>
            </w:r>
          </w:p>
        </w:tc>
        <w:tc>
          <w:tcPr>
            <w:tcW w:w="1181" w:type="dxa"/>
            <w:tcBorders>
              <w:top w:val="nil"/>
              <w:left w:val="nil"/>
              <w:bottom w:val="single" w:sz="4" w:space="0" w:color="auto"/>
              <w:right w:val="single" w:sz="4" w:space="0" w:color="auto"/>
            </w:tcBorders>
            <w:shd w:val="clear" w:color="auto" w:fill="auto"/>
            <w:noWrap/>
            <w:vAlign w:val="bottom"/>
            <w:hideMark/>
          </w:tcPr>
          <w:p w14:paraId="003CC1C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1,34</w:t>
            </w:r>
          </w:p>
        </w:tc>
        <w:tc>
          <w:tcPr>
            <w:tcW w:w="1181" w:type="dxa"/>
            <w:tcBorders>
              <w:top w:val="nil"/>
              <w:left w:val="nil"/>
              <w:bottom w:val="single" w:sz="4" w:space="0" w:color="auto"/>
              <w:right w:val="single" w:sz="4" w:space="0" w:color="auto"/>
            </w:tcBorders>
            <w:shd w:val="clear" w:color="auto" w:fill="auto"/>
            <w:noWrap/>
            <w:vAlign w:val="bottom"/>
            <w:hideMark/>
          </w:tcPr>
          <w:p w14:paraId="35E251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1,47</w:t>
            </w:r>
          </w:p>
        </w:tc>
        <w:tc>
          <w:tcPr>
            <w:tcW w:w="1181" w:type="dxa"/>
            <w:tcBorders>
              <w:top w:val="nil"/>
              <w:left w:val="nil"/>
              <w:bottom w:val="single" w:sz="4" w:space="0" w:color="auto"/>
              <w:right w:val="single" w:sz="4" w:space="0" w:color="auto"/>
            </w:tcBorders>
            <w:shd w:val="clear" w:color="auto" w:fill="auto"/>
            <w:noWrap/>
            <w:vAlign w:val="bottom"/>
            <w:hideMark/>
          </w:tcPr>
          <w:p w14:paraId="464DFE3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1,66</w:t>
            </w:r>
          </w:p>
        </w:tc>
        <w:tc>
          <w:tcPr>
            <w:tcW w:w="1181" w:type="dxa"/>
            <w:tcBorders>
              <w:top w:val="nil"/>
              <w:left w:val="nil"/>
              <w:bottom w:val="single" w:sz="4" w:space="0" w:color="auto"/>
              <w:right w:val="single" w:sz="4" w:space="0" w:color="auto"/>
            </w:tcBorders>
            <w:shd w:val="clear" w:color="auto" w:fill="auto"/>
            <w:noWrap/>
            <w:vAlign w:val="bottom"/>
            <w:hideMark/>
          </w:tcPr>
          <w:p w14:paraId="391DFC1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1,49</w:t>
            </w:r>
          </w:p>
        </w:tc>
      </w:tr>
      <w:tr w:rsidR="00BF12D5" w:rsidRPr="00BD0223" w14:paraId="6C1C6D20"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7CF2DF5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FRUTAL</w:t>
            </w:r>
          </w:p>
        </w:tc>
        <w:tc>
          <w:tcPr>
            <w:tcW w:w="1182" w:type="dxa"/>
            <w:tcBorders>
              <w:top w:val="nil"/>
              <w:left w:val="nil"/>
              <w:bottom w:val="single" w:sz="4" w:space="0" w:color="auto"/>
              <w:right w:val="single" w:sz="4" w:space="0" w:color="auto"/>
            </w:tcBorders>
            <w:shd w:val="clear" w:color="auto" w:fill="auto"/>
            <w:noWrap/>
            <w:vAlign w:val="bottom"/>
            <w:hideMark/>
          </w:tcPr>
          <w:p w14:paraId="0C6E984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8,15</w:t>
            </w:r>
          </w:p>
        </w:tc>
        <w:tc>
          <w:tcPr>
            <w:tcW w:w="1181" w:type="dxa"/>
            <w:tcBorders>
              <w:top w:val="nil"/>
              <w:left w:val="nil"/>
              <w:bottom w:val="single" w:sz="4" w:space="0" w:color="auto"/>
              <w:right w:val="single" w:sz="4" w:space="0" w:color="auto"/>
            </w:tcBorders>
            <w:shd w:val="clear" w:color="auto" w:fill="auto"/>
            <w:noWrap/>
            <w:vAlign w:val="bottom"/>
            <w:hideMark/>
          </w:tcPr>
          <w:p w14:paraId="09D55BF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8,68</w:t>
            </w:r>
          </w:p>
        </w:tc>
        <w:tc>
          <w:tcPr>
            <w:tcW w:w="1181" w:type="dxa"/>
            <w:tcBorders>
              <w:top w:val="nil"/>
              <w:left w:val="nil"/>
              <w:bottom w:val="single" w:sz="4" w:space="0" w:color="auto"/>
              <w:right w:val="single" w:sz="4" w:space="0" w:color="auto"/>
            </w:tcBorders>
            <w:shd w:val="clear" w:color="auto" w:fill="auto"/>
            <w:noWrap/>
            <w:vAlign w:val="bottom"/>
            <w:hideMark/>
          </w:tcPr>
          <w:p w14:paraId="59363A6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8,96</w:t>
            </w:r>
          </w:p>
        </w:tc>
        <w:tc>
          <w:tcPr>
            <w:tcW w:w="1181" w:type="dxa"/>
            <w:tcBorders>
              <w:top w:val="nil"/>
              <w:left w:val="nil"/>
              <w:bottom w:val="single" w:sz="4" w:space="0" w:color="auto"/>
              <w:right w:val="single" w:sz="4" w:space="0" w:color="auto"/>
            </w:tcBorders>
            <w:shd w:val="clear" w:color="auto" w:fill="auto"/>
            <w:noWrap/>
            <w:vAlign w:val="bottom"/>
            <w:hideMark/>
          </w:tcPr>
          <w:p w14:paraId="106C085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9,71</w:t>
            </w:r>
          </w:p>
        </w:tc>
        <w:tc>
          <w:tcPr>
            <w:tcW w:w="1181" w:type="dxa"/>
            <w:tcBorders>
              <w:top w:val="nil"/>
              <w:left w:val="nil"/>
              <w:bottom w:val="single" w:sz="4" w:space="0" w:color="auto"/>
              <w:right w:val="single" w:sz="4" w:space="0" w:color="auto"/>
            </w:tcBorders>
            <w:shd w:val="clear" w:color="auto" w:fill="auto"/>
            <w:noWrap/>
            <w:vAlign w:val="bottom"/>
            <w:hideMark/>
          </w:tcPr>
          <w:p w14:paraId="1B88D9E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11,96</w:t>
            </w:r>
          </w:p>
        </w:tc>
      </w:tr>
      <w:tr w:rsidR="00BF12D5" w:rsidRPr="00BD0223" w14:paraId="107BF5AE"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1993484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GURINHATA</w:t>
            </w:r>
          </w:p>
        </w:tc>
        <w:tc>
          <w:tcPr>
            <w:tcW w:w="1182" w:type="dxa"/>
            <w:tcBorders>
              <w:top w:val="nil"/>
              <w:left w:val="nil"/>
              <w:bottom w:val="single" w:sz="4" w:space="0" w:color="auto"/>
              <w:right w:val="single" w:sz="4" w:space="0" w:color="auto"/>
            </w:tcBorders>
            <w:shd w:val="clear" w:color="auto" w:fill="auto"/>
            <w:noWrap/>
            <w:vAlign w:val="bottom"/>
            <w:hideMark/>
          </w:tcPr>
          <w:p w14:paraId="4248BC1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0,69</w:t>
            </w:r>
          </w:p>
        </w:tc>
        <w:tc>
          <w:tcPr>
            <w:tcW w:w="1181" w:type="dxa"/>
            <w:tcBorders>
              <w:top w:val="nil"/>
              <w:left w:val="nil"/>
              <w:bottom w:val="single" w:sz="4" w:space="0" w:color="auto"/>
              <w:right w:val="single" w:sz="4" w:space="0" w:color="auto"/>
            </w:tcBorders>
            <w:shd w:val="clear" w:color="auto" w:fill="auto"/>
            <w:noWrap/>
            <w:vAlign w:val="bottom"/>
            <w:hideMark/>
          </w:tcPr>
          <w:p w14:paraId="7B6562B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0,72</w:t>
            </w:r>
          </w:p>
        </w:tc>
        <w:tc>
          <w:tcPr>
            <w:tcW w:w="1181" w:type="dxa"/>
            <w:tcBorders>
              <w:top w:val="nil"/>
              <w:left w:val="nil"/>
              <w:bottom w:val="single" w:sz="4" w:space="0" w:color="auto"/>
              <w:right w:val="single" w:sz="4" w:space="0" w:color="auto"/>
            </w:tcBorders>
            <w:shd w:val="clear" w:color="auto" w:fill="auto"/>
            <w:noWrap/>
            <w:vAlign w:val="bottom"/>
            <w:hideMark/>
          </w:tcPr>
          <w:p w14:paraId="7B894A4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0,86</w:t>
            </w:r>
          </w:p>
        </w:tc>
        <w:tc>
          <w:tcPr>
            <w:tcW w:w="1181" w:type="dxa"/>
            <w:tcBorders>
              <w:top w:val="nil"/>
              <w:left w:val="nil"/>
              <w:bottom w:val="single" w:sz="4" w:space="0" w:color="auto"/>
              <w:right w:val="single" w:sz="4" w:space="0" w:color="auto"/>
            </w:tcBorders>
            <w:shd w:val="clear" w:color="auto" w:fill="auto"/>
            <w:noWrap/>
            <w:vAlign w:val="bottom"/>
            <w:hideMark/>
          </w:tcPr>
          <w:p w14:paraId="5CF304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0,86</w:t>
            </w:r>
          </w:p>
        </w:tc>
        <w:tc>
          <w:tcPr>
            <w:tcW w:w="1181" w:type="dxa"/>
            <w:tcBorders>
              <w:top w:val="nil"/>
              <w:left w:val="nil"/>
              <w:bottom w:val="single" w:sz="4" w:space="0" w:color="auto"/>
              <w:right w:val="single" w:sz="4" w:space="0" w:color="auto"/>
            </w:tcBorders>
            <w:shd w:val="clear" w:color="auto" w:fill="auto"/>
            <w:noWrap/>
            <w:vAlign w:val="bottom"/>
            <w:hideMark/>
          </w:tcPr>
          <w:p w14:paraId="7206F89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0,87</w:t>
            </w:r>
          </w:p>
        </w:tc>
      </w:tr>
      <w:tr w:rsidR="00BF12D5" w:rsidRPr="00BD0223" w14:paraId="040FDC43"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7E8CBD7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INDIANOPOLIS</w:t>
            </w:r>
          </w:p>
        </w:tc>
        <w:tc>
          <w:tcPr>
            <w:tcW w:w="1182" w:type="dxa"/>
            <w:tcBorders>
              <w:top w:val="nil"/>
              <w:left w:val="nil"/>
              <w:bottom w:val="single" w:sz="4" w:space="0" w:color="auto"/>
              <w:right w:val="single" w:sz="4" w:space="0" w:color="auto"/>
            </w:tcBorders>
            <w:shd w:val="clear" w:color="auto" w:fill="auto"/>
            <w:noWrap/>
            <w:vAlign w:val="bottom"/>
            <w:hideMark/>
          </w:tcPr>
          <w:p w14:paraId="784E8E3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1,15</w:t>
            </w:r>
          </w:p>
        </w:tc>
        <w:tc>
          <w:tcPr>
            <w:tcW w:w="1181" w:type="dxa"/>
            <w:tcBorders>
              <w:top w:val="nil"/>
              <w:left w:val="nil"/>
              <w:bottom w:val="single" w:sz="4" w:space="0" w:color="auto"/>
              <w:right w:val="single" w:sz="4" w:space="0" w:color="auto"/>
            </w:tcBorders>
            <w:shd w:val="clear" w:color="auto" w:fill="auto"/>
            <w:noWrap/>
            <w:vAlign w:val="bottom"/>
            <w:hideMark/>
          </w:tcPr>
          <w:p w14:paraId="78B205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1,15</w:t>
            </w:r>
          </w:p>
        </w:tc>
        <w:tc>
          <w:tcPr>
            <w:tcW w:w="1181" w:type="dxa"/>
            <w:tcBorders>
              <w:top w:val="nil"/>
              <w:left w:val="nil"/>
              <w:bottom w:val="single" w:sz="4" w:space="0" w:color="auto"/>
              <w:right w:val="single" w:sz="4" w:space="0" w:color="auto"/>
            </w:tcBorders>
            <w:shd w:val="clear" w:color="auto" w:fill="auto"/>
            <w:noWrap/>
            <w:vAlign w:val="bottom"/>
            <w:hideMark/>
          </w:tcPr>
          <w:p w14:paraId="6079C64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1,16</w:t>
            </w:r>
          </w:p>
        </w:tc>
        <w:tc>
          <w:tcPr>
            <w:tcW w:w="1181" w:type="dxa"/>
            <w:tcBorders>
              <w:top w:val="nil"/>
              <w:left w:val="nil"/>
              <w:bottom w:val="single" w:sz="4" w:space="0" w:color="auto"/>
              <w:right w:val="single" w:sz="4" w:space="0" w:color="auto"/>
            </w:tcBorders>
            <w:shd w:val="clear" w:color="auto" w:fill="auto"/>
            <w:noWrap/>
            <w:vAlign w:val="bottom"/>
            <w:hideMark/>
          </w:tcPr>
          <w:p w14:paraId="3AB86EE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1,03</w:t>
            </w:r>
          </w:p>
        </w:tc>
        <w:tc>
          <w:tcPr>
            <w:tcW w:w="1181" w:type="dxa"/>
            <w:tcBorders>
              <w:top w:val="nil"/>
              <w:left w:val="nil"/>
              <w:bottom w:val="single" w:sz="4" w:space="0" w:color="auto"/>
              <w:right w:val="single" w:sz="4" w:space="0" w:color="auto"/>
            </w:tcBorders>
            <w:shd w:val="clear" w:color="auto" w:fill="auto"/>
            <w:noWrap/>
            <w:vAlign w:val="bottom"/>
            <w:hideMark/>
          </w:tcPr>
          <w:p w14:paraId="508471D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1,70</w:t>
            </w:r>
          </w:p>
        </w:tc>
      </w:tr>
      <w:tr w:rsidR="00BF12D5" w:rsidRPr="00BD0223" w14:paraId="75F10F10"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6F81AEA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IPIACU</w:t>
            </w:r>
          </w:p>
        </w:tc>
        <w:tc>
          <w:tcPr>
            <w:tcW w:w="1182" w:type="dxa"/>
            <w:tcBorders>
              <w:top w:val="nil"/>
              <w:left w:val="nil"/>
              <w:bottom w:val="single" w:sz="4" w:space="0" w:color="auto"/>
              <w:right w:val="single" w:sz="4" w:space="0" w:color="auto"/>
            </w:tcBorders>
            <w:shd w:val="clear" w:color="auto" w:fill="auto"/>
            <w:noWrap/>
            <w:vAlign w:val="bottom"/>
            <w:hideMark/>
          </w:tcPr>
          <w:p w14:paraId="5D17603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0,38</w:t>
            </w:r>
          </w:p>
        </w:tc>
        <w:tc>
          <w:tcPr>
            <w:tcW w:w="1181" w:type="dxa"/>
            <w:tcBorders>
              <w:top w:val="nil"/>
              <w:left w:val="nil"/>
              <w:bottom w:val="single" w:sz="4" w:space="0" w:color="auto"/>
              <w:right w:val="single" w:sz="4" w:space="0" w:color="auto"/>
            </w:tcBorders>
            <w:shd w:val="clear" w:color="auto" w:fill="auto"/>
            <w:noWrap/>
            <w:vAlign w:val="bottom"/>
            <w:hideMark/>
          </w:tcPr>
          <w:p w14:paraId="64D211F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0,47</w:t>
            </w:r>
          </w:p>
        </w:tc>
        <w:tc>
          <w:tcPr>
            <w:tcW w:w="1181" w:type="dxa"/>
            <w:tcBorders>
              <w:top w:val="nil"/>
              <w:left w:val="nil"/>
              <w:bottom w:val="single" w:sz="4" w:space="0" w:color="auto"/>
              <w:right w:val="single" w:sz="4" w:space="0" w:color="auto"/>
            </w:tcBorders>
            <w:shd w:val="clear" w:color="auto" w:fill="auto"/>
            <w:noWrap/>
            <w:vAlign w:val="bottom"/>
            <w:hideMark/>
          </w:tcPr>
          <w:p w14:paraId="6A0711B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0,63</w:t>
            </w:r>
          </w:p>
        </w:tc>
        <w:tc>
          <w:tcPr>
            <w:tcW w:w="1181" w:type="dxa"/>
            <w:tcBorders>
              <w:top w:val="nil"/>
              <w:left w:val="nil"/>
              <w:bottom w:val="single" w:sz="4" w:space="0" w:color="auto"/>
              <w:right w:val="single" w:sz="4" w:space="0" w:color="auto"/>
            </w:tcBorders>
            <w:shd w:val="clear" w:color="auto" w:fill="auto"/>
            <w:noWrap/>
            <w:vAlign w:val="bottom"/>
            <w:hideMark/>
          </w:tcPr>
          <w:p w14:paraId="2C40223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0,57</w:t>
            </w:r>
          </w:p>
        </w:tc>
        <w:tc>
          <w:tcPr>
            <w:tcW w:w="1181" w:type="dxa"/>
            <w:tcBorders>
              <w:top w:val="nil"/>
              <w:left w:val="nil"/>
              <w:bottom w:val="single" w:sz="4" w:space="0" w:color="auto"/>
              <w:right w:val="single" w:sz="4" w:space="0" w:color="auto"/>
            </w:tcBorders>
            <w:shd w:val="clear" w:color="auto" w:fill="auto"/>
            <w:noWrap/>
            <w:vAlign w:val="bottom"/>
            <w:hideMark/>
          </w:tcPr>
          <w:p w14:paraId="336CF49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0,55</w:t>
            </w:r>
          </w:p>
        </w:tc>
      </w:tr>
      <w:tr w:rsidR="00BF12D5" w:rsidRPr="00BD0223" w14:paraId="2EEFB78B"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3BDBC57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ITAPAGIPE</w:t>
            </w:r>
          </w:p>
        </w:tc>
        <w:tc>
          <w:tcPr>
            <w:tcW w:w="1182" w:type="dxa"/>
            <w:tcBorders>
              <w:top w:val="nil"/>
              <w:left w:val="nil"/>
              <w:bottom w:val="single" w:sz="4" w:space="0" w:color="auto"/>
              <w:right w:val="single" w:sz="4" w:space="0" w:color="auto"/>
            </w:tcBorders>
            <w:shd w:val="clear" w:color="auto" w:fill="auto"/>
            <w:noWrap/>
            <w:vAlign w:val="bottom"/>
            <w:hideMark/>
          </w:tcPr>
          <w:p w14:paraId="7933020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1,34</w:t>
            </w:r>
          </w:p>
        </w:tc>
        <w:tc>
          <w:tcPr>
            <w:tcW w:w="1181" w:type="dxa"/>
            <w:tcBorders>
              <w:top w:val="nil"/>
              <w:left w:val="nil"/>
              <w:bottom w:val="single" w:sz="4" w:space="0" w:color="auto"/>
              <w:right w:val="single" w:sz="4" w:space="0" w:color="auto"/>
            </w:tcBorders>
            <w:shd w:val="clear" w:color="auto" w:fill="auto"/>
            <w:noWrap/>
            <w:vAlign w:val="bottom"/>
            <w:hideMark/>
          </w:tcPr>
          <w:p w14:paraId="34E1AF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1,41</w:t>
            </w:r>
          </w:p>
        </w:tc>
        <w:tc>
          <w:tcPr>
            <w:tcW w:w="1181" w:type="dxa"/>
            <w:tcBorders>
              <w:top w:val="nil"/>
              <w:left w:val="nil"/>
              <w:bottom w:val="single" w:sz="4" w:space="0" w:color="auto"/>
              <w:right w:val="single" w:sz="4" w:space="0" w:color="auto"/>
            </w:tcBorders>
            <w:shd w:val="clear" w:color="auto" w:fill="auto"/>
            <w:noWrap/>
            <w:vAlign w:val="bottom"/>
            <w:hideMark/>
          </w:tcPr>
          <w:p w14:paraId="510EA7B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1,69</w:t>
            </w:r>
          </w:p>
        </w:tc>
        <w:tc>
          <w:tcPr>
            <w:tcW w:w="1181" w:type="dxa"/>
            <w:tcBorders>
              <w:top w:val="nil"/>
              <w:left w:val="nil"/>
              <w:bottom w:val="single" w:sz="4" w:space="0" w:color="auto"/>
              <w:right w:val="single" w:sz="4" w:space="0" w:color="auto"/>
            </w:tcBorders>
            <w:shd w:val="clear" w:color="auto" w:fill="auto"/>
            <w:noWrap/>
            <w:vAlign w:val="bottom"/>
            <w:hideMark/>
          </w:tcPr>
          <w:p w14:paraId="3A43E3C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1,76</w:t>
            </w:r>
          </w:p>
        </w:tc>
        <w:tc>
          <w:tcPr>
            <w:tcW w:w="1181" w:type="dxa"/>
            <w:tcBorders>
              <w:top w:val="nil"/>
              <w:left w:val="nil"/>
              <w:bottom w:val="single" w:sz="4" w:space="0" w:color="auto"/>
              <w:right w:val="single" w:sz="4" w:space="0" w:color="auto"/>
            </w:tcBorders>
            <w:shd w:val="clear" w:color="auto" w:fill="auto"/>
            <w:noWrap/>
            <w:vAlign w:val="bottom"/>
            <w:hideMark/>
          </w:tcPr>
          <w:p w14:paraId="598719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1,73</w:t>
            </w:r>
          </w:p>
        </w:tc>
      </w:tr>
      <w:tr w:rsidR="00BF12D5" w:rsidRPr="00BD0223" w14:paraId="5B3147F6"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3D6118D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ITUIUTABA</w:t>
            </w:r>
          </w:p>
        </w:tc>
        <w:tc>
          <w:tcPr>
            <w:tcW w:w="1182" w:type="dxa"/>
            <w:tcBorders>
              <w:top w:val="nil"/>
              <w:left w:val="nil"/>
              <w:bottom w:val="single" w:sz="4" w:space="0" w:color="auto"/>
              <w:right w:val="single" w:sz="4" w:space="0" w:color="auto"/>
            </w:tcBorders>
            <w:shd w:val="clear" w:color="auto" w:fill="auto"/>
            <w:noWrap/>
            <w:vAlign w:val="bottom"/>
            <w:hideMark/>
          </w:tcPr>
          <w:p w14:paraId="5103365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18,57</w:t>
            </w:r>
          </w:p>
        </w:tc>
        <w:tc>
          <w:tcPr>
            <w:tcW w:w="1181" w:type="dxa"/>
            <w:tcBorders>
              <w:top w:val="nil"/>
              <w:left w:val="nil"/>
              <w:bottom w:val="single" w:sz="4" w:space="0" w:color="auto"/>
              <w:right w:val="single" w:sz="4" w:space="0" w:color="auto"/>
            </w:tcBorders>
            <w:shd w:val="clear" w:color="auto" w:fill="auto"/>
            <w:noWrap/>
            <w:vAlign w:val="bottom"/>
            <w:hideMark/>
          </w:tcPr>
          <w:p w14:paraId="03497F7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21,78</w:t>
            </w:r>
          </w:p>
        </w:tc>
        <w:tc>
          <w:tcPr>
            <w:tcW w:w="1181" w:type="dxa"/>
            <w:tcBorders>
              <w:top w:val="nil"/>
              <w:left w:val="nil"/>
              <w:bottom w:val="single" w:sz="4" w:space="0" w:color="auto"/>
              <w:right w:val="single" w:sz="4" w:space="0" w:color="auto"/>
            </w:tcBorders>
            <w:shd w:val="clear" w:color="auto" w:fill="auto"/>
            <w:noWrap/>
            <w:vAlign w:val="bottom"/>
            <w:hideMark/>
          </w:tcPr>
          <w:p w14:paraId="35AB4D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23,40</w:t>
            </w:r>
          </w:p>
        </w:tc>
        <w:tc>
          <w:tcPr>
            <w:tcW w:w="1181" w:type="dxa"/>
            <w:tcBorders>
              <w:top w:val="nil"/>
              <w:left w:val="nil"/>
              <w:bottom w:val="single" w:sz="4" w:space="0" w:color="auto"/>
              <w:right w:val="single" w:sz="4" w:space="0" w:color="auto"/>
            </w:tcBorders>
            <w:shd w:val="clear" w:color="auto" w:fill="auto"/>
            <w:noWrap/>
            <w:vAlign w:val="bottom"/>
            <w:hideMark/>
          </w:tcPr>
          <w:p w14:paraId="07CF92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23,10</w:t>
            </w:r>
          </w:p>
        </w:tc>
        <w:tc>
          <w:tcPr>
            <w:tcW w:w="1181" w:type="dxa"/>
            <w:tcBorders>
              <w:top w:val="nil"/>
              <w:left w:val="nil"/>
              <w:bottom w:val="single" w:sz="4" w:space="0" w:color="auto"/>
              <w:right w:val="single" w:sz="4" w:space="0" w:color="auto"/>
            </w:tcBorders>
            <w:shd w:val="clear" w:color="auto" w:fill="auto"/>
            <w:noWrap/>
            <w:vAlign w:val="bottom"/>
            <w:hideMark/>
          </w:tcPr>
          <w:p w14:paraId="413CF93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25,47</w:t>
            </w:r>
          </w:p>
        </w:tc>
      </w:tr>
      <w:tr w:rsidR="00BF12D5" w:rsidRPr="00BD0223" w14:paraId="3532A42C"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0CA27CD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ITURAMA</w:t>
            </w:r>
          </w:p>
        </w:tc>
        <w:tc>
          <w:tcPr>
            <w:tcW w:w="1182" w:type="dxa"/>
            <w:tcBorders>
              <w:top w:val="nil"/>
              <w:left w:val="nil"/>
              <w:bottom w:val="single" w:sz="4" w:space="0" w:color="auto"/>
              <w:right w:val="single" w:sz="4" w:space="0" w:color="auto"/>
            </w:tcBorders>
            <w:shd w:val="clear" w:color="auto" w:fill="auto"/>
            <w:noWrap/>
            <w:vAlign w:val="bottom"/>
            <w:hideMark/>
          </w:tcPr>
          <w:p w14:paraId="509B063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5,23</w:t>
            </w:r>
          </w:p>
        </w:tc>
        <w:tc>
          <w:tcPr>
            <w:tcW w:w="1181" w:type="dxa"/>
            <w:tcBorders>
              <w:top w:val="nil"/>
              <w:left w:val="nil"/>
              <w:bottom w:val="single" w:sz="4" w:space="0" w:color="auto"/>
              <w:right w:val="single" w:sz="4" w:space="0" w:color="auto"/>
            </w:tcBorders>
            <w:shd w:val="clear" w:color="auto" w:fill="auto"/>
            <w:noWrap/>
            <w:vAlign w:val="bottom"/>
            <w:hideMark/>
          </w:tcPr>
          <w:p w14:paraId="664B215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6,95</w:t>
            </w:r>
          </w:p>
        </w:tc>
        <w:tc>
          <w:tcPr>
            <w:tcW w:w="1181" w:type="dxa"/>
            <w:tcBorders>
              <w:top w:val="nil"/>
              <w:left w:val="nil"/>
              <w:bottom w:val="single" w:sz="4" w:space="0" w:color="auto"/>
              <w:right w:val="single" w:sz="4" w:space="0" w:color="auto"/>
            </w:tcBorders>
            <w:shd w:val="clear" w:color="auto" w:fill="auto"/>
            <w:noWrap/>
            <w:vAlign w:val="bottom"/>
            <w:hideMark/>
          </w:tcPr>
          <w:p w14:paraId="6B4BA00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8,18</w:t>
            </w:r>
          </w:p>
        </w:tc>
        <w:tc>
          <w:tcPr>
            <w:tcW w:w="1181" w:type="dxa"/>
            <w:tcBorders>
              <w:top w:val="nil"/>
              <w:left w:val="nil"/>
              <w:bottom w:val="single" w:sz="4" w:space="0" w:color="auto"/>
              <w:right w:val="single" w:sz="4" w:space="0" w:color="auto"/>
            </w:tcBorders>
            <w:shd w:val="clear" w:color="auto" w:fill="auto"/>
            <w:noWrap/>
            <w:vAlign w:val="bottom"/>
            <w:hideMark/>
          </w:tcPr>
          <w:p w14:paraId="4F475C6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8,86</w:t>
            </w:r>
          </w:p>
        </w:tc>
        <w:tc>
          <w:tcPr>
            <w:tcW w:w="1181" w:type="dxa"/>
            <w:tcBorders>
              <w:top w:val="nil"/>
              <w:left w:val="nil"/>
              <w:bottom w:val="single" w:sz="4" w:space="0" w:color="auto"/>
              <w:right w:val="single" w:sz="4" w:space="0" w:color="auto"/>
            </w:tcBorders>
            <w:shd w:val="clear" w:color="auto" w:fill="auto"/>
            <w:noWrap/>
            <w:vAlign w:val="bottom"/>
            <w:hideMark/>
          </w:tcPr>
          <w:p w14:paraId="7FB09AE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9,15</w:t>
            </w:r>
          </w:p>
        </w:tc>
      </w:tr>
      <w:tr w:rsidR="00BF12D5" w:rsidRPr="00BD0223" w14:paraId="5ABDA924"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72D0FE5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LIMEIRA DO OESTE</w:t>
            </w:r>
          </w:p>
        </w:tc>
        <w:tc>
          <w:tcPr>
            <w:tcW w:w="1182" w:type="dxa"/>
            <w:tcBorders>
              <w:top w:val="nil"/>
              <w:left w:val="nil"/>
              <w:bottom w:val="single" w:sz="4" w:space="0" w:color="auto"/>
              <w:right w:val="single" w:sz="4" w:space="0" w:color="auto"/>
            </w:tcBorders>
            <w:shd w:val="clear" w:color="auto" w:fill="auto"/>
            <w:noWrap/>
            <w:vAlign w:val="bottom"/>
            <w:hideMark/>
          </w:tcPr>
          <w:p w14:paraId="56B9CE4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0,87</w:t>
            </w:r>
          </w:p>
        </w:tc>
        <w:tc>
          <w:tcPr>
            <w:tcW w:w="1181" w:type="dxa"/>
            <w:tcBorders>
              <w:top w:val="nil"/>
              <w:left w:val="nil"/>
              <w:bottom w:val="single" w:sz="4" w:space="0" w:color="auto"/>
              <w:right w:val="single" w:sz="4" w:space="0" w:color="auto"/>
            </w:tcBorders>
            <w:shd w:val="clear" w:color="auto" w:fill="auto"/>
            <w:noWrap/>
            <w:vAlign w:val="bottom"/>
            <w:hideMark/>
          </w:tcPr>
          <w:p w14:paraId="312A89A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1,21</w:t>
            </w:r>
          </w:p>
        </w:tc>
        <w:tc>
          <w:tcPr>
            <w:tcW w:w="1181" w:type="dxa"/>
            <w:tcBorders>
              <w:top w:val="nil"/>
              <w:left w:val="nil"/>
              <w:bottom w:val="single" w:sz="4" w:space="0" w:color="auto"/>
              <w:right w:val="single" w:sz="4" w:space="0" w:color="auto"/>
            </w:tcBorders>
            <w:shd w:val="clear" w:color="auto" w:fill="auto"/>
            <w:noWrap/>
            <w:vAlign w:val="bottom"/>
            <w:hideMark/>
          </w:tcPr>
          <w:p w14:paraId="47EE9C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1,35</w:t>
            </w:r>
          </w:p>
        </w:tc>
        <w:tc>
          <w:tcPr>
            <w:tcW w:w="1181" w:type="dxa"/>
            <w:tcBorders>
              <w:top w:val="nil"/>
              <w:left w:val="nil"/>
              <w:bottom w:val="single" w:sz="4" w:space="0" w:color="auto"/>
              <w:right w:val="single" w:sz="4" w:space="0" w:color="auto"/>
            </w:tcBorders>
            <w:shd w:val="clear" w:color="auto" w:fill="auto"/>
            <w:noWrap/>
            <w:vAlign w:val="bottom"/>
            <w:hideMark/>
          </w:tcPr>
          <w:p w14:paraId="27EAA7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1,42</w:t>
            </w:r>
          </w:p>
        </w:tc>
        <w:tc>
          <w:tcPr>
            <w:tcW w:w="1181" w:type="dxa"/>
            <w:tcBorders>
              <w:top w:val="nil"/>
              <w:left w:val="nil"/>
              <w:bottom w:val="single" w:sz="4" w:space="0" w:color="auto"/>
              <w:right w:val="single" w:sz="4" w:space="0" w:color="auto"/>
            </w:tcBorders>
            <w:shd w:val="clear" w:color="auto" w:fill="auto"/>
            <w:noWrap/>
            <w:vAlign w:val="bottom"/>
            <w:hideMark/>
          </w:tcPr>
          <w:p w14:paraId="7035CB1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1,49</w:t>
            </w:r>
          </w:p>
        </w:tc>
      </w:tr>
      <w:tr w:rsidR="00BF12D5" w:rsidRPr="00BD0223" w14:paraId="4D0F3090"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390EBE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MONTE ALEGRE DE MINAS</w:t>
            </w:r>
          </w:p>
        </w:tc>
        <w:tc>
          <w:tcPr>
            <w:tcW w:w="1182" w:type="dxa"/>
            <w:tcBorders>
              <w:top w:val="nil"/>
              <w:left w:val="nil"/>
              <w:bottom w:val="single" w:sz="4" w:space="0" w:color="auto"/>
              <w:right w:val="single" w:sz="4" w:space="0" w:color="auto"/>
            </w:tcBorders>
            <w:shd w:val="clear" w:color="auto" w:fill="auto"/>
            <w:noWrap/>
            <w:vAlign w:val="bottom"/>
            <w:hideMark/>
          </w:tcPr>
          <w:p w14:paraId="05A71286" w14:textId="77777777" w:rsidR="00BF12D5" w:rsidRPr="00BD0223" w:rsidRDefault="00BF12D5" w:rsidP="0039539B">
            <w:pPr>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5,17</w:t>
            </w:r>
          </w:p>
        </w:tc>
        <w:tc>
          <w:tcPr>
            <w:tcW w:w="1181" w:type="dxa"/>
            <w:tcBorders>
              <w:top w:val="nil"/>
              <w:left w:val="nil"/>
              <w:bottom w:val="single" w:sz="4" w:space="0" w:color="auto"/>
              <w:right w:val="single" w:sz="4" w:space="0" w:color="auto"/>
            </w:tcBorders>
            <w:shd w:val="clear" w:color="auto" w:fill="auto"/>
            <w:noWrap/>
            <w:vAlign w:val="bottom"/>
            <w:hideMark/>
          </w:tcPr>
          <w:p w14:paraId="757E58E5" w14:textId="77777777" w:rsidR="00BF12D5" w:rsidRPr="00BD0223" w:rsidRDefault="00BF12D5" w:rsidP="0039539B">
            <w:pPr>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6,14</w:t>
            </w:r>
          </w:p>
        </w:tc>
        <w:tc>
          <w:tcPr>
            <w:tcW w:w="1181" w:type="dxa"/>
            <w:tcBorders>
              <w:top w:val="nil"/>
              <w:left w:val="nil"/>
              <w:bottom w:val="single" w:sz="4" w:space="0" w:color="auto"/>
              <w:right w:val="single" w:sz="4" w:space="0" w:color="auto"/>
            </w:tcBorders>
            <w:shd w:val="clear" w:color="auto" w:fill="auto"/>
            <w:noWrap/>
            <w:vAlign w:val="bottom"/>
            <w:hideMark/>
          </w:tcPr>
          <w:p w14:paraId="0B254E91" w14:textId="77777777" w:rsidR="00BF12D5" w:rsidRPr="00BD0223" w:rsidRDefault="00BF12D5" w:rsidP="0039539B">
            <w:pPr>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6,74</w:t>
            </w:r>
          </w:p>
        </w:tc>
        <w:tc>
          <w:tcPr>
            <w:tcW w:w="1181" w:type="dxa"/>
            <w:tcBorders>
              <w:top w:val="nil"/>
              <w:left w:val="nil"/>
              <w:bottom w:val="single" w:sz="4" w:space="0" w:color="auto"/>
              <w:right w:val="single" w:sz="4" w:space="0" w:color="auto"/>
            </w:tcBorders>
            <w:shd w:val="clear" w:color="auto" w:fill="auto"/>
            <w:noWrap/>
            <w:vAlign w:val="bottom"/>
            <w:hideMark/>
          </w:tcPr>
          <w:p w14:paraId="3143D071" w14:textId="77777777" w:rsidR="00BF12D5" w:rsidRPr="00BD0223" w:rsidRDefault="00BF12D5" w:rsidP="0039539B">
            <w:pPr>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7,32</w:t>
            </w:r>
          </w:p>
        </w:tc>
        <w:tc>
          <w:tcPr>
            <w:tcW w:w="1181" w:type="dxa"/>
            <w:tcBorders>
              <w:top w:val="nil"/>
              <w:left w:val="nil"/>
              <w:bottom w:val="single" w:sz="4" w:space="0" w:color="auto"/>
              <w:right w:val="single" w:sz="4" w:space="0" w:color="auto"/>
            </w:tcBorders>
            <w:shd w:val="clear" w:color="auto" w:fill="auto"/>
            <w:noWrap/>
            <w:vAlign w:val="bottom"/>
            <w:hideMark/>
          </w:tcPr>
          <w:p w14:paraId="11A048A2" w14:textId="77777777" w:rsidR="00BF12D5" w:rsidRPr="00BD0223" w:rsidRDefault="00BF12D5" w:rsidP="0039539B">
            <w:pPr>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8,39</w:t>
            </w:r>
          </w:p>
        </w:tc>
      </w:tr>
      <w:tr w:rsidR="00BF12D5" w:rsidRPr="00BD0223" w14:paraId="2B6841B0"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5AC6E99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PIRAJUBA</w:t>
            </w:r>
          </w:p>
        </w:tc>
        <w:tc>
          <w:tcPr>
            <w:tcW w:w="1182" w:type="dxa"/>
            <w:tcBorders>
              <w:top w:val="nil"/>
              <w:left w:val="nil"/>
              <w:bottom w:val="single" w:sz="4" w:space="0" w:color="auto"/>
              <w:right w:val="single" w:sz="4" w:space="0" w:color="auto"/>
            </w:tcBorders>
            <w:shd w:val="clear" w:color="auto" w:fill="auto"/>
            <w:noWrap/>
            <w:vAlign w:val="bottom"/>
            <w:hideMark/>
          </w:tcPr>
          <w:p w14:paraId="1BFD1C0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1,16</w:t>
            </w:r>
          </w:p>
        </w:tc>
        <w:tc>
          <w:tcPr>
            <w:tcW w:w="1181" w:type="dxa"/>
            <w:tcBorders>
              <w:top w:val="nil"/>
              <w:left w:val="nil"/>
              <w:bottom w:val="single" w:sz="4" w:space="0" w:color="auto"/>
              <w:right w:val="single" w:sz="4" w:space="0" w:color="auto"/>
            </w:tcBorders>
            <w:shd w:val="clear" w:color="auto" w:fill="auto"/>
            <w:noWrap/>
            <w:vAlign w:val="bottom"/>
            <w:hideMark/>
          </w:tcPr>
          <w:p w14:paraId="582A0DC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0,38</w:t>
            </w:r>
          </w:p>
        </w:tc>
        <w:tc>
          <w:tcPr>
            <w:tcW w:w="1181" w:type="dxa"/>
            <w:tcBorders>
              <w:top w:val="nil"/>
              <w:left w:val="nil"/>
              <w:bottom w:val="single" w:sz="4" w:space="0" w:color="auto"/>
              <w:right w:val="single" w:sz="4" w:space="0" w:color="auto"/>
            </w:tcBorders>
            <w:shd w:val="clear" w:color="auto" w:fill="auto"/>
            <w:noWrap/>
            <w:vAlign w:val="bottom"/>
            <w:hideMark/>
          </w:tcPr>
          <w:p w14:paraId="605EF9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181" w:type="dxa"/>
            <w:tcBorders>
              <w:top w:val="nil"/>
              <w:left w:val="nil"/>
              <w:bottom w:val="single" w:sz="4" w:space="0" w:color="auto"/>
              <w:right w:val="single" w:sz="4" w:space="0" w:color="auto"/>
            </w:tcBorders>
            <w:shd w:val="clear" w:color="auto" w:fill="auto"/>
            <w:noWrap/>
            <w:vAlign w:val="bottom"/>
            <w:hideMark/>
          </w:tcPr>
          <w:p w14:paraId="369214F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0,35</w:t>
            </w:r>
          </w:p>
        </w:tc>
        <w:tc>
          <w:tcPr>
            <w:tcW w:w="1181" w:type="dxa"/>
            <w:tcBorders>
              <w:top w:val="nil"/>
              <w:left w:val="nil"/>
              <w:bottom w:val="single" w:sz="4" w:space="0" w:color="auto"/>
              <w:right w:val="single" w:sz="4" w:space="0" w:color="auto"/>
            </w:tcBorders>
            <w:shd w:val="clear" w:color="auto" w:fill="auto"/>
            <w:noWrap/>
            <w:vAlign w:val="bottom"/>
            <w:hideMark/>
          </w:tcPr>
          <w:p w14:paraId="1D3C3FC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0,59</w:t>
            </w:r>
          </w:p>
        </w:tc>
      </w:tr>
      <w:tr w:rsidR="00BF12D5" w:rsidRPr="00BD0223" w14:paraId="188514F4"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59ACC8D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PLANURA</w:t>
            </w:r>
          </w:p>
        </w:tc>
        <w:tc>
          <w:tcPr>
            <w:tcW w:w="1182" w:type="dxa"/>
            <w:tcBorders>
              <w:top w:val="nil"/>
              <w:left w:val="nil"/>
              <w:bottom w:val="single" w:sz="4" w:space="0" w:color="auto"/>
              <w:right w:val="single" w:sz="4" w:space="0" w:color="auto"/>
            </w:tcBorders>
            <w:shd w:val="clear" w:color="auto" w:fill="auto"/>
            <w:noWrap/>
            <w:vAlign w:val="bottom"/>
            <w:hideMark/>
          </w:tcPr>
          <w:p w14:paraId="54A1BA0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0,33</w:t>
            </w:r>
          </w:p>
        </w:tc>
        <w:tc>
          <w:tcPr>
            <w:tcW w:w="1181" w:type="dxa"/>
            <w:tcBorders>
              <w:top w:val="nil"/>
              <w:left w:val="nil"/>
              <w:bottom w:val="single" w:sz="4" w:space="0" w:color="auto"/>
              <w:right w:val="single" w:sz="4" w:space="0" w:color="auto"/>
            </w:tcBorders>
            <w:shd w:val="clear" w:color="auto" w:fill="auto"/>
            <w:noWrap/>
            <w:vAlign w:val="bottom"/>
            <w:hideMark/>
          </w:tcPr>
          <w:p w14:paraId="5B6A2A7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0,14</w:t>
            </w:r>
          </w:p>
        </w:tc>
        <w:tc>
          <w:tcPr>
            <w:tcW w:w="1181" w:type="dxa"/>
            <w:tcBorders>
              <w:top w:val="nil"/>
              <w:left w:val="nil"/>
              <w:bottom w:val="single" w:sz="4" w:space="0" w:color="auto"/>
              <w:right w:val="single" w:sz="4" w:space="0" w:color="auto"/>
            </w:tcBorders>
            <w:shd w:val="clear" w:color="auto" w:fill="auto"/>
            <w:noWrap/>
            <w:vAlign w:val="bottom"/>
            <w:hideMark/>
          </w:tcPr>
          <w:p w14:paraId="12EB9FC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0,40</w:t>
            </w:r>
          </w:p>
        </w:tc>
        <w:tc>
          <w:tcPr>
            <w:tcW w:w="1181" w:type="dxa"/>
            <w:tcBorders>
              <w:top w:val="nil"/>
              <w:left w:val="nil"/>
              <w:bottom w:val="single" w:sz="4" w:space="0" w:color="auto"/>
              <w:right w:val="single" w:sz="4" w:space="0" w:color="auto"/>
            </w:tcBorders>
            <w:shd w:val="clear" w:color="auto" w:fill="auto"/>
            <w:noWrap/>
            <w:vAlign w:val="bottom"/>
            <w:hideMark/>
          </w:tcPr>
          <w:p w14:paraId="745D3D8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0,14</w:t>
            </w:r>
          </w:p>
        </w:tc>
        <w:tc>
          <w:tcPr>
            <w:tcW w:w="1181" w:type="dxa"/>
            <w:tcBorders>
              <w:top w:val="nil"/>
              <w:left w:val="nil"/>
              <w:bottom w:val="single" w:sz="4" w:space="0" w:color="auto"/>
              <w:right w:val="single" w:sz="4" w:space="0" w:color="auto"/>
            </w:tcBorders>
            <w:shd w:val="clear" w:color="auto" w:fill="auto"/>
            <w:noWrap/>
            <w:vAlign w:val="bottom"/>
            <w:hideMark/>
          </w:tcPr>
          <w:p w14:paraId="380E52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0,35</w:t>
            </w:r>
          </w:p>
        </w:tc>
      </w:tr>
      <w:tr w:rsidR="00BF12D5" w:rsidRPr="00BD0223" w14:paraId="714D13F0"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4481910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PRATA</w:t>
            </w:r>
          </w:p>
        </w:tc>
        <w:tc>
          <w:tcPr>
            <w:tcW w:w="1182" w:type="dxa"/>
            <w:tcBorders>
              <w:top w:val="nil"/>
              <w:left w:val="nil"/>
              <w:bottom w:val="single" w:sz="4" w:space="0" w:color="auto"/>
              <w:right w:val="single" w:sz="4" w:space="0" w:color="auto"/>
            </w:tcBorders>
            <w:shd w:val="clear" w:color="auto" w:fill="auto"/>
            <w:noWrap/>
            <w:vAlign w:val="bottom"/>
            <w:hideMark/>
          </w:tcPr>
          <w:p w14:paraId="39A5C9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5,44</w:t>
            </w:r>
          </w:p>
        </w:tc>
        <w:tc>
          <w:tcPr>
            <w:tcW w:w="1181" w:type="dxa"/>
            <w:tcBorders>
              <w:top w:val="nil"/>
              <w:left w:val="nil"/>
              <w:bottom w:val="single" w:sz="4" w:space="0" w:color="auto"/>
              <w:right w:val="single" w:sz="4" w:space="0" w:color="auto"/>
            </w:tcBorders>
            <w:shd w:val="clear" w:color="auto" w:fill="auto"/>
            <w:noWrap/>
            <w:vAlign w:val="bottom"/>
            <w:hideMark/>
          </w:tcPr>
          <w:p w14:paraId="2823CB6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7,50</w:t>
            </w:r>
          </w:p>
        </w:tc>
        <w:tc>
          <w:tcPr>
            <w:tcW w:w="1181" w:type="dxa"/>
            <w:tcBorders>
              <w:top w:val="nil"/>
              <w:left w:val="nil"/>
              <w:bottom w:val="single" w:sz="4" w:space="0" w:color="auto"/>
              <w:right w:val="single" w:sz="4" w:space="0" w:color="auto"/>
            </w:tcBorders>
            <w:shd w:val="clear" w:color="auto" w:fill="auto"/>
            <w:noWrap/>
            <w:vAlign w:val="bottom"/>
            <w:hideMark/>
          </w:tcPr>
          <w:p w14:paraId="003F9C5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9,34</w:t>
            </w:r>
          </w:p>
        </w:tc>
        <w:tc>
          <w:tcPr>
            <w:tcW w:w="1181" w:type="dxa"/>
            <w:tcBorders>
              <w:top w:val="nil"/>
              <w:left w:val="nil"/>
              <w:bottom w:val="single" w:sz="4" w:space="0" w:color="auto"/>
              <w:right w:val="single" w:sz="4" w:space="0" w:color="auto"/>
            </w:tcBorders>
            <w:shd w:val="clear" w:color="auto" w:fill="auto"/>
            <w:noWrap/>
            <w:vAlign w:val="bottom"/>
            <w:hideMark/>
          </w:tcPr>
          <w:p w14:paraId="235C9E1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9,58</w:t>
            </w:r>
          </w:p>
        </w:tc>
        <w:tc>
          <w:tcPr>
            <w:tcW w:w="1181" w:type="dxa"/>
            <w:tcBorders>
              <w:top w:val="nil"/>
              <w:left w:val="nil"/>
              <w:bottom w:val="single" w:sz="4" w:space="0" w:color="auto"/>
              <w:right w:val="single" w:sz="4" w:space="0" w:color="auto"/>
            </w:tcBorders>
            <w:shd w:val="clear" w:color="auto" w:fill="auto"/>
            <w:noWrap/>
            <w:vAlign w:val="bottom"/>
            <w:hideMark/>
          </w:tcPr>
          <w:p w14:paraId="332A1AA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11,03</w:t>
            </w:r>
          </w:p>
        </w:tc>
      </w:tr>
      <w:tr w:rsidR="00BF12D5" w:rsidRPr="00BD0223" w14:paraId="09034C43"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3502E2E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ROSARIO DA LIMEIRA</w:t>
            </w:r>
          </w:p>
        </w:tc>
        <w:tc>
          <w:tcPr>
            <w:tcW w:w="1182" w:type="dxa"/>
            <w:tcBorders>
              <w:top w:val="nil"/>
              <w:left w:val="nil"/>
              <w:bottom w:val="single" w:sz="4" w:space="0" w:color="auto"/>
              <w:right w:val="single" w:sz="4" w:space="0" w:color="auto"/>
            </w:tcBorders>
            <w:shd w:val="clear" w:color="auto" w:fill="auto"/>
            <w:noWrap/>
            <w:vAlign w:val="bottom"/>
            <w:hideMark/>
          </w:tcPr>
          <w:p w14:paraId="4AC6EC5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0,39</w:t>
            </w:r>
          </w:p>
        </w:tc>
        <w:tc>
          <w:tcPr>
            <w:tcW w:w="1181" w:type="dxa"/>
            <w:tcBorders>
              <w:top w:val="nil"/>
              <w:left w:val="nil"/>
              <w:bottom w:val="single" w:sz="4" w:space="0" w:color="auto"/>
              <w:right w:val="single" w:sz="4" w:space="0" w:color="auto"/>
            </w:tcBorders>
            <w:shd w:val="clear" w:color="auto" w:fill="auto"/>
            <w:noWrap/>
            <w:vAlign w:val="bottom"/>
            <w:hideMark/>
          </w:tcPr>
          <w:p w14:paraId="4C64AEB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0,41</w:t>
            </w:r>
          </w:p>
        </w:tc>
        <w:tc>
          <w:tcPr>
            <w:tcW w:w="1181" w:type="dxa"/>
            <w:tcBorders>
              <w:top w:val="nil"/>
              <w:left w:val="nil"/>
              <w:bottom w:val="single" w:sz="4" w:space="0" w:color="auto"/>
              <w:right w:val="single" w:sz="4" w:space="0" w:color="auto"/>
            </w:tcBorders>
            <w:shd w:val="clear" w:color="auto" w:fill="auto"/>
            <w:noWrap/>
            <w:vAlign w:val="bottom"/>
            <w:hideMark/>
          </w:tcPr>
          <w:p w14:paraId="4D8EE99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0,47</w:t>
            </w:r>
          </w:p>
        </w:tc>
        <w:tc>
          <w:tcPr>
            <w:tcW w:w="1181" w:type="dxa"/>
            <w:tcBorders>
              <w:top w:val="nil"/>
              <w:left w:val="nil"/>
              <w:bottom w:val="single" w:sz="4" w:space="0" w:color="auto"/>
              <w:right w:val="single" w:sz="4" w:space="0" w:color="auto"/>
            </w:tcBorders>
            <w:shd w:val="clear" w:color="auto" w:fill="auto"/>
            <w:noWrap/>
            <w:vAlign w:val="bottom"/>
            <w:hideMark/>
          </w:tcPr>
          <w:p w14:paraId="7EA4E4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0,53</w:t>
            </w:r>
          </w:p>
        </w:tc>
        <w:tc>
          <w:tcPr>
            <w:tcW w:w="1181" w:type="dxa"/>
            <w:tcBorders>
              <w:top w:val="nil"/>
              <w:left w:val="nil"/>
              <w:bottom w:val="single" w:sz="4" w:space="0" w:color="auto"/>
              <w:right w:val="single" w:sz="4" w:space="0" w:color="auto"/>
            </w:tcBorders>
            <w:shd w:val="clear" w:color="auto" w:fill="auto"/>
            <w:noWrap/>
            <w:vAlign w:val="bottom"/>
            <w:hideMark/>
          </w:tcPr>
          <w:p w14:paraId="16E5CD5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0,58</w:t>
            </w:r>
          </w:p>
        </w:tc>
      </w:tr>
      <w:tr w:rsidR="00BF12D5" w:rsidRPr="00BD0223" w14:paraId="4684095E"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5E916F0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VITORIA</w:t>
            </w:r>
          </w:p>
        </w:tc>
        <w:tc>
          <w:tcPr>
            <w:tcW w:w="1182" w:type="dxa"/>
            <w:tcBorders>
              <w:top w:val="nil"/>
              <w:left w:val="nil"/>
              <w:bottom w:val="single" w:sz="4" w:space="0" w:color="auto"/>
              <w:right w:val="single" w:sz="4" w:space="0" w:color="auto"/>
            </w:tcBorders>
            <w:shd w:val="clear" w:color="auto" w:fill="auto"/>
            <w:noWrap/>
            <w:vAlign w:val="bottom"/>
            <w:hideMark/>
          </w:tcPr>
          <w:p w14:paraId="0C5CF40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2,99</w:t>
            </w:r>
          </w:p>
        </w:tc>
        <w:tc>
          <w:tcPr>
            <w:tcW w:w="1181" w:type="dxa"/>
            <w:tcBorders>
              <w:top w:val="nil"/>
              <w:left w:val="nil"/>
              <w:bottom w:val="single" w:sz="4" w:space="0" w:color="auto"/>
              <w:right w:val="single" w:sz="4" w:space="0" w:color="auto"/>
            </w:tcBorders>
            <w:shd w:val="clear" w:color="auto" w:fill="auto"/>
            <w:noWrap/>
            <w:vAlign w:val="bottom"/>
            <w:hideMark/>
          </w:tcPr>
          <w:p w14:paraId="65096E0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3,71</w:t>
            </w:r>
          </w:p>
        </w:tc>
        <w:tc>
          <w:tcPr>
            <w:tcW w:w="1181" w:type="dxa"/>
            <w:tcBorders>
              <w:top w:val="nil"/>
              <w:left w:val="nil"/>
              <w:bottom w:val="single" w:sz="4" w:space="0" w:color="auto"/>
              <w:right w:val="single" w:sz="4" w:space="0" w:color="auto"/>
            </w:tcBorders>
            <w:shd w:val="clear" w:color="auto" w:fill="auto"/>
            <w:noWrap/>
            <w:vAlign w:val="bottom"/>
            <w:hideMark/>
          </w:tcPr>
          <w:p w14:paraId="35CEEE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4,29</w:t>
            </w:r>
          </w:p>
        </w:tc>
        <w:tc>
          <w:tcPr>
            <w:tcW w:w="1181" w:type="dxa"/>
            <w:tcBorders>
              <w:top w:val="nil"/>
              <w:left w:val="nil"/>
              <w:bottom w:val="single" w:sz="4" w:space="0" w:color="auto"/>
              <w:right w:val="single" w:sz="4" w:space="0" w:color="auto"/>
            </w:tcBorders>
            <w:shd w:val="clear" w:color="auto" w:fill="auto"/>
            <w:noWrap/>
            <w:vAlign w:val="bottom"/>
            <w:hideMark/>
          </w:tcPr>
          <w:p w14:paraId="5E8FCEC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4,39</w:t>
            </w:r>
          </w:p>
        </w:tc>
        <w:tc>
          <w:tcPr>
            <w:tcW w:w="1181" w:type="dxa"/>
            <w:tcBorders>
              <w:top w:val="nil"/>
              <w:left w:val="nil"/>
              <w:bottom w:val="single" w:sz="4" w:space="0" w:color="auto"/>
              <w:right w:val="single" w:sz="4" w:space="0" w:color="auto"/>
            </w:tcBorders>
            <w:shd w:val="clear" w:color="auto" w:fill="auto"/>
            <w:noWrap/>
            <w:vAlign w:val="bottom"/>
            <w:hideMark/>
          </w:tcPr>
          <w:p w14:paraId="4DFB8E0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4,28</w:t>
            </w:r>
          </w:p>
        </w:tc>
      </w:tr>
      <w:tr w:rsidR="00BF12D5" w:rsidRPr="00BD0223" w14:paraId="13A3BEEB"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526833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FRANCISCO DE SALES</w:t>
            </w:r>
          </w:p>
        </w:tc>
        <w:tc>
          <w:tcPr>
            <w:tcW w:w="1182" w:type="dxa"/>
            <w:tcBorders>
              <w:top w:val="nil"/>
              <w:left w:val="nil"/>
              <w:bottom w:val="single" w:sz="4" w:space="0" w:color="auto"/>
              <w:right w:val="single" w:sz="4" w:space="0" w:color="auto"/>
            </w:tcBorders>
            <w:shd w:val="clear" w:color="auto" w:fill="auto"/>
            <w:noWrap/>
            <w:vAlign w:val="bottom"/>
            <w:hideMark/>
          </w:tcPr>
          <w:p w14:paraId="0297A1A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0,66</w:t>
            </w:r>
          </w:p>
        </w:tc>
        <w:tc>
          <w:tcPr>
            <w:tcW w:w="1181" w:type="dxa"/>
            <w:tcBorders>
              <w:top w:val="nil"/>
              <w:left w:val="nil"/>
              <w:bottom w:val="single" w:sz="4" w:space="0" w:color="auto"/>
              <w:right w:val="single" w:sz="4" w:space="0" w:color="auto"/>
            </w:tcBorders>
            <w:shd w:val="clear" w:color="auto" w:fill="auto"/>
            <w:noWrap/>
            <w:vAlign w:val="bottom"/>
            <w:hideMark/>
          </w:tcPr>
          <w:p w14:paraId="0E2152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0,84</w:t>
            </w:r>
          </w:p>
        </w:tc>
        <w:tc>
          <w:tcPr>
            <w:tcW w:w="1181" w:type="dxa"/>
            <w:tcBorders>
              <w:top w:val="nil"/>
              <w:left w:val="nil"/>
              <w:bottom w:val="single" w:sz="4" w:space="0" w:color="auto"/>
              <w:right w:val="single" w:sz="4" w:space="0" w:color="auto"/>
            </w:tcBorders>
            <w:shd w:val="clear" w:color="auto" w:fill="auto"/>
            <w:noWrap/>
            <w:vAlign w:val="bottom"/>
            <w:hideMark/>
          </w:tcPr>
          <w:p w14:paraId="2F5DE9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1,02</w:t>
            </w:r>
          </w:p>
        </w:tc>
        <w:tc>
          <w:tcPr>
            <w:tcW w:w="1181" w:type="dxa"/>
            <w:tcBorders>
              <w:top w:val="nil"/>
              <w:left w:val="nil"/>
              <w:bottom w:val="single" w:sz="4" w:space="0" w:color="auto"/>
              <w:right w:val="single" w:sz="4" w:space="0" w:color="auto"/>
            </w:tcBorders>
            <w:shd w:val="clear" w:color="auto" w:fill="auto"/>
            <w:noWrap/>
            <w:vAlign w:val="bottom"/>
            <w:hideMark/>
          </w:tcPr>
          <w:p w14:paraId="40CBFD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1,04</w:t>
            </w:r>
          </w:p>
        </w:tc>
        <w:tc>
          <w:tcPr>
            <w:tcW w:w="1181" w:type="dxa"/>
            <w:tcBorders>
              <w:top w:val="nil"/>
              <w:left w:val="nil"/>
              <w:bottom w:val="single" w:sz="4" w:space="0" w:color="auto"/>
              <w:right w:val="single" w:sz="4" w:space="0" w:color="auto"/>
            </w:tcBorders>
            <w:shd w:val="clear" w:color="auto" w:fill="auto"/>
            <w:noWrap/>
            <w:vAlign w:val="bottom"/>
            <w:hideMark/>
          </w:tcPr>
          <w:p w14:paraId="6CC3190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1,08</w:t>
            </w:r>
          </w:p>
        </w:tc>
      </w:tr>
      <w:tr w:rsidR="00BF12D5" w:rsidRPr="00BD0223" w14:paraId="558CEDA6"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0BDFF8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TUPACIGUARA</w:t>
            </w:r>
          </w:p>
        </w:tc>
        <w:tc>
          <w:tcPr>
            <w:tcW w:w="1182" w:type="dxa"/>
            <w:tcBorders>
              <w:top w:val="nil"/>
              <w:left w:val="nil"/>
              <w:bottom w:val="single" w:sz="4" w:space="0" w:color="auto"/>
              <w:right w:val="single" w:sz="4" w:space="0" w:color="auto"/>
            </w:tcBorders>
            <w:shd w:val="clear" w:color="auto" w:fill="auto"/>
            <w:noWrap/>
            <w:vAlign w:val="bottom"/>
            <w:hideMark/>
          </w:tcPr>
          <w:p w14:paraId="2A52790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4,49</w:t>
            </w:r>
          </w:p>
        </w:tc>
        <w:tc>
          <w:tcPr>
            <w:tcW w:w="1181" w:type="dxa"/>
            <w:tcBorders>
              <w:top w:val="nil"/>
              <w:left w:val="nil"/>
              <w:bottom w:val="single" w:sz="4" w:space="0" w:color="auto"/>
              <w:right w:val="single" w:sz="4" w:space="0" w:color="auto"/>
            </w:tcBorders>
            <w:shd w:val="clear" w:color="auto" w:fill="auto"/>
            <w:noWrap/>
            <w:vAlign w:val="bottom"/>
            <w:hideMark/>
          </w:tcPr>
          <w:p w14:paraId="38FAE0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4,99</w:t>
            </w:r>
          </w:p>
        </w:tc>
        <w:tc>
          <w:tcPr>
            <w:tcW w:w="1181" w:type="dxa"/>
            <w:tcBorders>
              <w:top w:val="nil"/>
              <w:left w:val="nil"/>
              <w:bottom w:val="single" w:sz="4" w:space="0" w:color="auto"/>
              <w:right w:val="single" w:sz="4" w:space="0" w:color="auto"/>
            </w:tcBorders>
            <w:shd w:val="clear" w:color="auto" w:fill="auto"/>
            <w:noWrap/>
            <w:vAlign w:val="bottom"/>
            <w:hideMark/>
          </w:tcPr>
          <w:p w14:paraId="0B920CE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5,73</w:t>
            </w:r>
          </w:p>
        </w:tc>
        <w:tc>
          <w:tcPr>
            <w:tcW w:w="1181" w:type="dxa"/>
            <w:tcBorders>
              <w:top w:val="nil"/>
              <w:left w:val="nil"/>
              <w:bottom w:val="single" w:sz="4" w:space="0" w:color="auto"/>
              <w:right w:val="single" w:sz="4" w:space="0" w:color="auto"/>
            </w:tcBorders>
            <w:shd w:val="clear" w:color="auto" w:fill="auto"/>
            <w:noWrap/>
            <w:vAlign w:val="bottom"/>
            <w:hideMark/>
          </w:tcPr>
          <w:p w14:paraId="7D06BD3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5,36</w:t>
            </w:r>
          </w:p>
        </w:tc>
        <w:tc>
          <w:tcPr>
            <w:tcW w:w="1181" w:type="dxa"/>
            <w:tcBorders>
              <w:top w:val="nil"/>
              <w:left w:val="nil"/>
              <w:bottom w:val="single" w:sz="4" w:space="0" w:color="auto"/>
              <w:right w:val="single" w:sz="4" w:space="0" w:color="auto"/>
            </w:tcBorders>
            <w:shd w:val="clear" w:color="auto" w:fill="auto"/>
            <w:noWrap/>
            <w:vAlign w:val="bottom"/>
            <w:hideMark/>
          </w:tcPr>
          <w:p w14:paraId="0696782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5,03</w:t>
            </w:r>
          </w:p>
        </w:tc>
      </w:tr>
      <w:tr w:rsidR="00BF12D5" w:rsidRPr="00BD0223" w14:paraId="5A041DA0"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1A85E5F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UBERABA</w:t>
            </w:r>
          </w:p>
        </w:tc>
        <w:tc>
          <w:tcPr>
            <w:tcW w:w="1182" w:type="dxa"/>
            <w:tcBorders>
              <w:top w:val="nil"/>
              <w:left w:val="nil"/>
              <w:bottom w:val="single" w:sz="4" w:space="0" w:color="auto"/>
              <w:right w:val="single" w:sz="4" w:space="0" w:color="auto"/>
            </w:tcBorders>
            <w:shd w:val="clear" w:color="auto" w:fill="auto"/>
            <w:noWrap/>
            <w:vAlign w:val="bottom"/>
            <w:hideMark/>
          </w:tcPr>
          <w:p w14:paraId="1DD383A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74,45</w:t>
            </w:r>
          </w:p>
        </w:tc>
        <w:tc>
          <w:tcPr>
            <w:tcW w:w="1181" w:type="dxa"/>
            <w:tcBorders>
              <w:top w:val="nil"/>
              <w:left w:val="nil"/>
              <w:bottom w:val="single" w:sz="4" w:space="0" w:color="auto"/>
              <w:right w:val="single" w:sz="4" w:space="0" w:color="auto"/>
            </w:tcBorders>
            <w:shd w:val="clear" w:color="auto" w:fill="auto"/>
            <w:noWrap/>
            <w:vAlign w:val="bottom"/>
            <w:hideMark/>
          </w:tcPr>
          <w:p w14:paraId="566E787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83,80</w:t>
            </w:r>
          </w:p>
        </w:tc>
        <w:tc>
          <w:tcPr>
            <w:tcW w:w="1181" w:type="dxa"/>
            <w:tcBorders>
              <w:top w:val="nil"/>
              <w:left w:val="nil"/>
              <w:bottom w:val="single" w:sz="4" w:space="0" w:color="auto"/>
              <w:right w:val="single" w:sz="4" w:space="0" w:color="auto"/>
            </w:tcBorders>
            <w:shd w:val="clear" w:color="auto" w:fill="auto"/>
            <w:noWrap/>
            <w:vAlign w:val="bottom"/>
            <w:hideMark/>
          </w:tcPr>
          <w:p w14:paraId="6710E6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87,60</w:t>
            </w:r>
          </w:p>
        </w:tc>
        <w:tc>
          <w:tcPr>
            <w:tcW w:w="1181" w:type="dxa"/>
            <w:tcBorders>
              <w:top w:val="nil"/>
              <w:left w:val="nil"/>
              <w:bottom w:val="single" w:sz="4" w:space="0" w:color="auto"/>
              <w:right w:val="single" w:sz="4" w:space="0" w:color="auto"/>
            </w:tcBorders>
            <w:shd w:val="clear" w:color="auto" w:fill="auto"/>
            <w:noWrap/>
            <w:vAlign w:val="bottom"/>
            <w:hideMark/>
          </w:tcPr>
          <w:p w14:paraId="0E5CBC8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92,24</w:t>
            </w:r>
          </w:p>
        </w:tc>
        <w:tc>
          <w:tcPr>
            <w:tcW w:w="1181" w:type="dxa"/>
            <w:tcBorders>
              <w:top w:val="nil"/>
              <w:left w:val="nil"/>
              <w:bottom w:val="single" w:sz="4" w:space="0" w:color="auto"/>
              <w:right w:val="single" w:sz="4" w:space="0" w:color="auto"/>
            </w:tcBorders>
            <w:shd w:val="clear" w:color="auto" w:fill="auto"/>
            <w:noWrap/>
            <w:vAlign w:val="bottom"/>
            <w:hideMark/>
          </w:tcPr>
          <w:p w14:paraId="16B933C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100,49</w:t>
            </w:r>
          </w:p>
        </w:tc>
      </w:tr>
      <w:tr w:rsidR="00BF12D5" w:rsidRPr="00BD0223" w14:paraId="71BEAF00"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6AF1762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UBERLANDIA</w:t>
            </w:r>
          </w:p>
        </w:tc>
        <w:tc>
          <w:tcPr>
            <w:tcW w:w="1182" w:type="dxa"/>
            <w:tcBorders>
              <w:top w:val="nil"/>
              <w:left w:val="nil"/>
              <w:bottom w:val="single" w:sz="4" w:space="0" w:color="auto"/>
              <w:right w:val="single" w:sz="4" w:space="0" w:color="auto"/>
            </w:tcBorders>
            <w:shd w:val="clear" w:color="auto" w:fill="auto"/>
            <w:noWrap/>
            <w:vAlign w:val="bottom"/>
            <w:hideMark/>
          </w:tcPr>
          <w:p w14:paraId="4C4E15F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161,90</w:t>
            </w:r>
          </w:p>
        </w:tc>
        <w:tc>
          <w:tcPr>
            <w:tcW w:w="1181" w:type="dxa"/>
            <w:tcBorders>
              <w:top w:val="nil"/>
              <w:left w:val="nil"/>
              <w:bottom w:val="single" w:sz="4" w:space="0" w:color="auto"/>
              <w:right w:val="single" w:sz="4" w:space="0" w:color="auto"/>
            </w:tcBorders>
            <w:shd w:val="clear" w:color="auto" w:fill="auto"/>
            <w:noWrap/>
            <w:vAlign w:val="bottom"/>
            <w:hideMark/>
          </w:tcPr>
          <w:p w14:paraId="6AACE13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187,58</w:t>
            </w:r>
          </w:p>
        </w:tc>
        <w:tc>
          <w:tcPr>
            <w:tcW w:w="1181" w:type="dxa"/>
            <w:tcBorders>
              <w:top w:val="nil"/>
              <w:left w:val="nil"/>
              <w:bottom w:val="single" w:sz="4" w:space="0" w:color="auto"/>
              <w:right w:val="single" w:sz="4" w:space="0" w:color="auto"/>
            </w:tcBorders>
            <w:shd w:val="clear" w:color="auto" w:fill="auto"/>
            <w:noWrap/>
            <w:vAlign w:val="bottom"/>
            <w:hideMark/>
          </w:tcPr>
          <w:p w14:paraId="054908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200,06</w:t>
            </w:r>
          </w:p>
        </w:tc>
        <w:tc>
          <w:tcPr>
            <w:tcW w:w="1181" w:type="dxa"/>
            <w:tcBorders>
              <w:top w:val="nil"/>
              <w:left w:val="nil"/>
              <w:bottom w:val="single" w:sz="4" w:space="0" w:color="auto"/>
              <w:right w:val="single" w:sz="4" w:space="0" w:color="auto"/>
            </w:tcBorders>
            <w:shd w:val="clear" w:color="auto" w:fill="auto"/>
            <w:noWrap/>
            <w:vAlign w:val="bottom"/>
            <w:hideMark/>
          </w:tcPr>
          <w:p w14:paraId="5DD0151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203,08</w:t>
            </w:r>
          </w:p>
        </w:tc>
        <w:tc>
          <w:tcPr>
            <w:tcW w:w="1181" w:type="dxa"/>
            <w:tcBorders>
              <w:top w:val="nil"/>
              <w:left w:val="nil"/>
              <w:bottom w:val="single" w:sz="4" w:space="0" w:color="auto"/>
              <w:right w:val="single" w:sz="4" w:space="0" w:color="auto"/>
            </w:tcBorders>
            <w:shd w:val="clear" w:color="auto" w:fill="auto"/>
            <w:noWrap/>
            <w:vAlign w:val="bottom"/>
            <w:hideMark/>
          </w:tcPr>
          <w:p w14:paraId="12C6DA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221,37</w:t>
            </w:r>
          </w:p>
        </w:tc>
      </w:tr>
      <w:tr w:rsidR="00BF12D5" w:rsidRPr="00BD0223" w14:paraId="0706CA39" w14:textId="77777777" w:rsidTr="0039539B">
        <w:trPr>
          <w:trHeight w:val="325"/>
          <w:jc w:val="center"/>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14:paraId="3B4C82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UNIÃO DE MINAS</w:t>
            </w:r>
          </w:p>
        </w:tc>
        <w:tc>
          <w:tcPr>
            <w:tcW w:w="1182" w:type="dxa"/>
            <w:tcBorders>
              <w:top w:val="nil"/>
              <w:left w:val="nil"/>
              <w:bottom w:val="single" w:sz="4" w:space="0" w:color="auto"/>
              <w:right w:val="single" w:sz="4" w:space="0" w:color="auto"/>
            </w:tcBorders>
            <w:shd w:val="clear" w:color="auto" w:fill="auto"/>
            <w:noWrap/>
            <w:vAlign w:val="bottom"/>
            <w:hideMark/>
          </w:tcPr>
          <w:p w14:paraId="013CC04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0,30</w:t>
            </w:r>
          </w:p>
        </w:tc>
        <w:tc>
          <w:tcPr>
            <w:tcW w:w="1181" w:type="dxa"/>
            <w:tcBorders>
              <w:top w:val="nil"/>
              <w:left w:val="nil"/>
              <w:bottom w:val="single" w:sz="4" w:space="0" w:color="auto"/>
              <w:right w:val="single" w:sz="4" w:space="0" w:color="auto"/>
            </w:tcBorders>
            <w:shd w:val="clear" w:color="auto" w:fill="auto"/>
            <w:noWrap/>
            <w:vAlign w:val="bottom"/>
            <w:hideMark/>
          </w:tcPr>
          <w:p w14:paraId="12A9DA9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0,36</w:t>
            </w:r>
          </w:p>
        </w:tc>
        <w:tc>
          <w:tcPr>
            <w:tcW w:w="1181" w:type="dxa"/>
            <w:tcBorders>
              <w:top w:val="nil"/>
              <w:left w:val="nil"/>
              <w:bottom w:val="single" w:sz="4" w:space="0" w:color="auto"/>
              <w:right w:val="single" w:sz="4" w:space="0" w:color="auto"/>
            </w:tcBorders>
            <w:shd w:val="clear" w:color="auto" w:fill="auto"/>
            <w:noWrap/>
            <w:vAlign w:val="bottom"/>
            <w:hideMark/>
          </w:tcPr>
          <w:p w14:paraId="193452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0,45</w:t>
            </w:r>
          </w:p>
        </w:tc>
        <w:tc>
          <w:tcPr>
            <w:tcW w:w="1181" w:type="dxa"/>
            <w:tcBorders>
              <w:top w:val="nil"/>
              <w:left w:val="nil"/>
              <w:bottom w:val="single" w:sz="4" w:space="0" w:color="auto"/>
              <w:right w:val="single" w:sz="4" w:space="0" w:color="auto"/>
            </w:tcBorders>
            <w:shd w:val="clear" w:color="auto" w:fill="auto"/>
            <w:noWrap/>
            <w:vAlign w:val="bottom"/>
            <w:hideMark/>
          </w:tcPr>
          <w:p w14:paraId="075127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0,47</w:t>
            </w:r>
          </w:p>
        </w:tc>
        <w:tc>
          <w:tcPr>
            <w:tcW w:w="1181" w:type="dxa"/>
            <w:tcBorders>
              <w:top w:val="nil"/>
              <w:left w:val="nil"/>
              <w:bottom w:val="single" w:sz="4" w:space="0" w:color="auto"/>
              <w:right w:val="single" w:sz="4" w:space="0" w:color="auto"/>
            </w:tcBorders>
            <w:shd w:val="clear" w:color="auto" w:fill="auto"/>
            <w:noWrap/>
            <w:vAlign w:val="bottom"/>
            <w:hideMark/>
          </w:tcPr>
          <w:p w14:paraId="4F6594B5" w14:textId="77777777" w:rsidR="00BF12D5" w:rsidRPr="00BD0223" w:rsidRDefault="00BF12D5" w:rsidP="0039539B">
            <w:pPr>
              <w:keepNext/>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0,54</w:t>
            </w:r>
          </w:p>
        </w:tc>
      </w:tr>
    </w:tbl>
    <w:p w14:paraId="2A889C10" w14:textId="77777777" w:rsidR="00BF12D5" w:rsidRPr="008D398D" w:rsidRDefault="00BF12D5" w:rsidP="00BF12D5">
      <w:pPr>
        <w:pStyle w:val="Ttabela-fonte"/>
        <w:rPr>
          <w:color w:val="FF0000"/>
        </w:rPr>
      </w:pPr>
      <w:r w:rsidRPr="00BD0223">
        <w:t>Fonte: ANP</w:t>
      </w:r>
      <w:r>
        <w:t xml:space="preserve">. </w:t>
      </w:r>
      <w:r w:rsidRPr="00906965">
        <w:t>Elaboração do Autor</w:t>
      </w:r>
      <w:r w:rsidRPr="008D398D">
        <w:rPr>
          <w:color w:val="FF0000"/>
        </w:rPr>
        <w:t>.</w:t>
      </w:r>
    </w:p>
    <w:p w14:paraId="55D7E3DC" w14:textId="77777777" w:rsidR="00BF12D5" w:rsidRDefault="00BF12D5" w:rsidP="00BF12D5">
      <w:pPr>
        <w:rPr>
          <w:rFonts w:ascii="Times New Roman" w:eastAsia="Times New Roman" w:hAnsi="Times New Roman" w:cs="Arial"/>
          <w:sz w:val="24"/>
          <w:szCs w:val="24"/>
          <w:lang w:val="pt-PT" w:eastAsia="pt-PT"/>
        </w:rPr>
      </w:pPr>
      <w:r>
        <w:br w:type="page"/>
      </w:r>
    </w:p>
    <w:p w14:paraId="564D44CA" w14:textId="7AF55752" w:rsidR="00BF12D5" w:rsidRPr="00BD0223" w:rsidRDefault="00BF12D5" w:rsidP="00BF12D5">
      <w:pPr>
        <w:pStyle w:val="Tfigura-titulo"/>
        <w:jc w:val="both"/>
      </w:pPr>
      <w:r w:rsidRPr="00BD0223">
        <w:lastRenderedPageBreak/>
        <w:t xml:space="preserve">Tabela 14 – Vendas de gasolina, em milhões de litros, de </w:t>
      </w:r>
      <w:r>
        <w:t>municípios</w:t>
      </w:r>
      <w:r w:rsidRPr="00BD0223">
        <w:t xml:space="preserve"> selecionad</w:t>
      </w:r>
      <w:r>
        <w:t>o</w:t>
      </w:r>
      <w:r w:rsidRPr="00BD0223">
        <w:t xml:space="preserve">s do Triângulo Mineiro das </w:t>
      </w:r>
      <w:r>
        <w:t>M</w:t>
      </w:r>
      <w:r w:rsidRPr="00BD0223">
        <w:t>icrorregiões de Uberlândia, Uberaba, Frutal e Ituiutaba de 2015 a 2018</w:t>
      </w:r>
    </w:p>
    <w:tbl>
      <w:tblPr>
        <w:tblW w:w="5000" w:type="pct"/>
        <w:jc w:val="center"/>
        <w:tblCellMar>
          <w:left w:w="70" w:type="dxa"/>
          <w:right w:w="70" w:type="dxa"/>
        </w:tblCellMar>
        <w:tblLook w:val="04A0" w:firstRow="1" w:lastRow="0" w:firstColumn="1" w:lastColumn="0" w:noHBand="0" w:noVBand="1"/>
      </w:tblPr>
      <w:tblGrid>
        <w:gridCol w:w="3605"/>
        <w:gridCol w:w="1364"/>
        <w:gridCol w:w="1364"/>
        <w:gridCol w:w="1364"/>
        <w:gridCol w:w="1364"/>
      </w:tblGrid>
      <w:tr w:rsidR="00BF12D5" w:rsidRPr="001C03A7" w14:paraId="08C734FF" w14:textId="77777777" w:rsidTr="0039539B">
        <w:trPr>
          <w:trHeight w:val="312"/>
          <w:tblHeader/>
          <w:jc w:val="center"/>
        </w:trPr>
        <w:tc>
          <w:tcPr>
            <w:tcW w:w="36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4D95D"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 </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6B23B8C6"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2015</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547464A9"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2016</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1046946B"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2017</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14:paraId="7EB88B5C"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2018</w:t>
            </w:r>
          </w:p>
        </w:tc>
      </w:tr>
      <w:tr w:rsidR="00BF12D5" w:rsidRPr="00BD0223" w14:paraId="7E94BA4E"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5D48D5C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ÁGUA COMPRIDA</w:t>
            </w:r>
          </w:p>
        </w:tc>
        <w:tc>
          <w:tcPr>
            <w:tcW w:w="1364" w:type="dxa"/>
            <w:tcBorders>
              <w:top w:val="nil"/>
              <w:left w:val="nil"/>
              <w:bottom w:val="single" w:sz="4" w:space="0" w:color="auto"/>
              <w:right w:val="single" w:sz="4" w:space="0" w:color="auto"/>
            </w:tcBorders>
            <w:shd w:val="clear" w:color="auto" w:fill="auto"/>
            <w:noWrap/>
            <w:vAlign w:val="center"/>
            <w:hideMark/>
          </w:tcPr>
          <w:p w14:paraId="4E3D330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1,27</w:t>
            </w:r>
          </w:p>
        </w:tc>
        <w:tc>
          <w:tcPr>
            <w:tcW w:w="1364" w:type="dxa"/>
            <w:tcBorders>
              <w:top w:val="nil"/>
              <w:left w:val="nil"/>
              <w:bottom w:val="single" w:sz="4" w:space="0" w:color="auto"/>
              <w:right w:val="single" w:sz="4" w:space="0" w:color="auto"/>
            </w:tcBorders>
            <w:shd w:val="clear" w:color="auto" w:fill="auto"/>
            <w:noWrap/>
            <w:vAlign w:val="center"/>
            <w:hideMark/>
          </w:tcPr>
          <w:p w14:paraId="1CDAFB7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1,39</w:t>
            </w:r>
          </w:p>
        </w:tc>
        <w:tc>
          <w:tcPr>
            <w:tcW w:w="1364" w:type="dxa"/>
            <w:tcBorders>
              <w:top w:val="nil"/>
              <w:left w:val="nil"/>
              <w:bottom w:val="single" w:sz="4" w:space="0" w:color="auto"/>
              <w:right w:val="single" w:sz="4" w:space="0" w:color="auto"/>
            </w:tcBorders>
            <w:shd w:val="clear" w:color="auto" w:fill="auto"/>
            <w:noWrap/>
            <w:vAlign w:val="center"/>
            <w:hideMark/>
          </w:tcPr>
          <w:p w14:paraId="17EEDED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1,47</w:t>
            </w:r>
          </w:p>
        </w:tc>
        <w:tc>
          <w:tcPr>
            <w:tcW w:w="1364" w:type="dxa"/>
            <w:tcBorders>
              <w:top w:val="nil"/>
              <w:left w:val="nil"/>
              <w:bottom w:val="single" w:sz="4" w:space="0" w:color="auto"/>
              <w:right w:val="single" w:sz="4" w:space="0" w:color="auto"/>
            </w:tcBorders>
            <w:shd w:val="clear" w:color="auto" w:fill="auto"/>
            <w:noWrap/>
            <w:vAlign w:val="center"/>
            <w:hideMark/>
          </w:tcPr>
          <w:p w14:paraId="41E80F0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0,95</w:t>
            </w:r>
          </w:p>
        </w:tc>
      </w:tr>
      <w:tr w:rsidR="00BF12D5" w:rsidRPr="00BD0223" w14:paraId="3A7DB246"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2ABC48D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ARAGUARI</w:t>
            </w:r>
          </w:p>
        </w:tc>
        <w:tc>
          <w:tcPr>
            <w:tcW w:w="1364" w:type="dxa"/>
            <w:tcBorders>
              <w:top w:val="nil"/>
              <w:left w:val="nil"/>
              <w:bottom w:val="single" w:sz="4" w:space="0" w:color="auto"/>
              <w:right w:val="single" w:sz="4" w:space="0" w:color="auto"/>
            </w:tcBorders>
            <w:shd w:val="clear" w:color="auto" w:fill="auto"/>
            <w:noWrap/>
            <w:vAlign w:val="center"/>
            <w:hideMark/>
          </w:tcPr>
          <w:p w14:paraId="1442EF0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24,82</w:t>
            </w:r>
          </w:p>
        </w:tc>
        <w:tc>
          <w:tcPr>
            <w:tcW w:w="1364" w:type="dxa"/>
            <w:tcBorders>
              <w:top w:val="nil"/>
              <w:left w:val="nil"/>
              <w:bottom w:val="single" w:sz="4" w:space="0" w:color="auto"/>
              <w:right w:val="single" w:sz="4" w:space="0" w:color="auto"/>
            </w:tcBorders>
            <w:shd w:val="clear" w:color="auto" w:fill="auto"/>
            <w:noWrap/>
            <w:vAlign w:val="center"/>
            <w:hideMark/>
          </w:tcPr>
          <w:p w14:paraId="66D84BE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26,77</w:t>
            </w:r>
          </w:p>
        </w:tc>
        <w:tc>
          <w:tcPr>
            <w:tcW w:w="1364" w:type="dxa"/>
            <w:tcBorders>
              <w:top w:val="nil"/>
              <w:left w:val="nil"/>
              <w:bottom w:val="single" w:sz="4" w:space="0" w:color="auto"/>
              <w:right w:val="single" w:sz="4" w:space="0" w:color="auto"/>
            </w:tcBorders>
            <w:shd w:val="clear" w:color="auto" w:fill="auto"/>
            <w:noWrap/>
            <w:vAlign w:val="center"/>
            <w:hideMark/>
          </w:tcPr>
          <w:p w14:paraId="12E513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27,07</w:t>
            </w:r>
          </w:p>
        </w:tc>
        <w:tc>
          <w:tcPr>
            <w:tcW w:w="1364" w:type="dxa"/>
            <w:tcBorders>
              <w:top w:val="nil"/>
              <w:left w:val="nil"/>
              <w:bottom w:val="single" w:sz="4" w:space="0" w:color="auto"/>
              <w:right w:val="single" w:sz="4" w:space="0" w:color="auto"/>
            </w:tcBorders>
            <w:shd w:val="clear" w:color="auto" w:fill="auto"/>
            <w:noWrap/>
            <w:vAlign w:val="center"/>
            <w:hideMark/>
          </w:tcPr>
          <w:p w14:paraId="791F228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22,60</w:t>
            </w:r>
          </w:p>
        </w:tc>
      </w:tr>
      <w:tr w:rsidR="00BF12D5" w:rsidRPr="00BD0223" w14:paraId="482A564B"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032CF7A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ARAPORA</w:t>
            </w:r>
          </w:p>
        </w:tc>
        <w:tc>
          <w:tcPr>
            <w:tcW w:w="1364" w:type="dxa"/>
            <w:tcBorders>
              <w:top w:val="nil"/>
              <w:left w:val="nil"/>
              <w:bottom w:val="single" w:sz="4" w:space="0" w:color="auto"/>
              <w:right w:val="single" w:sz="4" w:space="0" w:color="auto"/>
            </w:tcBorders>
            <w:shd w:val="clear" w:color="auto" w:fill="auto"/>
            <w:noWrap/>
            <w:vAlign w:val="center"/>
            <w:hideMark/>
          </w:tcPr>
          <w:p w14:paraId="6F2696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6,30</w:t>
            </w:r>
          </w:p>
        </w:tc>
        <w:tc>
          <w:tcPr>
            <w:tcW w:w="1364" w:type="dxa"/>
            <w:tcBorders>
              <w:top w:val="nil"/>
              <w:left w:val="nil"/>
              <w:bottom w:val="single" w:sz="4" w:space="0" w:color="auto"/>
              <w:right w:val="single" w:sz="4" w:space="0" w:color="auto"/>
            </w:tcBorders>
            <w:shd w:val="clear" w:color="auto" w:fill="auto"/>
            <w:noWrap/>
            <w:vAlign w:val="center"/>
            <w:hideMark/>
          </w:tcPr>
          <w:p w14:paraId="36608B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7,42</w:t>
            </w:r>
          </w:p>
        </w:tc>
        <w:tc>
          <w:tcPr>
            <w:tcW w:w="1364" w:type="dxa"/>
            <w:tcBorders>
              <w:top w:val="nil"/>
              <w:left w:val="nil"/>
              <w:bottom w:val="single" w:sz="4" w:space="0" w:color="auto"/>
              <w:right w:val="single" w:sz="4" w:space="0" w:color="auto"/>
            </w:tcBorders>
            <w:shd w:val="clear" w:color="auto" w:fill="auto"/>
            <w:noWrap/>
            <w:vAlign w:val="center"/>
            <w:hideMark/>
          </w:tcPr>
          <w:p w14:paraId="30C326F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6,29</w:t>
            </w:r>
          </w:p>
        </w:tc>
        <w:tc>
          <w:tcPr>
            <w:tcW w:w="1364" w:type="dxa"/>
            <w:tcBorders>
              <w:top w:val="nil"/>
              <w:left w:val="nil"/>
              <w:bottom w:val="single" w:sz="4" w:space="0" w:color="auto"/>
              <w:right w:val="single" w:sz="4" w:space="0" w:color="auto"/>
            </w:tcBorders>
            <w:shd w:val="clear" w:color="auto" w:fill="auto"/>
            <w:noWrap/>
            <w:vAlign w:val="center"/>
            <w:hideMark/>
          </w:tcPr>
          <w:p w14:paraId="49BBE41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3,71</w:t>
            </w:r>
          </w:p>
        </w:tc>
      </w:tr>
      <w:tr w:rsidR="00BF12D5" w:rsidRPr="00BD0223" w14:paraId="2498BCA6"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1B3D527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CAMPINA VERDE</w:t>
            </w:r>
          </w:p>
        </w:tc>
        <w:tc>
          <w:tcPr>
            <w:tcW w:w="1364" w:type="dxa"/>
            <w:tcBorders>
              <w:top w:val="nil"/>
              <w:left w:val="nil"/>
              <w:bottom w:val="single" w:sz="4" w:space="0" w:color="auto"/>
              <w:right w:val="single" w:sz="4" w:space="0" w:color="auto"/>
            </w:tcBorders>
            <w:shd w:val="clear" w:color="auto" w:fill="auto"/>
            <w:noWrap/>
            <w:vAlign w:val="center"/>
            <w:hideMark/>
          </w:tcPr>
          <w:p w14:paraId="1A91633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3,44</w:t>
            </w:r>
          </w:p>
        </w:tc>
        <w:tc>
          <w:tcPr>
            <w:tcW w:w="1364" w:type="dxa"/>
            <w:tcBorders>
              <w:top w:val="nil"/>
              <w:left w:val="nil"/>
              <w:bottom w:val="single" w:sz="4" w:space="0" w:color="auto"/>
              <w:right w:val="single" w:sz="4" w:space="0" w:color="auto"/>
            </w:tcBorders>
            <w:shd w:val="clear" w:color="auto" w:fill="auto"/>
            <w:noWrap/>
            <w:vAlign w:val="center"/>
            <w:hideMark/>
          </w:tcPr>
          <w:p w14:paraId="56971EF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5,23</w:t>
            </w:r>
          </w:p>
        </w:tc>
        <w:tc>
          <w:tcPr>
            <w:tcW w:w="1364" w:type="dxa"/>
            <w:tcBorders>
              <w:top w:val="nil"/>
              <w:left w:val="nil"/>
              <w:bottom w:val="single" w:sz="4" w:space="0" w:color="auto"/>
              <w:right w:val="single" w:sz="4" w:space="0" w:color="auto"/>
            </w:tcBorders>
            <w:shd w:val="clear" w:color="auto" w:fill="auto"/>
            <w:noWrap/>
            <w:vAlign w:val="center"/>
            <w:hideMark/>
          </w:tcPr>
          <w:p w14:paraId="7E8C1DE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4,58</w:t>
            </w:r>
          </w:p>
        </w:tc>
        <w:tc>
          <w:tcPr>
            <w:tcW w:w="1364" w:type="dxa"/>
            <w:tcBorders>
              <w:top w:val="nil"/>
              <w:left w:val="nil"/>
              <w:bottom w:val="single" w:sz="4" w:space="0" w:color="auto"/>
              <w:right w:val="single" w:sz="4" w:space="0" w:color="auto"/>
            </w:tcBorders>
            <w:shd w:val="clear" w:color="auto" w:fill="auto"/>
            <w:noWrap/>
            <w:vAlign w:val="center"/>
            <w:hideMark/>
          </w:tcPr>
          <w:p w14:paraId="60652DB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3,07</w:t>
            </w:r>
          </w:p>
        </w:tc>
      </w:tr>
      <w:tr w:rsidR="00BF12D5" w:rsidRPr="00BD0223" w14:paraId="6258836D"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1289F1F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CAMPO FLORIDO</w:t>
            </w:r>
          </w:p>
        </w:tc>
        <w:tc>
          <w:tcPr>
            <w:tcW w:w="1364" w:type="dxa"/>
            <w:tcBorders>
              <w:top w:val="nil"/>
              <w:left w:val="nil"/>
              <w:bottom w:val="single" w:sz="4" w:space="0" w:color="auto"/>
              <w:right w:val="single" w:sz="4" w:space="0" w:color="auto"/>
            </w:tcBorders>
            <w:shd w:val="clear" w:color="auto" w:fill="auto"/>
            <w:noWrap/>
            <w:vAlign w:val="center"/>
            <w:hideMark/>
          </w:tcPr>
          <w:p w14:paraId="51154DE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1,47</w:t>
            </w:r>
          </w:p>
        </w:tc>
        <w:tc>
          <w:tcPr>
            <w:tcW w:w="1364" w:type="dxa"/>
            <w:tcBorders>
              <w:top w:val="nil"/>
              <w:left w:val="nil"/>
              <w:bottom w:val="single" w:sz="4" w:space="0" w:color="auto"/>
              <w:right w:val="single" w:sz="4" w:space="0" w:color="auto"/>
            </w:tcBorders>
            <w:shd w:val="clear" w:color="auto" w:fill="auto"/>
            <w:noWrap/>
            <w:vAlign w:val="center"/>
            <w:hideMark/>
          </w:tcPr>
          <w:p w14:paraId="395A6C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1,36</w:t>
            </w:r>
          </w:p>
        </w:tc>
        <w:tc>
          <w:tcPr>
            <w:tcW w:w="1364" w:type="dxa"/>
            <w:tcBorders>
              <w:top w:val="nil"/>
              <w:left w:val="nil"/>
              <w:bottom w:val="single" w:sz="4" w:space="0" w:color="auto"/>
              <w:right w:val="single" w:sz="4" w:space="0" w:color="auto"/>
            </w:tcBorders>
            <w:shd w:val="clear" w:color="auto" w:fill="auto"/>
            <w:noWrap/>
            <w:vAlign w:val="center"/>
            <w:hideMark/>
          </w:tcPr>
          <w:p w14:paraId="5CFAFBC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1,36</w:t>
            </w:r>
          </w:p>
        </w:tc>
        <w:tc>
          <w:tcPr>
            <w:tcW w:w="1364" w:type="dxa"/>
            <w:tcBorders>
              <w:top w:val="nil"/>
              <w:left w:val="nil"/>
              <w:bottom w:val="single" w:sz="4" w:space="0" w:color="auto"/>
              <w:right w:val="single" w:sz="4" w:space="0" w:color="auto"/>
            </w:tcBorders>
            <w:shd w:val="clear" w:color="auto" w:fill="auto"/>
            <w:noWrap/>
            <w:vAlign w:val="center"/>
            <w:hideMark/>
          </w:tcPr>
          <w:p w14:paraId="2399E7A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1,11</w:t>
            </w:r>
          </w:p>
        </w:tc>
      </w:tr>
      <w:tr w:rsidR="00BF12D5" w:rsidRPr="00BD0223" w14:paraId="3DB4C38E"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78B6C84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CANAPOLIS</w:t>
            </w:r>
          </w:p>
        </w:tc>
        <w:tc>
          <w:tcPr>
            <w:tcW w:w="1364" w:type="dxa"/>
            <w:tcBorders>
              <w:top w:val="nil"/>
              <w:left w:val="nil"/>
              <w:bottom w:val="single" w:sz="4" w:space="0" w:color="auto"/>
              <w:right w:val="single" w:sz="4" w:space="0" w:color="auto"/>
            </w:tcBorders>
            <w:shd w:val="clear" w:color="auto" w:fill="auto"/>
            <w:noWrap/>
            <w:vAlign w:val="center"/>
            <w:hideMark/>
          </w:tcPr>
          <w:p w14:paraId="172F652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1,22</w:t>
            </w:r>
          </w:p>
        </w:tc>
        <w:tc>
          <w:tcPr>
            <w:tcW w:w="1364" w:type="dxa"/>
            <w:tcBorders>
              <w:top w:val="nil"/>
              <w:left w:val="nil"/>
              <w:bottom w:val="single" w:sz="4" w:space="0" w:color="auto"/>
              <w:right w:val="single" w:sz="4" w:space="0" w:color="auto"/>
            </w:tcBorders>
            <w:shd w:val="clear" w:color="auto" w:fill="auto"/>
            <w:noWrap/>
            <w:vAlign w:val="center"/>
            <w:hideMark/>
          </w:tcPr>
          <w:p w14:paraId="104762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1,33</w:t>
            </w:r>
          </w:p>
        </w:tc>
        <w:tc>
          <w:tcPr>
            <w:tcW w:w="1364" w:type="dxa"/>
            <w:tcBorders>
              <w:top w:val="nil"/>
              <w:left w:val="nil"/>
              <w:bottom w:val="single" w:sz="4" w:space="0" w:color="auto"/>
              <w:right w:val="single" w:sz="4" w:space="0" w:color="auto"/>
            </w:tcBorders>
            <w:shd w:val="clear" w:color="auto" w:fill="auto"/>
            <w:noWrap/>
            <w:vAlign w:val="center"/>
            <w:hideMark/>
          </w:tcPr>
          <w:p w14:paraId="1D8D50B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1,33</w:t>
            </w:r>
          </w:p>
        </w:tc>
        <w:tc>
          <w:tcPr>
            <w:tcW w:w="1364" w:type="dxa"/>
            <w:tcBorders>
              <w:top w:val="nil"/>
              <w:left w:val="nil"/>
              <w:bottom w:val="single" w:sz="4" w:space="0" w:color="auto"/>
              <w:right w:val="single" w:sz="4" w:space="0" w:color="auto"/>
            </w:tcBorders>
            <w:shd w:val="clear" w:color="auto" w:fill="auto"/>
            <w:noWrap/>
            <w:vAlign w:val="center"/>
            <w:hideMark/>
          </w:tcPr>
          <w:p w14:paraId="515ED24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1,18</w:t>
            </w:r>
          </w:p>
        </w:tc>
      </w:tr>
      <w:tr w:rsidR="00BF12D5" w:rsidRPr="00BD0223" w14:paraId="53E118B5"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5ABF046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CAPINOPOLIS</w:t>
            </w:r>
          </w:p>
        </w:tc>
        <w:tc>
          <w:tcPr>
            <w:tcW w:w="1364" w:type="dxa"/>
            <w:tcBorders>
              <w:top w:val="nil"/>
              <w:left w:val="nil"/>
              <w:bottom w:val="single" w:sz="4" w:space="0" w:color="auto"/>
              <w:right w:val="single" w:sz="4" w:space="0" w:color="auto"/>
            </w:tcBorders>
            <w:shd w:val="clear" w:color="auto" w:fill="auto"/>
            <w:noWrap/>
            <w:vAlign w:val="center"/>
            <w:hideMark/>
          </w:tcPr>
          <w:p w14:paraId="6D192A9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2,16</w:t>
            </w:r>
          </w:p>
        </w:tc>
        <w:tc>
          <w:tcPr>
            <w:tcW w:w="1364" w:type="dxa"/>
            <w:tcBorders>
              <w:top w:val="nil"/>
              <w:left w:val="nil"/>
              <w:bottom w:val="single" w:sz="4" w:space="0" w:color="auto"/>
              <w:right w:val="single" w:sz="4" w:space="0" w:color="auto"/>
            </w:tcBorders>
            <w:shd w:val="clear" w:color="auto" w:fill="auto"/>
            <w:noWrap/>
            <w:vAlign w:val="center"/>
            <w:hideMark/>
          </w:tcPr>
          <w:p w14:paraId="798341F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2,31</w:t>
            </w:r>
          </w:p>
        </w:tc>
        <w:tc>
          <w:tcPr>
            <w:tcW w:w="1364" w:type="dxa"/>
            <w:tcBorders>
              <w:top w:val="nil"/>
              <w:left w:val="nil"/>
              <w:bottom w:val="single" w:sz="4" w:space="0" w:color="auto"/>
              <w:right w:val="single" w:sz="4" w:space="0" w:color="auto"/>
            </w:tcBorders>
            <w:shd w:val="clear" w:color="auto" w:fill="auto"/>
            <w:noWrap/>
            <w:vAlign w:val="center"/>
            <w:hideMark/>
          </w:tcPr>
          <w:p w14:paraId="3B865E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2,37</w:t>
            </w:r>
          </w:p>
        </w:tc>
        <w:tc>
          <w:tcPr>
            <w:tcW w:w="1364" w:type="dxa"/>
            <w:tcBorders>
              <w:top w:val="nil"/>
              <w:left w:val="nil"/>
              <w:bottom w:val="single" w:sz="4" w:space="0" w:color="auto"/>
              <w:right w:val="single" w:sz="4" w:space="0" w:color="auto"/>
            </w:tcBorders>
            <w:shd w:val="clear" w:color="auto" w:fill="auto"/>
            <w:noWrap/>
            <w:vAlign w:val="center"/>
            <w:hideMark/>
          </w:tcPr>
          <w:p w14:paraId="2CDA75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1,89</w:t>
            </w:r>
          </w:p>
        </w:tc>
      </w:tr>
      <w:tr w:rsidR="00BF12D5" w:rsidRPr="00BD0223" w14:paraId="784807FE"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7D7DADB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CARNEIRINHO</w:t>
            </w:r>
          </w:p>
        </w:tc>
        <w:tc>
          <w:tcPr>
            <w:tcW w:w="1364" w:type="dxa"/>
            <w:tcBorders>
              <w:top w:val="nil"/>
              <w:left w:val="nil"/>
              <w:bottom w:val="single" w:sz="4" w:space="0" w:color="auto"/>
              <w:right w:val="single" w:sz="4" w:space="0" w:color="auto"/>
            </w:tcBorders>
            <w:shd w:val="clear" w:color="auto" w:fill="auto"/>
            <w:noWrap/>
            <w:vAlign w:val="center"/>
            <w:hideMark/>
          </w:tcPr>
          <w:p w14:paraId="597D6C9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1,75</w:t>
            </w:r>
          </w:p>
        </w:tc>
        <w:tc>
          <w:tcPr>
            <w:tcW w:w="1364" w:type="dxa"/>
            <w:tcBorders>
              <w:top w:val="nil"/>
              <w:left w:val="nil"/>
              <w:bottom w:val="single" w:sz="4" w:space="0" w:color="auto"/>
              <w:right w:val="single" w:sz="4" w:space="0" w:color="auto"/>
            </w:tcBorders>
            <w:shd w:val="clear" w:color="auto" w:fill="auto"/>
            <w:noWrap/>
            <w:vAlign w:val="center"/>
            <w:hideMark/>
          </w:tcPr>
          <w:p w14:paraId="3BBCB30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1,76</w:t>
            </w:r>
          </w:p>
        </w:tc>
        <w:tc>
          <w:tcPr>
            <w:tcW w:w="1364" w:type="dxa"/>
            <w:tcBorders>
              <w:top w:val="nil"/>
              <w:left w:val="nil"/>
              <w:bottom w:val="single" w:sz="4" w:space="0" w:color="auto"/>
              <w:right w:val="single" w:sz="4" w:space="0" w:color="auto"/>
            </w:tcBorders>
            <w:shd w:val="clear" w:color="auto" w:fill="auto"/>
            <w:noWrap/>
            <w:vAlign w:val="center"/>
            <w:hideMark/>
          </w:tcPr>
          <w:p w14:paraId="512DE8C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1,58</w:t>
            </w:r>
          </w:p>
        </w:tc>
        <w:tc>
          <w:tcPr>
            <w:tcW w:w="1364" w:type="dxa"/>
            <w:tcBorders>
              <w:top w:val="nil"/>
              <w:left w:val="nil"/>
              <w:bottom w:val="single" w:sz="4" w:space="0" w:color="auto"/>
              <w:right w:val="single" w:sz="4" w:space="0" w:color="auto"/>
            </w:tcBorders>
            <w:shd w:val="clear" w:color="auto" w:fill="auto"/>
            <w:noWrap/>
            <w:vAlign w:val="center"/>
            <w:hideMark/>
          </w:tcPr>
          <w:p w14:paraId="694788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1,12</w:t>
            </w:r>
          </w:p>
        </w:tc>
      </w:tr>
      <w:tr w:rsidR="00BF12D5" w:rsidRPr="00BD0223" w14:paraId="1C0D826C"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7E6786C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CASCALHO RICO</w:t>
            </w:r>
          </w:p>
        </w:tc>
        <w:tc>
          <w:tcPr>
            <w:tcW w:w="1364" w:type="dxa"/>
            <w:tcBorders>
              <w:top w:val="nil"/>
              <w:left w:val="nil"/>
              <w:bottom w:val="single" w:sz="4" w:space="0" w:color="auto"/>
              <w:right w:val="single" w:sz="4" w:space="0" w:color="auto"/>
            </w:tcBorders>
            <w:shd w:val="clear" w:color="auto" w:fill="auto"/>
            <w:noWrap/>
            <w:vAlign w:val="center"/>
            <w:hideMark/>
          </w:tcPr>
          <w:p w14:paraId="64AB0C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364" w:type="dxa"/>
            <w:tcBorders>
              <w:top w:val="nil"/>
              <w:left w:val="nil"/>
              <w:bottom w:val="single" w:sz="4" w:space="0" w:color="auto"/>
              <w:right w:val="single" w:sz="4" w:space="0" w:color="auto"/>
            </w:tcBorders>
            <w:shd w:val="clear" w:color="auto" w:fill="auto"/>
            <w:noWrap/>
            <w:vAlign w:val="center"/>
            <w:hideMark/>
          </w:tcPr>
          <w:p w14:paraId="111567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0,33</w:t>
            </w:r>
          </w:p>
        </w:tc>
        <w:tc>
          <w:tcPr>
            <w:tcW w:w="1364" w:type="dxa"/>
            <w:tcBorders>
              <w:top w:val="nil"/>
              <w:left w:val="nil"/>
              <w:bottom w:val="single" w:sz="4" w:space="0" w:color="auto"/>
              <w:right w:val="single" w:sz="4" w:space="0" w:color="auto"/>
            </w:tcBorders>
            <w:shd w:val="clear" w:color="auto" w:fill="auto"/>
            <w:noWrap/>
            <w:vAlign w:val="center"/>
            <w:hideMark/>
          </w:tcPr>
          <w:p w14:paraId="7D3B66C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0,30</w:t>
            </w:r>
          </w:p>
        </w:tc>
        <w:tc>
          <w:tcPr>
            <w:tcW w:w="1364" w:type="dxa"/>
            <w:tcBorders>
              <w:top w:val="nil"/>
              <w:left w:val="nil"/>
              <w:bottom w:val="single" w:sz="4" w:space="0" w:color="auto"/>
              <w:right w:val="single" w:sz="4" w:space="0" w:color="auto"/>
            </w:tcBorders>
            <w:shd w:val="clear" w:color="auto" w:fill="auto"/>
            <w:noWrap/>
            <w:vAlign w:val="center"/>
            <w:hideMark/>
          </w:tcPr>
          <w:p w14:paraId="6AE2DB8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0,25</w:t>
            </w:r>
          </w:p>
        </w:tc>
      </w:tr>
      <w:tr w:rsidR="00BF12D5" w:rsidRPr="00BD0223" w14:paraId="21C436F6"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4D5126C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CENTRALINA</w:t>
            </w:r>
          </w:p>
        </w:tc>
        <w:tc>
          <w:tcPr>
            <w:tcW w:w="1364" w:type="dxa"/>
            <w:tcBorders>
              <w:top w:val="nil"/>
              <w:left w:val="nil"/>
              <w:bottom w:val="single" w:sz="4" w:space="0" w:color="auto"/>
              <w:right w:val="single" w:sz="4" w:space="0" w:color="auto"/>
            </w:tcBorders>
            <w:shd w:val="clear" w:color="auto" w:fill="auto"/>
            <w:noWrap/>
            <w:vAlign w:val="center"/>
            <w:hideMark/>
          </w:tcPr>
          <w:p w14:paraId="3D48727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2,49</w:t>
            </w:r>
          </w:p>
        </w:tc>
        <w:tc>
          <w:tcPr>
            <w:tcW w:w="1364" w:type="dxa"/>
            <w:tcBorders>
              <w:top w:val="nil"/>
              <w:left w:val="nil"/>
              <w:bottom w:val="single" w:sz="4" w:space="0" w:color="auto"/>
              <w:right w:val="single" w:sz="4" w:space="0" w:color="auto"/>
            </w:tcBorders>
            <w:shd w:val="clear" w:color="auto" w:fill="auto"/>
            <w:noWrap/>
            <w:vAlign w:val="center"/>
            <w:hideMark/>
          </w:tcPr>
          <w:p w14:paraId="1F5BE3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2,92</w:t>
            </w:r>
          </w:p>
        </w:tc>
        <w:tc>
          <w:tcPr>
            <w:tcW w:w="1364" w:type="dxa"/>
            <w:tcBorders>
              <w:top w:val="nil"/>
              <w:left w:val="nil"/>
              <w:bottom w:val="single" w:sz="4" w:space="0" w:color="auto"/>
              <w:right w:val="single" w:sz="4" w:space="0" w:color="auto"/>
            </w:tcBorders>
            <w:shd w:val="clear" w:color="auto" w:fill="auto"/>
            <w:noWrap/>
            <w:vAlign w:val="center"/>
            <w:hideMark/>
          </w:tcPr>
          <w:p w14:paraId="2324F65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4,09</w:t>
            </w:r>
          </w:p>
        </w:tc>
        <w:tc>
          <w:tcPr>
            <w:tcW w:w="1364" w:type="dxa"/>
            <w:tcBorders>
              <w:top w:val="nil"/>
              <w:left w:val="nil"/>
              <w:bottom w:val="single" w:sz="4" w:space="0" w:color="auto"/>
              <w:right w:val="single" w:sz="4" w:space="0" w:color="auto"/>
            </w:tcBorders>
            <w:shd w:val="clear" w:color="auto" w:fill="auto"/>
            <w:noWrap/>
            <w:vAlign w:val="center"/>
            <w:hideMark/>
          </w:tcPr>
          <w:p w14:paraId="5C0AB4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2,40</w:t>
            </w:r>
          </w:p>
        </w:tc>
      </w:tr>
      <w:tr w:rsidR="00BF12D5" w:rsidRPr="00BD0223" w14:paraId="3CA8CC93"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7F7D4AB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COMENDADOR GOMES</w:t>
            </w:r>
          </w:p>
        </w:tc>
        <w:tc>
          <w:tcPr>
            <w:tcW w:w="1364" w:type="dxa"/>
            <w:tcBorders>
              <w:top w:val="nil"/>
              <w:left w:val="nil"/>
              <w:bottom w:val="single" w:sz="4" w:space="0" w:color="auto"/>
              <w:right w:val="single" w:sz="4" w:space="0" w:color="auto"/>
            </w:tcBorders>
            <w:shd w:val="clear" w:color="auto" w:fill="auto"/>
            <w:noWrap/>
            <w:vAlign w:val="center"/>
            <w:hideMark/>
          </w:tcPr>
          <w:p w14:paraId="04A8360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0,97</w:t>
            </w:r>
          </w:p>
        </w:tc>
        <w:tc>
          <w:tcPr>
            <w:tcW w:w="1364" w:type="dxa"/>
            <w:tcBorders>
              <w:top w:val="nil"/>
              <w:left w:val="nil"/>
              <w:bottom w:val="single" w:sz="4" w:space="0" w:color="auto"/>
              <w:right w:val="single" w:sz="4" w:space="0" w:color="auto"/>
            </w:tcBorders>
            <w:shd w:val="clear" w:color="auto" w:fill="auto"/>
            <w:noWrap/>
            <w:vAlign w:val="center"/>
            <w:hideMark/>
          </w:tcPr>
          <w:p w14:paraId="442DABF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0,96</w:t>
            </w:r>
          </w:p>
        </w:tc>
        <w:tc>
          <w:tcPr>
            <w:tcW w:w="1364" w:type="dxa"/>
            <w:tcBorders>
              <w:top w:val="nil"/>
              <w:left w:val="nil"/>
              <w:bottom w:val="single" w:sz="4" w:space="0" w:color="auto"/>
              <w:right w:val="single" w:sz="4" w:space="0" w:color="auto"/>
            </w:tcBorders>
            <w:shd w:val="clear" w:color="auto" w:fill="auto"/>
            <w:noWrap/>
            <w:vAlign w:val="center"/>
            <w:hideMark/>
          </w:tcPr>
          <w:p w14:paraId="272A30F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0,91</w:t>
            </w:r>
          </w:p>
        </w:tc>
        <w:tc>
          <w:tcPr>
            <w:tcW w:w="1364" w:type="dxa"/>
            <w:tcBorders>
              <w:top w:val="nil"/>
              <w:left w:val="nil"/>
              <w:bottom w:val="single" w:sz="4" w:space="0" w:color="auto"/>
              <w:right w:val="single" w:sz="4" w:space="0" w:color="auto"/>
            </w:tcBorders>
            <w:shd w:val="clear" w:color="auto" w:fill="auto"/>
            <w:noWrap/>
            <w:vAlign w:val="center"/>
            <w:hideMark/>
          </w:tcPr>
          <w:p w14:paraId="18A63E1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0,69</w:t>
            </w:r>
          </w:p>
        </w:tc>
      </w:tr>
      <w:tr w:rsidR="00BF12D5" w:rsidRPr="00BD0223" w14:paraId="3FFDE38B"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32BD03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CONCEICAO DAS ALAGOAS</w:t>
            </w:r>
          </w:p>
        </w:tc>
        <w:tc>
          <w:tcPr>
            <w:tcW w:w="1364" w:type="dxa"/>
            <w:tcBorders>
              <w:top w:val="nil"/>
              <w:left w:val="nil"/>
              <w:bottom w:val="single" w:sz="4" w:space="0" w:color="auto"/>
              <w:right w:val="single" w:sz="4" w:space="0" w:color="auto"/>
            </w:tcBorders>
            <w:shd w:val="clear" w:color="auto" w:fill="auto"/>
            <w:noWrap/>
            <w:vAlign w:val="center"/>
            <w:hideMark/>
          </w:tcPr>
          <w:p w14:paraId="183D7A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3,64</w:t>
            </w:r>
          </w:p>
        </w:tc>
        <w:tc>
          <w:tcPr>
            <w:tcW w:w="1364" w:type="dxa"/>
            <w:tcBorders>
              <w:top w:val="nil"/>
              <w:left w:val="nil"/>
              <w:bottom w:val="single" w:sz="4" w:space="0" w:color="auto"/>
              <w:right w:val="single" w:sz="4" w:space="0" w:color="auto"/>
            </w:tcBorders>
            <w:shd w:val="clear" w:color="auto" w:fill="auto"/>
            <w:noWrap/>
            <w:vAlign w:val="center"/>
            <w:hideMark/>
          </w:tcPr>
          <w:p w14:paraId="098AE75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3,87</w:t>
            </w:r>
          </w:p>
        </w:tc>
        <w:tc>
          <w:tcPr>
            <w:tcW w:w="1364" w:type="dxa"/>
            <w:tcBorders>
              <w:top w:val="nil"/>
              <w:left w:val="nil"/>
              <w:bottom w:val="single" w:sz="4" w:space="0" w:color="auto"/>
              <w:right w:val="single" w:sz="4" w:space="0" w:color="auto"/>
            </w:tcBorders>
            <w:shd w:val="clear" w:color="auto" w:fill="auto"/>
            <w:noWrap/>
            <w:vAlign w:val="center"/>
            <w:hideMark/>
          </w:tcPr>
          <w:p w14:paraId="30DAEE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4,05</w:t>
            </w:r>
          </w:p>
        </w:tc>
        <w:tc>
          <w:tcPr>
            <w:tcW w:w="1364" w:type="dxa"/>
            <w:tcBorders>
              <w:top w:val="nil"/>
              <w:left w:val="nil"/>
              <w:bottom w:val="single" w:sz="4" w:space="0" w:color="auto"/>
              <w:right w:val="single" w:sz="4" w:space="0" w:color="auto"/>
            </w:tcBorders>
            <w:shd w:val="clear" w:color="auto" w:fill="auto"/>
            <w:noWrap/>
            <w:vAlign w:val="center"/>
            <w:hideMark/>
          </w:tcPr>
          <w:p w14:paraId="5A09AB4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2,92</w:t>
            </w:r>
          </w:p>
        </w:tc>
      </w:tr>
      <w:tr w:rsidR="00BF12D5" w:rsidRPr="00BD0223" w14:paraId="4D92D5F6"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0A0F304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DELTA</w:t>
            </w:r>
          </w:p>
        </w:tc>
        <w:tc>
          <w:tcPr>
            <w:tcW w:w="1364" w:type="dxa"/>
            <w:tcBorders>
              <w:top w:val="nil"/>
              <w:left w:val="nil"/>
              <w:bottom w:val="single" w:sz="4" w:space="0" w:color="auto"/>
              <w:right w:val="single" w:sz="4" w:space="0" w:color="auto"/>
            </w:tcBorders>
            <w:shd w:val="clear" w:color="auto" w:fill="auto"/>
            <w:noWrap/>
            <w:vAlign w:val="center"/>
            <w:hideMark/>
          </w:tcPr>
          <w:p w14:paraId="03BBD30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1,68</w:t>
            </w:r>
          </w:p>
        </w:tc>
        <w:tc>
          <w:tcPr>
            <w:tcW w:w="1364" w:type="dxa"/>
            <w:tcBorders>
              <w:top w:val="nil"/>
              <w:left w:val="nil"/>
              <w:bottom w:val="single" w:sz="4" w:space="0" w:color="auto"/>
              <w:right w:val="single" w:sz="4" w:space="0" w:color="auto"/>
            </w:tcBorders>
            <w:shd w:val="clear" w:color="auto" w:fill="auto"/>
            <w:noWrap/>
            <w:vAlign w:val="center"/>
            <w:hideMark/>
          </w:tcPr>
          <w:p w14:paraId="579BBF6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1,60</w:t>
            </w:r>
          </w:p>
        </w:tc>
        <w:tc>
          <w:tcPr>
            <w:tcW w:w="1364" w:type="dxa"/>
            <w:tcBorders>
              <w:top w:val="nil"/>
              <w:left w:val="nil"/>
              <w:bottom w:val="single" w:sz="4" w:space="0" w:color="auto"/>
              <w:right w:val="single" w:sz="4" w:space="0" w:color="auto"/>
            </w:tcBorders>
            <w:shd w:val="clear" w:color="auto" w:fill="auto"/>
            <w:noWrap/>
            <w:vAlign w:val="center"/>
            <w:hideMark/>
          </w:tcPr>
          <w:p w14:paraId="0D0BE3E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1,16</w:t>
            </w:r>
          </w:p>
        </w:tc>
        <w:tc>
          <w:tcPr>
            <w:tcW w:w="1364" w:type="dxa"/>
            <w:tcBorders>
              <w:top w:val="nil"/>
              <w:left w:val="nil"/>
              <w:bottom w:val="single" w:sz="4" w:space="0" w:color="auto"/>
              <w:right w:val="single" w:sz="4" w:space="0" w:color="auto"/>
            </w:tcBorders>
            <w:shd w:val="clear" w:color="auto" w:fill="auto"/>
            <w:noWrap/>
            <w:vAlign w:val="center"/>
            <w:hideMark/>
          </w:tcPr>
          <w:p w14:paraId="1C3237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0,74</w:t>
            </w:r>
          </w:p>
        </w:tc>
      </w:tr>
      <w:tr w:rsidR="00BF12D5" w:rsidRPr="00BD0223" w14:paraId="51441B1A"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1527243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FRONTEIRA</w:t>
            </w:r>
          </w:p>
        </w:tc>
        <w:tc>
          <w:tcPr>
            <w:tcW w:w="1364" w:type="dxa"/>
            <w:tcBorders>
              <w:top w:val="nil"/>
              <w:left w:val="nil"/>
              <w:bottom w:val="single" w:sz="4" w:space="0" w:color="auto"/>
              <w:right w:val="single" w:sz="4" w:space="0" w:color="auto"/>
            </w:tcBorders>
            <w:shd w:val="clear" w:color="auto" w:fill="auto"/>
            <w:noWrap/>
            <w:vAlign w:val="center"/>
            <w:hideMark/>
          </w:tcPr>
          <w:p w14:paraId="19A4663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1,22</w:t>
            </w:r>
          </w:p>
        </w:tc>
        <w:tc>
          <w:tcPr>
            <w:tcW w:w="1364" w:type="dxa"/>
            <w:tcBorders>
              <w:top w:val="nil"/>
              <w:left w:val="nil"/>
              <w:bottom w:val="single" w:sz="4" w:space="0" w:color="auto"/>
              <w:right w:val="single" w:sz="4" w:space="0" w:color="auto"/>
            </w:tcBorders>
            <w:shd w:val="clear" w:color="auto" w:fill="auto"/>
            <w:noWrap/>
            <w:vAlign w:val="center"/>
            <w:hideMark/>
          </w:tcPr>
          <w:p w14:paraId="52F2DDF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1,24</w:t>
            </w:r>
          </w:p>
        </w:tc>
        <w:tc>
          <w:tcPr>
            <w:tcW w:w="1364" w:type="dxa"/>
            <w:tcBorders>
              <w:top w:val="nil"/>
              <w:left w:val="nil"/>
              <w:bottom w:val="single" w:sz="4" w:space="0" w:color="auto"/>
              <w:right w:val="single" w:sz="4" w:space="0" w:color="auto"/>
            </w:tcBorders>
            <w:shd w:val="clear" w:color="auto" w:fill="auto"/>
            <w:noWrap/>
            <w:vAlign w:val="center"/>
            <w:hideMark/>
          </w:tcPr>
          <w:p w14:paraId="4A3B3D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1,14</w:t>
            </w:r>
          </w:p>
        </w:tc>
        <w:tc>
          <w:tcPr>
            <w:tcW w:w="1364" w:type="dxa"/>
            <w:tcBorders>
              <w:top w:val="nil"/>
              <w:left w:val="nil"/>
              <w:bottom w:val="single" w:sz="4" w:space="0" w:color="auto"/>
              <w:right w:val="single" w:sz="4" w:space="0" w:color="auto"/>
            </w:tcBorders>
            <w:shd w:val="clear" w:color="auto" w:fill="auto"/>
            <w:noWrap/>
            <w:vAlign w:val="center"/>
            <w:hideMark/>
          </w:tcPr>
          <w:p w14:paraId="5DA3000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0,89</w:t>
            </w:r>
          </w:p>
        </w:tc>
      </w:tr>
      <w:tr w:rsidR="00BF12D5" w:rsidRPr="00BD0223" w14:paraId="00BEC4C7"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3CD08E2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FRUTAL</w:t>
            </w:r>
          </w:p>
        </w:tc>
        <w:tc>
          <w:tcPr>
            <w:tcW w:w="1364" w:type="dxa"/>
            <w:tcBorders>
              <w:top w:val="nil"/>
              <w:left w:val="nil"/>
              <w:bottom w:val="single" w:sz="4" w:space="0" w:color="auto"/>
              <w:right w:val="single" w:sz="4" w:space="0" w:color="auto"/>
            </w:tcBorders>
            <w:shd w:val="clear" w:color="auto" w:fill="auto"/>
            <w:noWrap/>
            <w:vAlign w:val="center"/>
            <w:hideMark/>
          </w:tcPr>
          <w:p w14:paraId="27E998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10,78</w:t>
            </w:r>
          </w:p>
        </w:tc>
        <w:tc>
          <w:tcPr>
            <w:tcW w:w="1364" w:type="dxa"/>
            <w:tcBorders>
              <w:top w:val="nil"/>
              <w:left w:val="nil"/>
              <w:bottom w:val="single" w:sz="4" w:space="0" w:color="auto"/>
              <w:right w:val="single" w:sz="4" w:space="0" w:color="auto"/>
            </w:tcBorders>
            <w:shd w:val="clear" w:color="auto" w:fill="auto"/>
            <w:noWrap/>
            <w:vAlign w:val="center"/>
            <w:hideMark/>
          </w:tcPr>
          <w:p w14:paraId="478A55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11,49</w:t>
            </w:r>
          </w:p>
        </w:tc>
        <w:tc>
          <w:tcPr>
            <w:tcW w:w="1364" w:type="dxa"/>
            <w:tcBorders>
              <w:top w:val="nil"/>
              <w:left w:val="nil"/>
              <w:bottom w:val="single" w:sz="4" w:space="0" w:color="auto"/>
              <w:right w:val="single" w:sz="4" w:space="0" w:color="auto"/>
            </w:tcBorders>
            <w:shd w:val="clear" w:color="auto" w:fill="auto"/>
            <w:noWrap/>
            <w:vAlign w:val="center"/>
            <w:hideMark/>
          </w:tcPr>
          <w:p w14:paraId="20FB6A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10,76</w:t>
            </w:r>
          </w:p>
        </w:tc>
        <w:tc>
          <w:tcPr>
            <w:tcW w:w="1364" w:type="dxa"/>
            <w:tcBorders>
              <w:top w:val="nil"/>
              <w:left w:val="nil"/>
              <w:bottom w:val="single" w:sz="4" w:space="0" w:color="auto"/>
              <w:right w:val="single" w:sz="4" w:space="0" w:color="auto"/>
            </w:tcBorders>
            <w:shd w:val="clear" w:color="auto" w:fill="auto"/>
            <w:noWrap/>
            <w:vAlign w:val="center"/>
            <w:hideMark/>
          </w:tcPr>
          <w:p w14:paraId="6836288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8,13</w:t>
            </w:r>
          </w:p>
        </w:tc>
      </w:tr>
      <w:tr w:rsidR="00BF12D5" w:rsidRPr="00BD0223" w14:paraId="65FCD23A"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318FBD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GURINHATA</w:t>
            </w:r>
          </w:p>
        </w:tc>
        <w:tc>
          <w:tcPr>
            <w:tcW w:w="1364" w:type="dxa"/>
            <w:tcBorders>
              <w:top w:val="nil"/>
              <w:left w:val="nil"/>
              <w:bottom w:val="single" w:sz="4" w:space="0" w:color="auto"/>
              <w:right w:val="single" w:sz="4" w:space="0" w:color="auto"/>
            </w:tcBorders>
            <w:shd w:val="clear" w:color="auto" w:fill="auto"/>
            <w:noWrap/>
            <w:vAlign w:val="center"/>
            <w:hideMark/>
          </w:tcPr>
          <w:p w14:paraId="7255068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0,68</w:t>
            </w:r>
          </w:p>
        </w:tc>
        <w:tc>
          <w:tcPr>
            <w:tcW w:w="1364" w:type="dxa"/>
            <w:tcBorders>
              <w:top w:val="nil"/>
              <w:left w:val="nil"/>
              <w:bottom w:val="single" w:sz="4" w:space="0" w:color="auto"/>
              <w:right w:val="single" w:sz="4" w:space="0" w:color="auto"/>
            </w:tcBorders>
            <w:shd w:val="clear" w:color="auto" w:fill="auto"/>
            <w:noWrap/>
            <w:vAlign w:val="center"/>
            <w:hideMark/>
          </w:tcPr>
          <w:p w14:paraId="42E9183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0,64</w:t>
            </w:r>
          </w:p>
        </w:tc>
        <w:tc>
          <w:tcPr>
            <w:tcW w:w="1364" w:type="dxa"/>
            <w:tcBorders>
              <w:top w:val="nil"/>
              <w:left w:val="nil"/>
              <w:bottom w:val="single" w:sz="4" w:space="0" w:color="auto"/>
              <w:right w:val="single" w:sz="4" w:space="0" w:color="auto"/>
            </w:tcBorders>
            <w:shd w:val="clear" w:color="auto" w:fill="auto"/>
            <w:noWrap/>
            <w:vAlign w:val="center"/>
            <w:hideMark/>
          </w:tcPr>
          <w:p w14:paraId="0353C9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0,60</w:t>
            </w:r>
          </w:p>
        </w:tc>
        <w:tc>
          <w:tcPr>
            <w:tcW w:w="1364" w:type="dxa"/>
            <w:tcBorders>
              <w:top w:val="nil"/>
              <w:left w:val="nil"/>
              <w:bottom w:val="single" w:sz="4" w:space="0" w:color="auto"/>
              <w:right w:val="single" w:sz="4" w:space="0" w:color="auto"/>
            </w:tcBorders>
            <w:shd w:val="clear" w:color="auto" w:fill="auto"/>
            <w:noWrap/>
            <w:vAlign w:val="center"/>
            <w:hideMark/>
          </w:tcPr>
          <w:p w14:paraId="406B0D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0,46</w:t>
            </w:r>
          </w:p>
        </w:tc>
      </w:tr>
      <w:tr w:rsidR="00BF12D5" w:rsidRPr="00BD0223" w14:paraId="2EFB658D"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2F19F5B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INDIANOPOLIS</w:t>
            </w:r>
          </w:p>
        </w:tc>
        <w:tc>
          <w:tcPr>
            <w:tcW w:w="1364" w:type="dxa"/>
            <w:tcBorders>
              <w:top w:val="nil"/>
              <w:left w:val="nil"/>
              <w:bottom w:val="single" w:sz="4" w:space="0" w:color="auto"/>
              <w:right w:val="single" w:sz="4" w:space="0" w:color="auto"/>
            </w:tcBorders>
            <w:shd w:val="clear" w:color="auto" w:fill="auto"/>
            <w:noWrap/>
            <w:vAlign w:val="center"/>
            <w:hideMark/>
          </w:tcPr>
          <w:p w14:paraId="11F4C7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1,33</w:t>
            </w:r>
          </w:p>
        </w:tc>
        <w:tc>
          <w:tcPr>
            <w:tcW w:w="1364" w:type="dxa"/>
            <w:tcBorders>
              <w:top w:val="nil"/>
              <w:left w:val="nil"/>
              <w:bottom w:val="single" w:sz="4" w:space="0" w:color="auto"/>
              <w:right w:val="single" w:sz="4" w:space="0" w:color="auto"/>
            </w:tcBorders>
            <w:shd w:val="clear" w:color="auto" w:fill="auto"/>
            <w:noWrap/>
            <w:vAlign w:val="center"/>
            <w:hideMark/>
          </w:tcPr>
          <w:p w14:paraId="769CE8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1,64</w:t>
            </w:r>
          </w:p>
        </w:tc>
        <w:tc>
          <w:tcPr>
            <w:tcW w:w="1364" w:type="dxa"/>
            <w:tcBorders>
              <w:top w:val="nil"/>
              <w:left w:val="nil"/>
              <w:bottom w:val="single" w:sz="4" w:space="0" w:color="auto"/>
              <w:right w:val="single" w:sz="4" w:space="0" w:color="auto"/>
            </w:tcBorders>
            <w:shd w:val="clear" w:color="auto" w:fill="auto"/>
            <w:noWrap/>
            <w:vAlign w:val="center"/>
            <w:hideMark/>
          </w:tcPr>
          <w:p w14:paraId="7CA0A4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1,41</w:t>
            </w:r>
          </w:p>
        </w:tc>
        <w:tc>
          <w:tcPr>
            <w:tcW w:w="1364" w:type="dxa"/>
            <w:tcBorders>
              <w:top w:val="nil"/>
              <w:left w:val="nil"/>
              <w:bottom w:val="single" w:sz="4" w:space="0" w:color="auto"/>
              <w:right w:val="single" w:sz="4" w:space="0" w:color="auto"/>
            </w:tcBorders>
            <w:shd w:val="clear" w:color="auto" w:fill="auto"/>
            <w:noWrap/>
            <w:vAlign w:val="center"/>
            <w:hideMark/>
          </w:tcPr>
          <w:p w14:paraId="39E55BB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0,98</w:t>
            </w:r>
          </w:p>
        </w:tc>
      </w:tr>
      <w:tr w:rsidR="00BF12D5" w:rsidRPr="00BD0223" w14:paraId="734E5F31"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7D739A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IPIACU</w:t>
            </w:r>
          </w:p>
        </w:tc>
        <w:tc>
          <w:tcPr>
            <w:tcW w:w="1364" w:type="dxa"/>
            <w:tcBorders>
              <w:top w:val="nil"/>
              <w:left w:val="nil"/>
              <w:bottom w:val="single" w:sz="4" w:space="0" w:color="auto"/>
              <w:right w:val="single" w:sz="4" w:space="0" w:color="auto"/>
            </w:tcBorders>
            <w:shd w:val="clear" w:color="auto" w:fill="auto"/>
            <w:noWrap/>
            <w:vAlign w:val="center"/>
            <w:hideMark/>
          </w:tcPr>
          <w:p w14:paraId="56F3722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0,43</w:t>
            </w:r>
          </w:p>
        </w:tc>
        <w:tc>
          <w:tcPr>
            <w:tcW w:w="1364" w:type="dxa"/>
            <w:tcBorders>
              <w:top w:val="nil"/>
              <w:left w:val="nil"/>
              <w:bottom w:val="single" w:sz="4" w:space="0" w:color="auto"/>
              <w:right w:val="single" w:sz="4" w:space="0" w:color="auto"/>
            </w:tcBorders>
            <w:shd w:val="clear" w:color="auto" w:fill="auto"/>
            <w:noWrap/>
            <w:vAlign w:val="center"/>
            <w:hideMark/>
          </w:tcPr>
          <w:p w14:paraId="546E6D6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0,44</w:t>
            </w:r>
          </w:p>
        </w:tc>
        <w:tc>
          <w:tcPr>
            <w:tcW w:w="1364" w:type="dxa"/>
            <w:tcBorders>
              <w:top w:val="nil"/>
              <w:left w:val="nil"/>
              <w:bottom w:val="single" w:sz="4" w:space="0" w:color="auto"/>
              <w:right w:val="single" w:sz="4" w:space="0" w:color="auto"/>
            </w:tcBorders>
            <w:shd w:val="clear" w:color="auto" w:fill="auto"/>
            <w:noWrap/>
            <w:vAlign w:val="center"/>
            <w:hideMark/>
          </w:tcPr>
          <w:p w14:paraId="2B68B7B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0,46</w:t>
            </w:r>
          </w:p>
        </w:tc>
        <w:tc>
          <w:tcPr>
            <w:tcW w:w="1364" w:type="dxa"/>
            <w:tcBorders>
              <w:top w:val="nil"/>
              <w:left w:val="nil"/>
              <w:bottom w:val="single" w:sz="4" w:space="0" w:color="auto"/>
              <w:right w:val="single" w:sz="4" w:space="0" w:color="auto"/>
            </w:tcBorders>
            <w:shd w:val="clear" w:color="auto" w:fill="auto"/>
            <w:noWrap/>
            <w:vAlign w:val="center"/>
            <w:hideMark/>
          </w:tcPr>
          <w:p w14:paraId="6B5D3F3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0,40</w:t>
            </w:r>
          </w:p>
        </w:tc>
      </w:tr>
      <w:tr w:rsidR="00BF12D5" w:rsidRPr="00BD0223" w14:paraId="41836300"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20A6C8B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ITAPAGIPE</w:t>
            </w:r>
          </w:p>
        </w:tc>
        <w:tc>
          <w:tcPr>
            <w:tcW w:w="1364" w:type="dxa"/>
            <w:tcBorders>
              <w:top w:val="nil"/>
              <w:left w:val="nil"/>
              <w:bottom w:val="single" w:sz="4" w:space="0" w:color="auto"/>
              <w:right w:val="single" w:sz="4" w:space="0" w:color="auto"/>
            </w:tcBorders>
            <w:shd w:val="clear" w:color="auto" w:fill="auto"/>
            <w:noWrap/>
            <w:vAlign w:val="center"/>
            <w:hideMark/>
          </w:tcPr>
          <w:p w14:paraId="396F26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1,55</w:t>
            </w:r>
          </w:p>
        </w:tc>
        <w:tc>
          <w:tcPr>
            <w:tcW w:w="1364" w:type="dxa"/>
            <w:tcBorders>
              <w:top w:val="nil"/>
              <w:left w:val="nil"/>
              <w:bottom w:val="single" w:sz="4" w:space="0" w:color="auto"/>
              <w:right w:val="single" w:sz="4" w:space="0" w:color="auto"/>
            </w:tcBorders>
            <w:shd w:val="clear" w:color="auto" w:fill="auto"/>
            <w:noWrap/>
            <w:vAlign w:val="center"/>
            <w:hideMark/>
          </w:tcPr>
          <w:p w14:paraId="782B303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1,60</w:t>
            </w:r>
          </w:p>
        </w:tc>
        <w:tc>
          <w:tcPr>
            <w:tcW w:w="1364" w:type="dxa"/>
            <w:tcBorders>
              <w:top w:val="nil"/>
              <w:left w:val="nil"/>
              <w:bottom w:val="single" w:sz="4" w:space="0" w:color="auto"/>
              <w:right w:val="single" w:sz="4" w:space="0" w:color="auto"/>
            </w:tcBorders>
            <w:shd w:val="clear" w:color="auto" w:fill="auto"/>
            <w:noWrap/>
            <w:vAlign w:val="center"/>
            <w:hideMark/>
          </w:tcPr>
          <w:p w14:paraId="2BE5430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1,76</w:t>
            </w:r>
          </w:p>
        </w:tc>
        <w:tc>
          <w:tcPr>
            <w:tcW w:w="1364" w:type="dxa"/>
            <w:tcBorders>
              <w:top w:val="nil"/>
              <w:left w:val="nil"/>
              <w:bottom w:val="single" w:sz="4" w:space="0" w:color="auto"/>
              <w:right w:val="single" w:sz="4" w:space="0" w:color="auto"/>
            </w:tcBorders>
            <w:shd w:val="clear" w:color="auto" w:fill="auto"/>
            <w:noWrap/>
            <w:vAlign w:val="center"/>
            <w:hideMark/>
          </w:tcPr>
          <w:p w14:paraId="15498BC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1,44</w:t>
            </w:r>
          </w:p>
        </w:tc>
      </w:tr>
      <w:tr w:rsidR="00BF12D5" w:rsidRPr="00BD0223" w14:paraId="47F00203"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6879C27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ITUIUTABA</w:t>
            </w:r>
          </w:p>
        </w:tc>
        <w:tc>
          <w:tcPr>
            <w:tcW w:w="1364" w:type="dxa"/>
            <w:tcBorders>
              <w:top w:val="nil"/>
              <w:left w:val="nil"/>
              <w:bottom w:val="single" w:sz="4" w:space="0" w:color="auto"/>
              <w:right w:val="single" w:sz="4" w:space="0" w:color="auto"/>
            </w:tcBorders>
            <w:shd w:val="clear" w:color="auto" w:fill="auto"/>
            <w:noWrap/>
            <w:vAlign w:val="center"/>
            <w:hideMark/>
          </w:tcPr>
          <w:p w14:paraId="2225B29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19,52</w:t>
            </w:r>
          </w:p>
        </w:tc>
        <w:tc>
          <w:tcPr>
            <w:tcW w:w="1364" w:type="dxa"/>
            <w:tcBorders>
              <w:top w:val="nil"/>
              <w:left w:val="nil"/>
              <w:bottom w:val="single" w:sz="4" w:space="0" w:color="auto"/>
              <w:right w:val="single" w:sz="4" w:space="0" w:color="auto"/>
            </w:tcBorders>
            <w:shd w:val="clear" w:color="auto" w:fill="auto"/>
            <w:noWrap/>
            <w:vAlign w:val="center"/>
            <w:hideMark/>
          </w:tcPr>
          <w:p w14:paraId="1B41D5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20,31</w:t>
            </w:r>
          </w:p>
        </w:tc>
        <w:tc>
          <w:tcPr>
            <w:tcW w:w="1364" w:type="dxa"/>
            <w:tcBorders>
              <w:top w:val="nil"/>
              <w:left w:val="nil"/>
              <w:bottom w:val="single" w:sz="4" w:space="0" w:color="auto"/>
              <w:right w:val="single" w:sz="4" w:space="0" w:color="auto"/>
            </w:tcBorders>
            <w:shd w:val="clear" w:color="auto" w:fill="auto"/>
            <w:noWrap/>
            <w:vAlign w:val="center"/>
            <w:hideMark/>
          </w:tcPr>
          <w:p w14:paraId="47AF20D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21,27</w:t>
            </w:r>
          </w:p>
        </w:tc>
        <w:tc>
          <w:tcPr>
            <w:tcW w:w="1364" w:type="dxa"/>
            <w:tcBorders>
              <w:top w:val="nil"/>
              <w:left w:val="nil"/>
              <w:bottom w:val="single" w:sz="4" w:space="0" w:color="auto"/>
              <w:right w:val="single" w:sz="4" w:space="0" w:color="auto"/>
            </w:tcBorders>
            <w:shd w:val="clear" w:color="auto" w:fill="auto"/>
            <w:noWrap/>
            <w:vAlign w:val="center"/>
            <w:hideMark/>
          </w:tcPr>
          <w:p w14:paraId="248CC86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15,61</w:t>
            </w:r>
          </w:p>
        </w:tc>
      </w:tr>
      <w:tr w:rsidR="00BF12D5" w:rsidRPr="00BD0223" w14:paraId="3FD98A82"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5D89FF9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ITURAMA</w:t>
            </w:r>
          </w:p>
        </w:tc>
        <w:tc>
          <w:tcPr>
            <w:tcW w:w="1364" w:type="dxa"/>
            <w:tcBorders>
              <w:top w:val="nil"/>
              <w:left w:val="nil"/>
              <w:bottom w:val="single" w:sz="4" w:space="0" w:color="auto"/>
              <w:right w:val="single" w:sz="4" w:space="0" w:color="auto"/>
            </w:tcBorders>
            <w:shd w:val="clear" w:color="auto" w:fill="auto"/>
            <w:noWrap/>
            <w:vAlign w:val="center"/>
            <w:hideMark/>
          </w:tcPr>
          <w:p w14:paraId="121EF6C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6,39</w:t>
            </w:r>
          </w:p>
        </w:tc>
        <w:tc>
          <w:tcPr>
            <w:tcW w:w="1364" w:type="dxa"/>
            <w:tcBorders>
              <w:top w:val="nil"/>
              <w:left w:val="nil"/>
              <w:bottom w:val="single" w:sz="4" w:space="0" w:color="auto"/>
              <w:right w:val="single" w:sz="4" w:space="0" w:color="auto"/>
            </w:tcBorders>
            <w:shd w:val="clear" w:color="auto" w:fill="auto"/>
            <w:noWrap/>
            <w:vAlign w:val="center"/>
            <w:hideMark/>
          </w:tcPr>
          <w:p w14:paraId="48EF2A7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6,37</w:t>
            </w:r>
          </w:p>
        </w:tc>
        <w:tc>
          <w:tcPr>
            <w:tcW w:w="1364" w:type="dxa"/>
            <w:tcBorders>
              <w:top w:val="nil"/>
              <w:left w:val="nil"/>
              <w:bottom w:val="single" w:sz="4" w:space="0" w:color="auto"/>
              <w:right w:val="single" w:sz="4" w:space="0" w:color="auto"/>
            </w:tcBorders>
            <w:shd w:val="clear" w:color="auto" w:fill="auto"/>
            <w:noWrap/>
            <w:vAlign w:val="center"/>
            <w:hideMark/>
          </w:tcPr>
          <w:p w14:paraId="1A3C9A6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6,94</w:t>
            </w:r>
          </w:p>
        </w:tc>
        <w:tc>
          <w:tcPr>
            <w:tcW w:w="1364" w:type="dxa"/>
            <w:tcBorders>
              <w:top w:val="nil"/>
              <w:left w:val="nil"/>
              <w:bottom w:val="single" w:sz="4" w:space="0" w:color="auto"/>
              <w:right w:val="single" w:sz="4" w:space="0" w:color="auto"/>
            </w:tcBorders>
            <w:shd w:val="clear" w:color="auto" w:fill="auto"/>
            <w:noWrap/>
            <w:vAlign w:val="center"/>
            <w:hideMark/>
          </w:tcPr>
          <w:p w14:paraId="21FB46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4,91</w:t>
            </w:r>
          </w:p>
        </w:tc>
      </w:tr>
      <w:tr w:rsidR="00BF12D5" w:rsidRPr="00BD0223" w14:paraId="2973668D"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17A3865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LIMEIRA DO OESTE</w:t>
            </w:r>
          </w:p>
        </w:tc>
        <w:tc>
          <w:tcPr>
            <w:tcW w:w="1364" w:type="dxa"/>
            <w:tcBorders>
              <w:top w:val="nil"/>
              <w:left w:val="nil"/>
              <w:bottom w:val="single" w:sz="4" w:space="0" w:color="auto"/>
              <w:right w:val="single" w:sz="4" w:space="0" w:color="auto"/>
            </w:tcBorders>
            <w:shd w:val="clear" w:color="auto" w:fill="auto"/>
            <w:noWrap/>
            <w:vAlign w:val="center"/>
            <w:hideMark/>
          </w:tcPr>
          <w:p w14:paraId="7765FE7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1,12</w:t>
            </w:r>
          </w:p>
        </w:tc>
        <w:tc>
          <w:tcPr>
            <w:tcW w:w="1364" w:type="dxa"/>
            <w:tcBorders>
              <w:top w:val="nil"/>
              <w:left w:val="nil"/>
              <w:bottom w:val="single" w:sz="4" w:space="0" w:color="auto"/>
              <w:right w:val="single" w:sz="4" w:space="0" w:color="auto"/>
            </w:tcBorders>
            <w:shd w:val="clear" w:color="auto" w:fill="auto"/>
            <w:noWrap/>
            <w:vAlign w:val="center"/>
            <w:hideMark/>
          </w:tcPr>
          <w:p w14:paraId="1EDFF7E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1,09</w:t>
            </w:r>
          </w:p>
        </w:tc>
        <w:tc>
          <w:tcPr>
            <w:tcW w:w="1364" w:type="dxa"/>
            <w:tcBorders>
              <w:top w:val="nil"/>
              <w:left w:val="nil"/>
              <w:bottom w:val="single" w:sz="4" w:space="0" w:color="auto"/>
              <w:right w:val="single" w:sz="4" w:space="0" w:color="auto"/>
            </w:tcBorders>
            <w:shd w:val="clear" w:color="auto" w:fill="auto"/>
            <w:noWrap/>
            <w:vAlign w:val="center"/>
            <w:hideMark/>
          </w:tcPr>
          <w:p w14:paraId="1136C06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1,06</w:t>
            </w:r>
          </w:p>
        </w:tc>
        <w:tc>
          <w:tcPr>
            <w:tcW w:w="1364" w:type="dxa"/>
            <w:tcBorders>
              <w:top w:val="nil"/>
              <w:left w:val="nil"/>
              <w:bottom w:val="single" w:sz="4" w:space="0" w:color="auto"/>
              <w:right w:val="single" w:sz="4" w:space="0" w:color="auto"/>
            </w:tcBorders>
            <w:shd w:val="clear" w:color="auto" w:fill="auto"/>
            <w:noWrap/>
            <w:vAlign w:val="center"/>
            <w:hideMark/>
          </w:tcPr>
          <w:p w14:paraId="7C7ED9B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0,79</w:t>
            </w:r>
          </w:p>
        </w:tc>
      </w:tr>
      <w:tr w:rsidR="00BF12D5" w:rsidRPr="00BD0223" w14:paraId="45A5313C"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4B31E8B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MONTE ALEGRE DE MINAS</w:t>
            </w:r>
          </w:p>
        </w:tc>
        <w:tc>
          <w:tcPr>
            <w:tcW w:w="1364" w:type="dxa"/>
            <w:tcBorders>
              <w:top w:val="nil"/>
              <w:left w:val="nil"/>
              <w:bottom w:val="single" w:sz="4" w:space="0" w:color="auto"/>
              <w:right w:val="single" w:sz="4" w:space="0" w:color="auto"/>
            </w:tcBorders>
            <w:shd w:val="clear" w:color="auto" w:fill="auto"/>
            <w:noWrap/>
            <w:vAlign w:val="center"/>
            <w:hideMark/>
          </w:tcPr>
          <w:p w14:paraId="54B8B45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6,86</w:t>
            </w:r>
          </w:p>
        </w:tc>
        <w:tc>
          <w:tcPr>
            <w:tcW w:w="1364" w:type="dxa"/>
            <w:tcBorders>
              <w:top w:val="nil"/>
              <w:left w:val="nil"/>
              <w:bottom w:val="single" w:sz="4" w:space="0" w:color="auto"/>
              <w:right w:val="single" w:sz="4" w:space="0" w:color="auto"/>
            </w:tcBorders>
            <w:shd w:val="clear" w:color="auto" w:fill="auto"/>
            <w:noWrap/>
            <w:vAlign w:val="center"/>
            <w:hideMark/>
          </w:tcPr>
          <w:p w14:paraId="4CEBC9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7,61</w:t>
            </w:r>
          </w:p>
        </w:tc>
        <w:tc>
          <w:tcPr>
            <w:tcW w:w="1364" w:type="dxa"/>
            <w:tcBorders>
              <w:top w:val="nil"/>
              <w:left w:val="nil"/>
              <w:bottom w:val="single" w:sz="4" w:space="0" w:color="auto"/>
              <w:right w:val="single" w:sz="4" w:space="0" w:color="auto"/>
            </w:tcBorders>
            <w:shd w:val="clear" w:color="auto" w:fill="auto"/>
            <w:noWrap/>
            <w:vAlign w:val="center"/>
            <w:hideMark/>
          </w:tcPr>
          <w:p w14:paraId="0CA4915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7,32</w:t>
            </w:r>
          </w:p>
        </w:tc>
        <w:tc>
          <w:tcPr>
            <w:tcW w:w="1364" w:type="dxa"/>
            <w:tcBorders>
              <w:top w:val="nil"/>
              <w:left w:val="nil"/>
              <w:bottom w:val="single" w:sz="4" w:space="0" w:color="auto"/>
              <w:right w:val="single" w:sz="4" w:space="0" w:color="auto"/>
            </w:tcBorders>
            <w:shd w:val="clear" w:color="auto" w:fill="auto"/>
            <w:noWrap/>
            <w:vAlign w:val="center"/>
            <w:hideMark/>
          </w:tcPr>
          <w:p w14:paraId="2067B55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5,43</w:t>
            </w:r>
          </w:p>
        </w:tc>
      </w:tr>
      <w:tr w:rsidR="00BF12D5" w:rsidRPr="00BD0223" w14:paraId="6B0C199A"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6D5EA81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PIRAJUBA</w:t>
            </w:r>
          </w:p>
        </w:tc>
        <w:tc>
          <w:tcPr>
            <w:tcW w:w="1364" w:type="dxa"/>
            <w:tcBorders>
              <w:top w:val="nil"/>
              <w:left w:val="nil"/>
              <w:bottom w:val="single" w:sz="4" w:space="0" w:color="auto"/>
              <w:right w:val="single" w:sz="4" w:space="0" w:color="auto"/>
            </w:tcBorders>
            <w:shd w:val="clear" w:color="auto" w:fill="auto"/>
            <w:noWrap/>
            <w:vAlign w:val="center"/>
            <w:hideMark/>
          </w:tcPr>
          <w:p w14:paraId="63630CF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0,46</w:t>
            </w:r>
          </w:p>
        </w:tc>
        <w:tc>
          <w:tcPr>
            <w:tcW w:w="1364" w:type="dxa"/>
            <w:tcBorders>
              <w:top w:val="nil"/>
              <w:left w:val="nil"/>
              <w:bottom w:val="single" w:sz="4" w:space="0" w:color="auto"/>
              <w:right w:val="single" w:sz="4" w:space="0" w:color="auto"/>
            </w:tcBorders>
            <w:shd w:val="clear" w:color="auto" w:fill="auto"/>
            <w:noWrap/>
            <w:vAlign w:val="center"/>
            <w:hideMark/>
          </w:tcPr>
          <w:p w14:paraId="69F42ED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0,43</w:t>
            </w:r>
          </w:p>
        </w:tc>
        <w:tc>
          <w:tcPr>
            <w:tcW w:w="1364" w:type="dxa"/>
            <w:tcBorders>
              <w:top w:val="nil"/>
              <w:left w:val="nil"/>
              <w:bottom w:val="single" w:sz="4" w:space="0" w:color="auto"/>
              <w:right w:val="single" w:sz="4" w:space="0" w:color="auto"/>
            </w:tcBorders>
            <w:shd w:val="clear" w:color="auto" w:fill="auto"/>
            <w:noWrap/>
            <w:vAlign w:val="center"/>
            <w:hideMark/>
          </w:tcPr>
          <w:p w14:paraId="57B5341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0,44</w:t>
            </w:r>
          </w:p>
        </w:tc>
        <w:tc>
          <w:tcPr>
            <w:tcW w:w="1364" w:type="dxa"/>
            <w:tcBorders>
              <w:top w:val="nil"/>
              <w:left w:val="nil"/>
              <w:bottom w:val="single" w:sz="4" w:space="0" w:color="auto"/>
              <w:right w:val="single" w:sz="4" w:space="0" w:color="auto"/>
            </w:tcBorders>
            <w:shd w:val="clear" w:color="auto" w:fill="auto"/>
            <w:noWrap/>
            <w:vAlign w:val="center"/>
            <w:hideMark/>
          </w:tcPr>
          <w:p w14:paraId="5D9CFFB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0,38</w:t>
            </w:r>
          </w:p>
        </w:tc>
      </w:tr>
      <w:tr w:rsidR="00BF12D5" w:rsidRPr="00BD0223" w14:paraId="686D2F99"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4A3F13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PLANURA</w:t>
            </w:r>
          </w:p>
        </w:tc>
        <w:tc>
          <w:tcPr>
            <w:tcW w:w="1364" w:type="dxa"/>
            <w:tcBorders>
              <w:top w:val="nil"/>
              <w:left w:val="nil"/>
              <w:bottom w:val="single" w:sz="4" w:space="0" w:color="auto"/>
              <w:right w:val="single" w:sz="4" w:space="0" w:color="auto"/>
            </w:tcBorders>
            <w:shd w:val="clear" w:color="auto" w:fill="auto"/>
            <w:noWrap/>
            <w:vAlign w:val="center"/>
            <w:hideMark/>
          </w:tcPr>
          <w:p w14:paraId="70D30E5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0,23</w:t>
            </w:r>
          </w:p>
        </w:tc>
        <w:tc>
          <w:tcPr>
            <w:tcW w:w="1364" w:type="dxa"/>
            <w:tcBorders>
              <w:top w:val="nil"/>
              <w:left w:val="nil"/>
              <w:bottom w:val="single" w:sz="4" w:space="0" w:color="auto"/>
              <w:right w:val="single" w:sz="4" w:space="0" w:color="auto"/>
            </w:tcBorders>
            <w:shd w:val="clear" w:color="auto" w:fill="auto"/>
            <w:noWrap/>
            <w:vAlign w:val="center"/>
            <w:hideMark/>
          </w:tcPr>
          <w:p w14:paraId="6BD9018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0,76</w:t>
            </w:r>
          </w:p>
        </w:tc>
        <w:tc>
          <w:tcPr>
            <w:tcW w:w="1364" w:type="dxa"/>
            <w:tcBorders>
              <w:top w:val="nil"/>
              <w:left w:val="nil"/>
              <w:bottom w:val="single" w:sz="4" w:space="0" w:color="auto"/>
              <w:right w:val="single" w:sz="4" w:space="0" w:color="auto"/>
            </w:tcBorders>
            <w:shd w:val="clear" w:color="auto" w:fill="auto"/>
            <w:noWrap/>
            <w:vAlign w:val="center"/>
            <w:hideMark/>
          </w:tcPr>
          <w:p w14:paraId="7F1BA82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0,75</w:t>
            </w:r>
          </w:p>
        </w:tc>
        <w:tc>
          <w:tcPr>
            <w:tcW w:w="1364" w:type="dxa"/>
            <w:tcBorders>
              <w:top w:val="nil"/>
              <w:left w:val="nil"/>
              <w:bottom w:val="single" w:sz="4" w:space="0" w:color="auto"/>
              <w:right w:val="single" w:sz="4" w:space="0" w:color="auto"/>
            </w:tcBorders>
            <w:shd w:val="clear" w:color="auto" w:fill="auto"/>
            <w:noWrap/>
            <w:vAlign w:val="center"/>
            <w:hideMark/>
          </w:tcPr>
          <w:p w14:paraId="630F98F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0,37</w:t>
            </w:r>
          </w:p>
        </w:tc>
      </w:tr>
      <w:tr w:rsidR="00BF12D5" w:rsidRPr="00BD0223" w14:paraId="69DDE8D3"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3FC7ECE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PRATA</w:t>
            </w:r>
          </w:p>
        </w:tc>
        <w:tc>
          <w:tcPr>
            <w:tcW w:w="1364" w:type="dxa"/>
            <w:tcBorders>
              <w:top w:val="nil"/>
              <w:left w:val="nil"/>
              <w:bottom w:val="single" w:sz="4" w:space="0" w:color="auto"/>
              <w:right w:val="single" w:sz="4" w:space="0" w:color="auto"/>
            </w:tcBorders>
            <w:shd w:val="clear" w:color="auto" w:fill="auto"/>
            <w:noWrap/>
            <w:vAlign w:val="center"/>
            <w:hideMark/>
          </w:tcPr>
          <w:p w14:paraId="73D932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9,25</w:t>
            </w:r>
          </w:p>
        </w:tc>
        <w:tc>
          <w:tcPr>
            <w:tcW w:w="1364" w:type="dxa"/>
            <w:tcBorders>
              <w:top w:val="nil"/>
              <w:left w:val="nil"/>
              <w:bottom w:val="single" w:sz="4" w:space="0" w:color="auto"/>
              <w:right w:val="single" w:sz="4" w:space="0" w:color="auto"/>
            </w:tcBorders>
            <w:shd w:val="clear" w:color="auto" w:fill="auto"/>
            <w:noWrap/>
            <w:vAlign w:val="center"/>
            <w:hideMark/>
          </w:tcPr>
          <w:p w14:paraId="6E84F2A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8,17</w:t>
            </w:r>
          </w:p>
        </w:tc>
        <w:tc>
          <w:tcPr>
            <w:tcW w:w="1364" w:type="dxa"/>
            <w:tcBorders>
              <w:top w:val="nil"/>
              <w:left w:val="nil"/>
              <w:bottom w:val="single" w:sz="4" w:space="0" w:color="auto"/>
              <w:right w:val="single" w:sz="4" w:space="0" w:color="auto"/>
            </w:tcBorders>
            <w:shd w:val="clear" w:color="auto" w:fill="auto"/>
            <w:noWrap/>
            <w:vAlign w:val="center"/>
            <w:hideMark/>
          </w:tcPr>
          <w:p w14:paraId="7D5E41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8,14</w:t>
            </w:r>
          </w:p>
        </w:tc>
        <w:tc>
          <w:tcPr>
            <w:tcW w:w="1364" w:type="dxa"/>
            <w:tcBorders>
              <w:top w:val="nil"/>
              <w:left w:val="nil"/>
              <w:bottom w:val="single" w:sz="4" w:space="0" w:color="auto"/>
              <w:right w:val="single" w:sz="4" w:space="0" w:color="auto"/>
            </w:tcBorders>
            <w:shd w:val="clear" w:color="auto" w:fill="auto"/>
            <w:noWrap/>
            <w:vAlign w:val="center"/>
            <w:hideMark/>
          </w:tcPr>
          <w:p w14:paraId="240EE11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6,49</w:t>
            </w:r>
          </w:p>
        </w:tc>
      </w:tr>
      <w:tr w:rsidR="00BF12D5" w:rsidRPr="00BD0223" w14:paraId="752A398D"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0139CC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ROSARIO DA LIMEIRA</w:t>
            </w:r>
          </w:p>
        </w:tc>
        <w:tc>
          <w:tcPr>
            <w:tcW w:w="1364" w:type="dxa"/>
            <w:tcBorders>
              <w:top w:val="nil"/>
              <w:left w:val="nil"/>
              <w:bottom w:val="single" w:sz="4" w:space="0" w:color="auto"/>
              <w:right w:val="single" w:sz="4" w:space="0" w:color="auto"/>
            </w:tcBorders>
            <w:shd w:val="clear" w:color="auto" w:fill="auto"/>
            <w:noWrap/>
            <w:vAlign w:val="center"/>
            <w:hideMark/>
          </w:tcPr>
          <w:p w14:paraId="216EFE5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0,52</w:t>
            </w:r>
          </w:p>
        </w:tc>
        <w:tc>
          <w:tcPr>
            <w:tcW w:w="1364" w:type="dxa"/>
            <w:tcBorders>
              <w:top w:val="nil"/>
              <w:left w:val="nil"/>
              <w:bottom w:val="single" w:sz="4" w:space="0" w:color="auto"/>
              <w:right w:val="single" w:sz="4" w:space="0" w:color="auto"/>
            </w:tcBorders>
            <w:shd w:val="clear" w:color="auto" w:fill="auto"/>
            <w:noWrap/>
            <w:vAlign w:val="center"/>
            <w:hideMark/>
          </w:tcPr>
          <w:p w14:paraId="3A2121F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0,47</w:t>
            </w:r>
          </w:p>
        </w:tc>
        <w:tc>
          <w:tcPr>
            <w:tcW w:w="1364" w:type="dxa"/>
            <w:tcBorders>
              <w:top w:val="nil"/>
              <w:left w:val="nil"/>
              <w:bottom w:val="single" w:sz="4" w:space="0" w:color="auto"/>
              <w:right w:val="single" w:sz="4" w:space="0" w:color="auto"/>
            </w:tcBorders>
            <w:shd w:val="clear" w:color="auto" w:fill="auto"/>
            <w:noWrap/>
            <w:vAlign w:val="center"/>
            <w:hideMark/>
          </w:tcPr>
          <w:p w14:paraId="24218A9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0,46</w:t>
            </w:r>
          </w:p>
        </w:tc>
        <w:tc>
          <w:tcPr>
            <w:tcW w:w="1364" w:type="dxa"/>
            <w:tcBorders>
              <w:top w:val="nil"/>
              <w:left w:val="nil"/>
              <w:bottom w:val="single" w:sz="4" w:space="0" w:color="auto"/>
              <w:right w:val="single" w:sz="4" w:space="0" w:color="auto"/>
            </w:tcBorders>
            <w:shd w:val="clear" w:color="auto" w:fill="auto"/>
            <w:noWrap/>
            <w:vAlign w:val="center"/>
            <w:hideMark/>
          </w:tcPr>
          <w:p w14:paraId="35CF84E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0,43</w:t>
            </w:r>
          </w:p>
        </w:tc>
      </w:tr>
      <w:tr w:rsidR="00BF12D5" w:rsidRPr="00BD0223" w14:paraId="0B4C96E9"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6FEED9C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VITORIA</w:t>
            </w:r>
          </w:p>
        </w:tc>
        <w:tc>
          <w:tcPr>
            <w:tcW w:w="1364" w:type="dxa"/>
            <w:tcBorders>
              <w:top w:val="nil"/>
              <w:left w:val="nil"/>
              <w:bottom w:val="single" w:sz="4" w:space="0" w:color="auto"/>
              <w:right w:val="single" w:sz="4" w:space="0" w:color="auto"/>
            </w:tcBorders>
            <w:shd w:val="clear" w:color="auto" w:fill="auto"/>
            <w:noWrap/>
            <w:vAlign w:val="center"/>
            <w:hideMark/>
          </w:tcPr>
          <w:p w14:paraId="39263F7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3,47</w:t>
            </w:r>
          </w:p>
        </w:tc>
        <w:tc>
          <w:tcPr>
            <w:tcW w:w="1364" w:type="dxa"/>
            <w:tcBorders>
              <w:top w:val="nil"/>
              <w:left w:val="nil"/>
              <w:bottom w:val="single" w:sz="4" w:space="0" w:color="auto"/>
              <w:right w:val="single" w:sz="4" w:space="0" w:color="auto"/>
            </w:tcBorders>
            <w:shd w:val="clear" w:color="auto" w:fill="auto"/>
            <w:noWrap/>
            <w:vAlign w:val="center"/>
            <w:hideMark/>
          </w:tcPr>
          <w:p w14:paraId="0B5CFE9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3,76</w:t>
            </w:r>
          </w:p>
        </w:tc>
        <w:tc>
          <w:tcPr>
            <w:tcW w:w="1364" w:type="dxa"/>
            <w:tcBorders>
              <w:top w:val="nil"/>
              <w:left w:val="nil"/>
              <w:bottom w:val="single" w:sz="4" w:space="0" w:color="auto"/>
              <w:right w:val="single" w:sz="4" w:space="0" w:color="auto"/>
            </w:tcBorders>
            <w:shd w:val="clear" w:color="auto" w:fill="auto"/>
            <w:noWrap/>
            <w:vAlign w:val="center"/>
            <w:hideMark/>
          </w:tcPr>
          <w:p w14:paraId="09A08C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3,70</w:t>
            </w:r>
          </w:p>
        </w:tc>
        <w:tc>
          <w:tcPr>
            <w:tcW w:w="1364" w:type="dxa"/>
            <w:tcBorders>
              <w:top w:val="nil"/>
              <w:left w:val="nil"/>
              <w:bottom w:val="single" w:sz="4" w:space="0" w:color="auto"/>
              <w:right w:val="single" w:sz="4" w:space="0" w:color="auto"/>
            </w:tcBorders>
            <w:shd w:val="clear" w:color="auto" w:fill="auto"/>
            <w:noWrap/>
            <w:vAlign w:val="center"/>
            <w:hideMark/>
          </w:tcPr>
          <w:p w14:paraId="6F437E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2,86</w:t>
            </w:r>
          </w:p>
        </w:tc>
      </w:tr>
      <w:tr w:rsidR="00BF12D5" w:rsidRPr="00BD0223" w14:paraId="761B6FDB"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144627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FRANCISCO DE SALES</w:t>
            </w:r>
          </w:p>
        </w:tc>
        <w:tc>
          <w:tcPr>
            <w:tcW w:w="1364" w:type="dxa"/>
            <w:tcBorders>
              <w:top w:val="nil"/>
              <w:left w:val="nil"/>
              <w:bottom w:val="single" w:sz="4" w:space="0" w:color="auto"/>
              <w:right w:val="single" w:sz="4" w:space="0" w:color="auto"/>
            </w:tcBorders>
            <w:shd w:val="clear" w:color="auto" w:fill="auto"/>
            <w:noWrap/>
            <w:vAlign w:val="center"/>
            <w:hideMark/>
          </w:tcPr>
          <w:p w14:paraId="625B0FC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0,78</w:t>
            </w:r>
          </w:p>
        </w:tc>
        <w:tc>
          <w:tcPr>
            <w:tcW w:w="1364" w:type="dxa"/>
            <w:tcBorders>
              <w:top w:val="nil"/>
              <w:left w:val="nil"/>
              <w:bottom w:val="single" w:sz="4" w:space="0" w:color="auto"/>
              <w:right w:val="single" w:sz="4" w:space="0" w:color="auto"/>
            </w:tcBorders>
            <w:shd w:val="clear" w:color="auto" w:fill="auto"/>
            <w:noWrap/>
            <w:vAlign w:val="center"/>
            <w:hideMark/>
          </w:tcPr>
          <w:p w14:paraId="5A79BC0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0,82</w:t>
            </w:r>
          </w:p>
        </w:tc>
        <w:tc>
          <w:tcPr>
            <w:tcW w:w="1364" w:type="dxa"/>
            <w:tcBorders>
              <w:top w:val="nil"/>
              <w:left w:val="nil"/>
              <w:bottom w:val="single" w:sz="4" w:space="0" w:color="auto"/>
              <w:right w:val="single" w:sz="4" w:space="0" w:color="auto"/>
            </w:tcBorders>
            <w:shd w:val="clear" w:color="auto" w:fill="auto"/>
            <w:noWrap/>
            <w:vAlign w:val="center"/>
            <w:hideMark/>
          </w:tcPr>
          <w:p w14:paraId="0B2F5E3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0,82</w:t>
            </w:r>
          </w:p>
        </w:tc>
        <w:tc>
          <w:tcPr>
            <w:tcW w:w="1364" w:type="dxa"/>
            <w:tcBorders>
              <w:top w:val="nil"/>
              <w:left w:val="nil"/>
              <w:bottom w:val="single" w:sz="4" w:space="0" w:color="auto"/>
              <w:right w:val="single" w:sz="4" w:space="0" w:color="auto"/>
            </w:tcBorders>
            <w:shd w:val="clear" w:color="auto" w:fill="auto"/>
            <w:noWrap/>
            <w:vAlign w:val="center"/>
            <w:hideMark/>
          </w:tcPr>
          <w:p w14:paraId="333E3F9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0,61</w:t>
            </w:r>
          </w:p>
        </w:tc>
      </w:tr>
      <w:tr w:rsidR="00BF12D5" w:rsidRPr="00BD0223" w14:paraId="5E3AFB06"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159F0E2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TUPACIGUARA</w:t>
            </w:r>
          </w:p>
        </w:tc>
        <w:tc>
          <w:tcPr>
            <w:tcW w:w="1364" w:type="dxa"/>
            <w:tcBorders>
              <w:top w:val="nil"/>
              <w:left w:val="nil"/>
              <w:bottom w:val="single" w:sz="4" w:space="0" w:color="auto"/>
              <w:right w:val="single" w:sz="4" w:space="0" w:color="auto"/>
            </w:tcBorders>
            <w:shd w:val="clear" w:color="auto" w:fill="auto"/>
            <w:noWrap/>
            <w:vAlign w:val="center"/>
            <w:hideMark/>
          </w:tcPr>
          <w:p w14:paraId="11EE05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3,87</w:t>
            </w:r>
          </w:p>
        </w:tc>
        <w:tc>
          <w:tcPr>
            <w:tcW w:w="1364" w:type="dxa"/>
            <w:tcBorders>
              <w:top w:val="nil"/>
              <w:left w:val="nil"/>
              <w:bottom w:val="single" w:sz="4" w:space="0" w:color="auto"/>
              <w:right w:val="single" w:sz="4" w:space="0" w:color="auto"/>
            </w:tcBorders>
            <w:shd w:val="clear" w:color="auto" w:fill="auto"/>
            <w:noWrap/>
            <w:vAlign w:val="center"/>
            <w:hideMark/>
          </w:tcPr>
          <w:p w14:paraId="735B55D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3,86</w:t>
            </w:r>
          </w:p>
        </w:tc>
        <w:tc>
          <w:tcPr>
            <w:tcW w:w="1364" w:type="dxa"/>
            <w:tcBorders>
              <w:top w:val="nil"/>
              <w:left w:val="nil"/>
              <w:bottom w:val="single" w:sz="4" w:space="0" w:color="auto"/>
              <w:right w:val="single" w:sz="4" w:space="0" w:color="auto"/>
            </w:tcBorders>
            <w:shd w:val="clear" w:color="auto" w:fill="auto"/>
            <w:noWrap/>
            <w:vAlign w:val="center"/>
            <w:hideMark/>
          </w:tcPr>
          <w:p w14:paraId="11FA18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3,97</w:t>
            </w:r>
          </w:p>
        </w:tc>
        <w:tc>
          <w:tcPr>
            <w:tcW w:w="1364" w:type="dxa"/>
            <w:tcBorders>
              <w:top w:val="nil"/>
              <w:left w:val="nil"/>
              <w:bottom w:val="single" w:sz="4" w:space="0" w:color="auto"/>
              <w:right w:val="single" w:sz="4" w:space="0" w:color="auto"/>
            </w:tcBorders>
            <w:shd w:val="clear" w:color="auto" w:fill="auto"/>
            <w:noWrap/>
            <w:vAlign w:val="center"/>
            <w:hideMark/>
          </w:tcPr>
          <w:p w14:paraId="427A05B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3,23</w:t>
            </w:r>
          </w:p>
        </w:tc>
      </w:tr>
      <w:tr w:rsidR="00BF12D5" w:rsidRPr="00BD0223" w14:paraId="236104A7"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17BD0D7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UBERABA</w:t>
            </w:r>
          </w:p>
        </w:tc>
        <w:tc>
          <w:tcPr>
            <w:tcW w:w="1364" w:type="dxa"/>
            <w:tcBorders>
              <w:top w:val="nil"/>
              <w:left w:val="nil"/>
              <w:bottom w:val="single" w:sz="4" w:space="0" w:color="auto"/>
              <w:right w:val="single" w:sz="4" w:space="0" w:color="auto"/>
            </w:tcBorders>
            <w:shd w:val="clear" w:color="auto" w:fill="auto"/>
            <w:noWrap/>
            <w:vAlign w:val="center"/>
            <w:hideMark/>
          </w:tcPr>
          <w:p w14:paraId="4AB96FF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80,39</w:t>
            </w:r>
          </w:p>
        </w:tc>
        <w:tc>
          <w:tcPr>
            <w:tcW w:w="1364" w:type="dxa"/>
            <w:tcBorders>
              <w:top w:val="nil"/>
              <w:left w:val="nil"/>
              <w:bottom w:val="single" w:sz="4" w:space="0" w:color="auto"/>
              <w:right w:val="single" w:sz="4" w:space="0" w:color="auto"/>
            </w:tcBorders>
            <w:shd w:val="clear" w:color="auto" w:fill="auto"/>
            <w:noWrap/>
            <w:vAlign w:val="center"/>
            <w:hideMark/>
          </w:tcPr>
          <w:p w14:paraId="4709D8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83,31</w:t>
            </w:r>
          </w:p>
        </w:tc>
        <w:tc>
          <w:tcPr>
            <w:tcW w:w="1364" w:type="dxa"/>
            <w:tcBorders>
              <w:top w:val="nil"/>
              <w:left w:val="nil"/>
              <w:bottom w:val="single" w:sz="4" w:space="0" w:color="auto"/>
              <w:right w:val="single" w:sz="4" w:space="0" w:color="auto"/>
            </w:tcBorders>
            <w:shd w:val="clear" w:color="auto" w:fill="auto"/>
            <w:noWrap/>
            <w:vAlign w:val="center"/>
            <w:hideMark/>
          </w:tcPr>
          <w:p w14:paraId="5FC0010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88,71</w:t>
            </w:r>
          </w:p>
        </w:tc>
        <w:tc>
          <w:tcPr>
            <w:tcW w:w="1364" w:type="dxa"/>
            <w:tcBorders>
              <w:top w:val="nil"/>
              <w:left w:val="nil"/>
              <w:bottom w:val="single" w:sz="4" w:space="0" w:color="auto"/>
              <w:right w:val="single" w:sz="4" w:space="0" w:color="auto"/>
            </w:tcBorders>
            <w:shd w:val="clear" w:color="auto" w:fill="auto"/>
            <w:noWrap/>
            <w:vAlign w:val="center"/>
            <w:hideMark/>
          </w:tcPr>
          <w:p w14:paraId="63F404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64,15</w:t>
            </w:r>
          </w:p>
        </w:tc>
      </w:tr>
      <w:tr w:rsidR="00BF12D5" w:rsidRPr="00BD0223" w14:paraId="09BB4EC7"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5BFC2E7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UBERLANDIA</w:t>
            </w:r>
          </w:p>
        </w:tc>
        <w:tc>
          <w:tcPr>
            <w:tcW w:w="1364" w:type="dxa"/>
            <w:tcBorders>
              <w:top w:val="nil"/>
              <w:left w:val="nil"/>
              <w:bottom w:val="single" w:sz="4" w:space="0" w:color="auto"/>
              <w:right w:val="single" w:sz="4" w:space="0" w:color="auto"/>
            </w:tcBorders>
            <w:shd w:val="clear" w:color="auto" w:fill="auto"/>
            <w:noWrap/>
            <w:vAlign w:val="center"/>
            <w:hideMark/>
          </w:tcPr>
          <w:p w14:paraId="748E929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182,18</w:t>
            </w:r>
          </w:p>
        </w:tc>
        <w:tc>
          <w:tcPr>
            <w:tcW w:w="1364" w:type="dxa"/>
            <w:tcBorders>
              <w:top w:val="nil"/>
              <w:left w:val="nil"/>
              <w:bottom w:val="single" w:sz="4" w:space="0" w:color="auto"/>
              <w:right w:val="single" w:sz="4" w:space="0" w:color="auto"/>
            </w:tcBorders>
            <w:shd w:val="clear" w:color="auto" w:fill="auto"/>
            <w:noWrap/>
            <w:vAlign w:val="center"/>
            <w:hideMark/>
          </w:tcPr>
          <w:p w14:paraId="1C9AC07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198,69</w:t>
            </w:r>
          </w:p>
        </w:tc>
        <w:tc>
          <w:tcPr>
            <w:tcW w:w="1364" w:type="dxa"/>
            <w:tcBorders>
              <w:top w:val="nil"/>
              <w:left w:val="nil"/>
              <w:bottom w:val="single" w:sz="4" w:space="0" w:color="auto"/>
              <w:right w:val="single" w:sz="4" w:space="0" w:color="auto"/>
            </w:tcBorders>
            <w:shd w:val="clear" w:color="auto" w:fill="auto"/>
            <w:noWrap/>
            <w:vAlign w:val="center"/>
            <w:hideMark/>
          </w:tcPr>
          <w:p w14:paraId="77D74B3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213,18</w:t>
            </w:r>
          </w:p>
        </w:tc>
        <w:tc>
          <w:tcPr>
            <w:tcW w:w="1364" w:type="dxa"/>
            <w:tcBorders>
              <w:top w:val="nil"/>
              <w:left w:val="nil"/>
              <w:bottom w:val="single" w:sz="4" w:space="0" w:color="auto"/>
              <w:right w:val="single" w:sz="4" w:space="0" w:color="auto"/>
            </w:tcBorders>
            <w:shd w:val="clear" w:color="auto" w:fill="auto"/>
            <w:noWrap/>
            <w:vAlign w:val="center"/>
            <w:hideMark/>
          </w:tcPr>
          <w:p w14:paraId="196D1B4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149,42</w:t>
            </w:r>
          </w:p>
        </w:tc>
      </w:tr>
      <w:tr w:rsidR="00BF12D5" w:rsidRPr="00BD0223" w14:paraId="225168F8" w14:textId="77777777" w:rsidTr="0039539B">
        <w:trPr>
          <w:trHeight w:val="312"/>
          <w:jc w:val="center"/>
        </w:trPr>
        <w:tc>
          <w:tcPr>
            <w:tcW w:w="3605" w:type="dxa"/>
            <w:tcBorders>
              <w:top w:val="nil"/>
              <w:left w:val="single" w:sz="4" w:space="0" w:color="auto"/>
              <w:bottom w:val="single" w:sz="4" w:space="0" w:color="auto"/>
              <w:right w:val="single" w:sz="4" w:space="0" w:color="auto"/>
            </w:tcBorders>
            <w:shd w:val="clear" w:color="auto" w:fill="auto"/>
            <w:noWrap/>
            <w:vAlign w:val="center"/>
            <w:hideMark/>
          </w:tcPr>
          <w:p w14:paraId="71C9EA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UNIAO DE MINAS</w:t>
            </w:r>
          </w:p>
        </w:tc>
        <w:tc>
          <w:tcPr>
            <w:tcW w:w="1364" w:type="dxa"/>
            <w:tcBorders>
              <w:top w:val="nil"/>
              <w:left w:val="nil"/>
              <w:bottom w:val="single" w:sz="4" w:space="0" w:color="auto"/>
              <w:right w:val="single" w:sz="4" w:space="0" w:color="auto"/>
            </w:tcBorders>
            <w:shd w:val="clear" w:color="auto" w:fill="auto"/>
            <w:noWrap/>
            <w:vAlign w:val="center"/>
            <w:hideMark/>
          </w:tcPr>
          <w:p w14:paraId="6A3CEC8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0,39</w:t>
            </w:r>
          </w:p>
        </w:tc>
        <w:tc>
          <w:tcPr>
            <w:tcW w:w="1364" w:type="dxa"/>
            <w:tcBorders>
              <w:top w:val="nil"/>
              <w:left w:val="nil"/>
              <w:bottom w:val="single" w:sz="4" w:space="0" w:color="auto"/>
              <w:right w:val="single" w:sz="4" w:space="0" w:color="auto"/>
            </w:tcBorders>
            <w:shd w:val="clear" w:color="auto" w:fill="auto"/>
            <w:noWrap/>
            <w:vAlign w:val="center"/>
            <w:hideMark/>
          </w:tcPr>
          <w:p w14:paraId="3E49DBD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0,39</w:t>
            </w:r>
          </w:p>
        </w:tc>
        <w:tc>
          <w:tcPr>
            <w:tcW w:w="1364" w:type="dxa"/>
            <w:tcBorders>
              <w:top w:val="nil"/>
              <w:left w:val="nil"/>
              <w:bottom w:val="single" w:sz="4" w:space="0" w:color="auto"/>
              <w:right w:val="single" w:sz="4" w:space="0" w:color="auto"/>
            </w:tcBorders>
            <w:shd w:val="clear" w:color="auto" w:fill="auto"/>
            <w:noWrap/>
            <w:vAlign w:val="center"/>
            <w:hideMark/>
          </w:tcPr>
          <w:p w14:paraId="3284A6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0,41</w:t>
            </w:r>
          </w:p>
        </w:tc>
        <w:tc>
          <w:tcPr>
            <w:tcW w:w="1364" w:type="dxa"/>
            <w:tcBorders>
              <w:top w:val="nil"/>
              <w:left w:val="nil"/>
              <w:bottom w:val="single" w:sz="4" w:space="0" w:color="auto"/>
              <w:right w:val="single" w:sz="4" w:space="0" w:color="auto"/>
            </w:tcBorders>
            <w:shd w:val="clear" w:color="auto" w:fill="auto"/>
            <w:noWrap/>
            <w:vAlign w:val="center"/>
            <w:hideMark/>
          </w:tcPr>
          <w:p w14:paraId="25FAD1D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0,31</w:t>
            </w:r>
          </w:p>
        </w:tc>
      </w:tr>
    </w:tbl>
    <w:p w14:paraId="2834C497" w14:textId="77777777" w:rsidR="00BF12D5" w:rsidRPr="008D398D" w:rsidRDefault="00BF12D5" w:rsidP="00BF12D5">
      <w:pPr>
        <w:pStyle w:val="Ttabela-fonte"/>
        <w:rPr>
          <w:color w:val="FF0000"/>
        </w:rPr>
      </w:pPr>
      <w:r w:rsidRPr="00BD0223">
        <w:t>Fonte: ANP</w:t>
      </w:r>
      <w:r>
        <w:t xml:space="preserve">. </w:t>
      </w:r>
      <w:r w:rsidRPr="00906965">
        <w:t>Elaboração do Autor</w:t>
      </w:r>
      <w:r w:rsidRPr="008D398D">
        <w:rPr>
          <w:color w:val="FF0000"/>
        </w:rPr>
        <w:t>.</w:t>
      </w:r>
    </w:p>
    <w:p w14:paraId="0B66AE2C" w14:textId="77777777" w:rsidR="00BF12D5" w:rsidRDefault="00BF12D5" w:rsidP="00BF12D5">
      <w:pPr>
        <w:rPr>
          <w:rFonts w:ascii="Times New Roman" w:eastAsia="Times New Roman" w:hAnsi="Times New Roman" w:cs="Arial"/>
          <w:sz w:val="24"/>
          <w:szCs w:val="24"/>
          <w:lang w:val="pt-PT" w:eastAsia="pt-PT"/>
        </w:rPr>
      </w:pPr>
      <w:r>
        <w:br w:type="page"/>
      </w:r>
    </w:p>
    <w:p w14:paraId="7D34953D" w14:textId="77777777" w:rsidR="00BF12D5" w:rsidRPr="00BD0223" w:rsidRDefault="00BF12D5" w:rsidP="00BF12D5">
      <w:pPr>
        <w:pStyle w:val="Tfigura-titulo"/>
        <w:jc w:val="both"/>
      </w:pPr>
      <w:r w:rsidRPr="00BD0223">
        <w:lastRenderedPageBreak/>
        <w:t xml:space="preserve">Tabela 15 – Vendas de gasolina, em milhões de litros, de </w:t>
      </w:r>
      <w:r>
        <w:t>municípios</w:t>
      </w:r>
      <w:r w:rsidRPr="00BD0223">
        <w:t xml:space="preserve"> selecionad</w:t>
      </w:r>
      <w:r>
        <w:t>o</w:t>
      </w:r>
      <w:r w:rsidRPr="00BD0223">
        <w:t xml:space="preserve">s do estado de São Paulo das </w:t>
      </w:r>
      <w:r>
        <w:t>M</w:t>
      </w:r>
      <w:r w:rsidRPr="00BD0223">
        <w:t>acrorregiões de Ribeirão Preto e São José do Rio Preto, de 2010 a 2014</w:t>
      </w:r>
    </w:p>
    <w:tbl>
      <w:tblPr>
        <w:tblW w:w="5000" w:type="pct"/>
        <w:jc w:val="center"/>
        <w:tblCellMar>
          <w:left w:w="70" w:type="dxa"/>
          <w:right w:w="70" w:type="dxa"/>
        </w:tblCellMar>
        <w:tblLook w:val="04A0" w:firstRow="1" w:lastRow="0" w:firstColumn="1" w:lastColumn="0" w:noHBand="0" w:noVBand="1"/>
      </w:tblPr>
      <w:tblGrid>
        <w:gridCol w:w="3371"/>
        <w:gridCol w:w="1138"/>
        <w:gridCol w:w="1138"/>
        <w:gridCol w:w="1138"/>
        <w:gridCol w:w="1138"/>
        <w:gridCol w:w="1138"/>
      </w:tblGrid>
      <w:tr w:rsidR="00BF12D5" w:rsidRPr="001C03A7" w14:paraId="5B6F797D" w14:textId="77777777" w:rsidTr="0039539B">
        <w:trPr>
          <w:trHeight w:val="284"/>
          <w:tblHeader/>
          <w:jc w:val="center"/>
        </w:trPr>
        <w:tc>
          <w:tcPr>
            <w:tcW w:w="3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E3B65"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lang w:eastAsia="pt-BR"/>
              </w:rPr>
            </w:pP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14:paraId="054983D0"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lang w:eastAsia="pt-BR"/>
              </w:rPr>
            </w:pPr>
            <w:r w:rsidRPr="001C03A7">
              <w:rPr>
                <w:rFonts w:ascii="Times New Roman" w:eastAsia="Times New Roman" w:hAnsi="Times New Roman" w:cs="Times New Roman"/>
                <w:b/>
                <w:color w:val="000000"/>
                <w:lang w:eastAsia="pt-BR"/>
              </w:rPr>
              <w:t>2010</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14:paraId="7052682D"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lang w:eastAsia="pt-BR"/>
              </w:rPr>
            </w:pPr>
            <w:r w:rsidRPr="001C03A7">
              <w:rPr>
                <w:rFonts w:ascii="Times New Roman" w:eastAsia="Times New Roman" w:hAnsi="Times New Roman" w:cs="Times New Roman"/>
                <w:b/>
                <w:color w:val="000000"/>
                <w:lang w:eastAsia="pt-BR"/>
              </w:rPr>
              <w:t>2011</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14:paraId="2473673B"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lang w:eastAsia="pt-BR"/>
              </w:rPr>
            </w:pPr>
            <w:r w:rsidRPr="001C03A7">
              <w:rPr>
                <w:rFonts w:ascii="Times New Roman" w:eastAsia="Times New Roman" w:hAnsi="Times New Roman" w:cs="Times New Roman"/>
                <w:b/>
                <w:color w:val="000000"/>
                <w:lang w:eastAsia="pt-BR"/>
              </w:rPr>
              <w:t>2012</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14:paraId="7A4C1706"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lang w:eastAsia="pt-BR"/>
              </w:rPr>
            </w:pPr>
            <w:r w:rsidRPr="001C03A7">
              <w:rPr>
                <w:rFonts w:ascii="Times New Roman" w:eastAsia="Times New Roman" w:hAnsi="Times New Roman" w:cs="Times New Roman"/>
                <w:b/>
                <w:color w:val="000000"/>
                <w:lang w:eastAsia="pt-BR"/>
              </w:rPr>
              <w:t>2013</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14:paraId="541C4427"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lang w:eastAsia="pt-BR"/>
              </w:rPr>
            </w:pPr>
            <w:r w:rsidRPr="001C03A7">
              <w:rPr>
                <w:rFonts w:ascii="Times New Roman" w:eastAsia="Times New Roman" w:hAnsi="Times New Roman" w:cs="Times New Roman"/>
                <w:b/>
                <w:color w:val="000000"/>
                <w:lang w:eastAsia="pt-BR"/>
              </w:rPr>
              <w:t>2014</w:t>
            </w:r>
          </w:p>
        </w:tc>
      </w:tr>
      <w:tr w:rsidR="00BF12D5" w:rsidRPr="00BD0223" w14:paraId="4979C994"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5E948AC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ADOLFO</w:t>
            </w:r>
          </w:p>
        </w:tc>
        <w:tc>
          <w:tcPr>
            <w:tcW w:w="1138" w:type="dxa"/>
            <w:tcBorders>
              <w:top w:val="nil"/>
              <w:left w:val="nil"/>
              <w:bottom w:val="single" w:sz="4" w:space="0" w:color="auto"/>
              <w:right w:val="single" w:sz="4" w:space="0" w:color="auto"/>
            </w:tcBorders>
            <w:shd w:val="clear" w:color="auto" w:fill="auto"/>
            <w:noWrap/>
            <w:vAlign w:val="bottom"/>
            <w:hideMark/>
          </w:tcPr>
          <w:p w14:paraId="039CAA0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0,15</w:t>
            </w:r>
          </w:p>
        </w:tc>
        <w:tc>
          <w:tcPr>
            <w:tcW w:w="1138" w:type="dxa"/>
            <w:tcBorders>
              <w:top w:val="nil"/>
              <w:left w:val="nil"/>
              <w:bottom w:val="single" w:sz="4" w:space="0" w:color="auto"/>
              <w:right w:val="single" w:sz="4" w:space="0" w:color="auto"/>
            </w:tcBorders>
            <w:shd w:val="clear" w:color="auto" w:fill="auto"/>
            <w:noWrap/>
            <w:vAlign w:val="bottom"/>
            <w:hideMark/>
          </w:tcPr>
          <w:p w14:paraId="2C333E5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0,28</w:t>
            </w:r>
          </w:p>
        </w:tc>
        <w:tc>
          <w:tcPr>
            <w:tcW w:w="1138" w:type="dxa"/>
            <w:tcBorders>
              <w:top w:val="nil"/>
              <w:left w:val="nil"/>
              <w:bottom w:val="single" w:sz="4" w:space="0" w:color="auto"/>
              <w:right w:val="single" w:sz="4" w:space="0" w:color="auto"/>
            </w:tcBorders>
            <w:shd w:val="clear" w:color="auto" w:fill="auto"/>
            <w:noWrap/>
            <w:vAlign w:val="bottom"/>
            <w:hideMark/>
          </w:tcPr>
          <w:p w14:paraId="44EC204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0,37</w:t>
            </w:r>
          </w:p>
        </w:tc>
        <w:tc>
          <w:tcPr>
            <w:tcW w:w="1138" w:type="dxa"/>
            <w:tcBorders>
              <w:top w:val="nil"/>
              <w:left w:val="nil"/>
              <w:bottom w:val="single" w:sz="4" w:space="0" w:color="auto"/>
              <w:right w:val="single" w:sz="4" w:space="0" w:color="auto"/>
            </w:tcBorders>
            <w:shd w:val="clear" w:color="auto" w:fill="auto"/>
            <w:noWrap/>
            <w:vAlign w:val="bottom"/>
            <w:hideMark/>
          </w:tcPr>
          <w:p w14:paraId="319ED08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0,34</w:t>
            </w:r>
          </w:p>
        </w:tc>
        <w:tc>
          <w:tcPr>
            <w:tcW w:w="1138" w:type="dxa"/>
            <w:tcBorders>
              <w:top w:val="nil"/>
              <w:left w:val="nil"/>
              <w:bottom w:val="single" w:sz="4" w:space="0" w:color="auto"/>
              <w:right w:val="single" w:sz="4" w:space="0" w:color="auto"/>
            </w:tcBorders>
            <w:shd w:val="clear" w:color="auto" w:fill="auto"/>
            <w:noWrap/>
            <w:vAlign w:val="bottom"/>
            <w:hideMark/>
          </w:tcPr>
          <w:p w14:paraId="34B2C69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0,31</w:t>
            </w:r>
          </w:p>
        </w:tc>
      </w:tr>
      <w:tr w:rsidR="00BF12D5" w:rsidRPr="00BD0223" w14:paraId="51611794"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036FF1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ALTAIR</w:t>
            </w:r>
          </w:p>
        </w:tc>
        <w:tc>
          <w:tcPr>
            <w:tcW w:w="1138" w:type="dxa"/>
            <w:tcBorders>
              <w:top w:val="nil"/>
              <w:left w:val="nil"/>
              <w:bottom w:val="single" w:sz="4" w:space="0" w:color="auto"/>
              <w:right w:val="single" w:sz="4" w:space="0" w:color="auto"/>
            </w:tcBorders>
            <w:shd w:val="clear" w:color="auto" w:fill="auto"/>
            <w:noWrap/>
            <w:vAlign w:val="bottom"/>
            <w:hideMark/>
          </w:tcPr>
          <w:p w14:paraId="38E5FF4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0,15</w:t>
            </w:r>
          </w:p>
        </w:tc>
        <w:tc>
          <w:tcPr>
            <w:tcW w:w="1138" w:type="dxa"/>
            <w:tcBorders>
              <w:top w:val="nil"/>
              <w:left w:val="nil"/>
              <w:bottom w:val="single" w:sz="4" w:space="0" w:color="auto"/>
              <w:right w:val="single" w:sz="4" w:space="0" w:color="auto"/>
            </w:tcBorders>
            <w:shd w:val="clear" w:color="auto" w:fill="auto"/>
            <w:noWrap/>
            <w:vAlign w:val="bottom"/>
            <w:hideMark/>
          </w:tcPr>
          <w:p w14:paraId="6A7E6D4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0,20</w:t>
            </w:r>
          </w:p>
        </w:tc>
        <w:tc>
          <w:tcPr>
            <w:tcW w:w="1138" w:type="dxa"/>
            <w:tcBorders>
              <w:top w:val="nil"/>
              <w:left w:val="nil"/>
              <w:bottom w:val="single" w:sz="4" w:space="0" w:color="auto"/>
              <w:right w:val="single" w:sz="4" w:space="0" w:color="auto"/>
            </w:tcBorders>
            <w:shd w:val="clear" w:color="auto" w:fill="auto"/>
            <w:noWrap/>
            <w:vAlign w:val="bottom"/>
            <w:hideMark/>
          </w:tcPr>
          <w:p w14:paraId="0F322E2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0,24</w:t>
            </w:r>
          </w:p>
        </w:tc>
        <w:tc>
          <w:tcPr>
            <w:tcW w:w="1138" w:type="dxa"/>
            <w:tcBorders>
              <w:top w:val="nil"/>
              <w:left w:val="nil"/>
              <w:bottom w:val="single" w:sz="4" w:space="0" w:color="auto"/>
              <w:right w:val="single" w:sz="4" w:space="0" w:color="auto"/>
            </w:tcBorders>
            <w:shd w:val="clear" w:color="auto" w:fill="auto"/>
            <w:noWrap/>
            <w:vAlign w:val="bottom"/>
            <w:hideMark/>
          </w:tcPr>
          <w:p w14:paraId="132087D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0,23</w:t>
            </w:r>
          </w:p>
        </w:tc>
        <w:tc>
          <w:tcPr>
            <w:tcW w:w="1138" w:type="dxa"/>
            <w:tcBorders>
              <w:top w:val="nil"/>
              <w:left w:val="nil"/>
              <w:bottom w:val="single" w:sz="4" w:space="0" w:color="auto"/>
              <w:right w:val="single" w:sz="4" w:space="0" w:color="auto"/>
            </w:tcBorders>
            <w:shd w:val="clear" w:color="auto" w:fill="auto"/>
            <w:noWrap/>
            <w:vAlign w:val="bottom"/>
            <w:hideMark/>
          </w:tcPr>
          <w:p w14:paraId="6207695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0,20</w:t>
            </w:r>
          </w:p>
        </w:tc>
      </w:tr>
      <w:tr w:rsidR="00BF12D5" w:rsidRPr="00BD0223" w14:paraId="2DDF7F3A"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4D274F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ALTINOPOLIS</w:t>
            </w:r>
          </w:p>
        </w:tc>
        <w:tc>
          <w:tcPr>
            <w:tcW w:w="1138" w:type="dxa"/>
            <w:tcBorders>
              <w:top w:val="nil"/>
              <w:left w:val="nil"/>
              <w:bottom w:val="single" w:sz="4" w:space="0" w:color="auto"/>
              <w:right w:val="single" w:sz="4" w:space="0" w:color="auto"/>
            </w:tcBorders>
            <w:shd w:val="clear" w:color="auto" w:fill="auto"/>
            <w:noWrap/>
            <w:vAlign w:val="bottom"/>
            <w:hideMark/>
          </w:tcPr>
          <w:p w14:paraId="68DDE64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1,89</w:t>
            </w:r>
          </w:p>
        </w:tc>
        <w:tc>
          <w:tcPr>
            <w:tcW w:w="1138" w:type="dxa"/>
            <w:tcBorders>
              <w:top w:val="nil"/>
              <w:left w:val="nil"/>
              <w:bottom w:val="single" w:sz="4" w:space="0" w:color="auto"/>
              <w:right w:val="single" w:sz="4" w:space="0" w:color="auto"/>
            </w:tcBorders>
            <w:shd w:val="clear" w:color="auto" w:fill="auto"/>
            <w:noWrap/>
            <w:vAlign w:val="bottom"/>
            <w:hideMark/>
          </w:tcPr>
          <w:p w14:paraId="23D8BEC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2,58</w:t>
            </w:r>
          </w:p>
        </w:tc>
        <w:tc>
          <w:tcPr>
            <w:tcW w:w="1138" w:type="dxa"/>
            <w:tcBorders>
              <w:top w:val="nil"/>
              <w:left w:val="nil"/>
              <w:bottom w:val="single" w:sz="4" w:space="0" w:color="auto"/>
              <w:right w:val="single" w:sz="4" w:space="0" w:color="auto"/>
            </w:tcBorders>
            <w:shd w:val="clear" w:color="auto" w:fill="auto"/>
            <w:noWrap/>
            <w:vAlign w:val="bottom"/>
            <w:hideMark/>
          </w:tcPr>
          <w:p w14:paraId="4D1C024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2,98</w:t>
            </w:r>
          </w:p>
        </w:tc>
        <w:tc>
          <w:tcPr>
            <w:tcW w:w="1138" w:type="dxa"/>
            <w:tcBorders>
              <w:top w:val="nil"/>
              <w:left w:val="nil"/>
              <w:bottom w:val="single" w:sz="4" w:space="0" w:color="auto"/>
              <w:right w:val="single" w:sz="4" w:space="0" w:color="auto"/>
            </w:tcBorders>
            <w:shd w:val="clear" w:color="auto" w:fill="auto"/>
            <w:noWrap/>
            <w:vAlign w:val="bottom"/>
            <w:hideMark/>
          </w:tcPr>
          <w:p w14:paraId="469149A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3,07</w:t>
            </w:r>
          </w:p>
        </w:tc>
        <w:tc>
          <w:tcPr>
            <w:tcW w:w="1138" w:type="dxa"/>
            <w:tcBorders>
              <w:top w:val="nil"/>
              <w:left w:val="nil"/>
              <w:bottom w:val="single" w:sz="4" w:space="0" w:color="auto"/>
              <w:right w:val="single" w:sz="4" w:space="0" w:color="auto"/>
            </w:tcBorders>
            <w:shd w:val="clear" w:color="auto" w:fill="auto"/>
            <w:noWrap/>
            <w:vAlign w:val="bottom"/>
            <w:hideMark/>
          </w:tcPr>
          <w:p w14:paraId="4EC31A9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3,35</w:t>
            </w:r>
          </w:p>
        </w:tc>
      </w:tr>
      <w:tr w:rsidR="00BF12D5" w:rsidRPr="00BD0223" w14:paraId="31E6853A"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220974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ALVARES FLORENCE</w:t>
            </w:r>
          </w:p>
        </w:tc>
        <w:tc>
          <w:tcPr>
            <w:tcW w:w="1138" w:type="dxa"/>
            <w:tcBorders>
              <w:top w:val="nil"/>
              <w:left w:val="nil"/>
              <w:bottom w:val="single" w:sz="4" w:space="0" w:color="auto"/>
              <w:right w:val="single" w:sz="4" w:space="0" w:color="auto"/>
            </w:tcBorders>
            <w:shd w:val="clear" w:color="auto" w:fill="auto"/>
            <w:noWrap/>
            <w:vAlign w:val="bottom"/>
            <w:hideMark/>
          </w:tcPr>
          <w:p w14:paraId="67587C5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0,34</w:t>
            </w:r>
          </w:p>
        </w:tc>
        <w:tc>
          <w:tcPr>
            <w:tcW w:w="1138" w:type="dxa"/>
            <w:tcBorders>
              <w:top w:val="nil"/>
              <w:left w:val="nil"/>
              <w:bottom w:val="single" w:sz="4" w:space="0" w:color="auto"/>
              <w:right w:val="single" w:sz="4" w:space="0" w:color="auto"/>
            </w:tcBorders>
            <w:shd w:val="clear" w:color="auto" w:fill="auto"/>
            <w:noWrap/>
            <w:vAlign w:val="bottom"/>
            <w:hideMark/>
          </w:tcPr>
          <w:p w14:paraId="48A832D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0,46</w:t>
            </w:r>
          </w:p>
        </w:tc>
        <w:tc>
          <w:tcPr>
            <w:tcW w:w="1138" w:type="dxa"/>
            <w:tcBorders>
              <w:top w:val="nil"/>
              <w:left w:val="nil"/>
              <w:bottom w:val="single" w:sz="4" w:space="0" w:color="auto"/>
              <w:right w:val="single" w:sz="4" w:space="0" w:color="auto"/>
            </w:tcBorders>
            <w:shd w:val="clear" w:color="auto" w:fill="auto"/>
            <w:noWrap/>
            <w:vAlign w:val="bottom"/>
            <w:hideMark/>
          </w:tcPr>
          <w:p w14:paraId="77B30BE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0,53</w:t>
            </w:r>
          </w:p>
        </w:tc>
        <w:tc>
          <w:tcPr>
            <w:tcW w:w="1138" w:type="dxa"/>
            <w:tcBorders>
              <w:top w:val="nil"/>
              <w:left w:val="nil"/>
              <w:bottom w:val="single" w:sz="4" w:space="0" w:color="auto"/>
              <w:right w:val="single" w:sz="4" w:space="0" w:color="auto"/>
            </w:tcBorders>
            <w:shd w:val="clear" w:color="auto" w:fill="auto"/>
            <w:noWrap/>
            <w:vAlign w:val="bottom"/>
            <w:hideMark/>
          </w:tcPr>
          <w:p w14:paraId="2ADCF77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0,53</w:t>
            </w:r>
          </w:p>
        </w:tc>
        <w:tc>
          <w:tcPr>
            <w:tcW w:w="1138" w:type="dxa"/>
            <w:tcBorders>
              <w:top w:val="nil"/>
              <w:left w:val="nil"/>
              <w:bottom w:val="single" w:sz="4" w:space="0" w:color="auto"/>
              <w:right w:val="single" w:sz="4" w:space="0" w:color="auto"/>
            </w:tcBorders>
            <w:shd w:val="clear" w:color="auto" w:fill="auto"/>
            <w:noWrap/>
            <w:vAlign w:val="bottom"/>
            <w:hideMark/>
          </w:tcPr>
          <w:p w14:paraId="7A0F240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0,56</w:t>
            </w:r>
          </w:p>
        </w:tc>
      </w:tr>
      <w:tr w:rsidR="00BF12D5" w:rsidRPr="00BD0223" w14:paraId="2ACA4EB2"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391C3A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AMERICO DE CAMPOS</w:t>
            </w:r>
          </w:p>
        </w:tc>
        <w:tc>
          <w:tcPr>
            <w:tcW w:w="1138" w:type="dxa"/>
            <w:tcBorders>
              <w:top w:val="nil"/>
              <w:left w:val="nil"/>
              <w:bottom w:val="single" w:sz="4" w:space="0" w:color="auto"/>
              <w:right w:val="single" w:sz="4" w:space="0" w:color="auto"/>
            </w:tcBorders>
            <w:shd w:val="clear" w:color="auto" w:fill="auto"/>
            <w:noWrap/>
            <w:vAlign w:val="bottom"/>
            <w:hideMark/>
          </w:tcPr>
          <w:p w14:paraId="3A0AF53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0,50</w:t>
            </w:r>
          </w:p>
        </w:tc>
        <w:tc>
          <w:tcPr>
            <w:tcW w:w="1138" w:type="dxa"/>
            <w:tcBorders>
              <w:top w:val="nil"/>
              <w:left w:val="nil"/>
              <w:bottom w:val="single" w:sz="4" w:space="0" w:color="auto"/>
              <w:right w:val="single" w:sz="4" w:space="0" w:color="auto"/>
            </w:tcBorders>
            <w:shd w:val="clear" w:color="auto" w:fill="auto"/>
            <w:noWrap/>
            <w:vAlign w:val="bottom"/>
            <w:hideMark/>
          </w:tcPr>
          <w:p w14:paraId="516E376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0,70</w:t>
            </w:r>
          </w:p>
        </w:tc>
        <w:tc>
          <w:tcPr>
            <w:tcW w:w="1138" w:type="dxa"/>
            <w:tcBorders>
              <w:top w:val="nil"/>
              <w:left w:val="nil"/>
              <w:bottom w:val="single" w:sz="4" w:space="0" w:color="auto"/>
              <w:right w:val="single" w:sz="4" w:space="0" w:color="auto"/>
            </w:tcBorders>
            <w:shd w:val="clear" w:color="auto" w:fill="auto"/>
            <w:noWrap/>
            <w:vAlign w:val="bottom"/>
            <w:hideMark/>
          </w:tcPr>
          <w:p w14:paraId="0C4FCD3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0,85</w:t>
            </w:r>
          </w:p>
        </w:tc>
        <w:tc>
          <w:tcPr>
            <w:tcW w:w="1138" w:type="dxa"/>
            <w:tcBorders>
              <w:top w:val="nil"/>
              <w:left w:val="nil"/>
              <w:bottom w:val="single" w:sz="4" w:space="0" w:color="auto"/>
              <w:right w:val="single" w:sz="4" w:space="0" w:color="auto"/>
            </w:tcBorders>
            <w:shd w:val="clear" w:color="auto" w:fill="auto"/>
            <w:noWrap/>
            <w:vAlign w:val="bottom"/>
            <w:hideMark/>
          </w:tcPr>
          <w:p w14:paraId="6C7FD72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0,87</w:t>
            </w:r>
          </w:p>
        </w:tc>
        <w:tc>
          <w:tcPr>
            <w:tcW w:w="1138" w:type="dxa"/>
            <w:tcBorders>
              <w:top w:val="nil"/>
              <w:left w:val="nil"/>
              <w:bottom w:val="single" w:sz="4" w:space="0" w:color="auto"/>
              <w:right w:val="single" w:sz="4" w:space="0" w:color="auto"/>
            </w:tcBorders>
            <w:shd w:val="clear" w:color="auto" w:fill="auto"/>
            <w:noWrap/>
            <w:vAlign w:val="bottom"/>
            <w:hideMark/>
          </w:tcPr>
          <w:p w14:paraId="7F6D9A6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0,93</w:t>
            </w:r>
          </w:p>
        </w:tc>
      </w:tr>
      <w:tr w:rsidR="00BF12D5" w:rsidRPr="00BD0223" w14:paraId="7C338994"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2E39C95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APARECIDA D'OESTE</w:t>
            </w:r>
          </w:p>
        </w:tc>
        <w:tc>
          <w:tcPr>
            <w:tcW w:w="1138" w:type="dxa"/>
            <w:tcBorders>
              <w:top w:val="nil"/>
              <w:left w:val="nil"/>
              <w:bottom w:val="single" w:sz="4" w:space="0" w:color="auto"/>
              <w:right w:val="single" w:sz="4" w:space="0" w:color="auto"/>
            </w:tcBorders>
            <w:shd w:val="clear" w:color="auto" w:fill="auto"/>
            <w:noWrap/>
            <w:vAlign w:val="bottom"/>
            <w:hideMark/>
          </w:tcPr>
          <w:p w14:paraId="79ED33A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0,38</w:t>
            </w:r>
          </w:p>
        </w:tc>
        <w:tc>
          <w:tcPr>
            <w:tcW w:w="1138" w:type="dxa"/>
            <w:tcBorders>
              <w:top w:val="nil"/>
              <w:left w:val="nil"/>
              <w:bottom w:val="single" w:sz="4" w:space="0" w:color="auto"/>
              <w:right w:val="single" w:sz="4" w:space="0" w:color="auto"/>
            </w:tcBorders>
            <w:shd w:val="clear" w:color="auto" w:fill="auto"/>
            <w:noWrap/>
            <w:vAlign w:val="bottom"/>
            <w:hideMark/>
          </w:tcPr>
          <w:p w14:paraId="1BE3072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0,53</w:t>
            </w:r>
          </w:p>
        </w:tc>
        <w:tc>
          <w:tcPr>
            <w:tcW w:w="1138" w:type="dxa"/>
            <w:tcBorders>
              <w:top w:val="nil"/>
              <w:left w:val="nil"/>
              <w:bottom w:val="single" w:sz="4" w:space="0" w:color="auto"/>
              <w:right w:val="single" w:sz="4" w:space="0" w:color="auto"/>
            </w:tcBorders>
            <w:shd w:val="clear" w:color="auto" w:fill="auto"/>
            <w:noWrap/>
            <w:vAlign w:val="bottom"/>
            <w:hideMark/>
          </w:tcPr>
          <w:p w14:paraId="6F961E4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0,64</w:t>
            </w:r>
          </w:p>
        </w:tc>
        <w:tc>
          <w:tcPr>
            <w:tcW w:w="1138" w:type="dxa"/>
            <w:tcBorders>
              <w:top w:val="nil"/>
              <w:left w:val="nil"/>
              <w:bottom w:val="single" w:sz="4" w:space="0" w:color="auto"/>
              <w:right w:val="single" w:sz="4" w:space="0" w:color="auto"/>
            </w:tcBorders>
            <w:shd w:val="clear" w:color="auto" w:fill="auto"/>
            <w:noWrap/>
            <w:vAlign w:val="bottom"/>
            <w:hideMark/>
          </w:tcPr>
          <w:p w14:paraId="6D14BC6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0,60</w:t>
            </w:r>
          </w:p>
        </w:tc>
        <w:tc>
          <w:tcPr>
            <w:tcW w:w="1138" w:type="dxa"/>
            <w:tcBorders>
              <w:top w:val="nil"/>
              <w:left w:val="nil"/>
              <w:bottom w:val="single" w:sz="4" w:space="0" w:color="auto"/>
              <w:right w:val="single" w:sz="4" w:space="0" w:color="auto"/>
            </w:tcBorders>
            <w:shd w:val="clear" w:color="auto" w:fill="auto"/>
            <w:noWrap/>
            <w:vAlign w:val="bottom"/>
            <w:hideMark/>
          </w:tcPr>
          <w:p w14:paraId="4F8D564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0,56</w:t>
            </w:r>
          </w:p>
        </w:tc>
      </w:tr>
      <w:tr w:rsidR="00BF12D5" w:rsidRPr="00BD0223" w14:paraId="7E937D47"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031DDE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ARAMINA</w:t>
            </w:r>
          </w:p>
        </w:tc>
        <w:tc>
          <w:tcPr>
            <w:tcW w:w="1138" w:type="dxa"/>
            <w:tcBorders>
              <w:top w:val="nil"/>
              <w:left w:val="nil"/>
              <w:bottom w:val="single" w:sz="4" w:space="0" w:color="auto"/>
              <w:right w:val="single" w:sz="4" w:space="0" w:color="auto"/>
            </w:tcBorders>
            <w:shd w:val="clear" w:color="auto" w:fill="auto"/>
            <w:noWrap/>
            <w:vAlign w:val="bottom"/>
            <w:hideMark/>
          </w:tcPr>
          <w:p w14:paraId="741B2A4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1,15</w:t>
            </w:r>
          </w:p>
        </w:tc>
        <w:tc>
          <w:tcPr>
            <w:tcW w:w="1138" w:type="dxa"/>
            <w:tcBorders>
              <w:top w:val="nil"/>
              <w:left w:val="nil"/>
              <w:bottom w:val="single" w:sz="4" w:space="0" w:color="auto"/>
              <w:right w:val="single" w:sz="4" w:space="0" w:color="auto"/>
            </w:tcBorders>
            <w:shd w:val="clear" w:color="auto" w:fill="auto"/>
            <w:noWrap/>
            <w:vAlign w:val="bottom"/>
            <w:hideMark/>
          </w:tcPr>
          <w:p w14:paraId="5130EE0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2,33</w:t>
            </w:r>
          </w:p>
        </w:tc>
        <w:tc>
          <w:tcPr>
            <w:tcW w:w="1138" w:type="dxa"/>
            <w:tcBorders>
              <w:top w:val="nil"/>
              <w:left w:val="nil"/>
              <w:bottom w:val="single" w:sz="4" w:space="0" w:color="auto"/>
              <w:right w:val="single" w:sz="4" w:space="0" w:color="auto"/>
            </w:tcBorders>
            <w:shd w:val="clear" w:color="auto" w:fill="auto"/>
            <w:noWrap/>
            <w:vAlign w:val="bottom"/>
            <w:hideMark/>
          </w:tcPr>
          <w:p w14:paraId="5D29856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3,17</w:t>
            </w:r>
          </w:p>
        </w:tc>
        <w:tc>
          <w:tcPr>
            <w:tcW w:w="1138" w:type="dxa"/>
            <w:tcBorders>
              <w:top w:val="nil"/>
              <w:left w:val="nil"/>
              <w:bottom w:val="single" w:sz="4" w:space="0" w:color="auto"/>
              <w:right w:val="single" w:sz="4" w:space="0" w:color="auto"/>
            </w:tcBorders>
            <w:shd w:val="clear" w:color="auto" w:fill="auto"/>
            <w:noWrap/>
            <w:vAlign w:val="bottom"/>
            <w:hideMark/>
          </w:tcPr>
          <w:p w14:paraId="1CEF6CA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3,12</w:t>
            </w:r>
          </w:p>
        </w:tc>
        <w:tc>
          <w:tcPr>
            <w:tcW w:w="1138" w:type="dxa"/>
            <w:tcBorders>
              <w:top w:val="nil"/>
              <w:left w:val="nil"/>
              <w:bottom w:val="single" w:sz="4" w:space="0" w:color="auto"/>
              <w:right w:val="single" w:sz="4" w:space="0" w:color="auto"/>
            </w:tcBorders>
            <w:shd w:val="clear" w:color="auto" w:fill="auto"/>
            <w:noWrap/>
            <w:vAlign w:val="bottom"/>
            <w:hideMark/>
          </w:tcPr>
          <w:p w14:paraId="2827166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3,36</w:t>
            </w:r>
          </w:p>
        </w:tc>
      </w:tr>
      <w:tr w:rsidR="00BF12D5" w:rsidRPr="00BD0223" w14:paraId="09C23DC0"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B3A036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ARIRANHA</w:t>
            </w:r>
          </w:p>
        </w:tc>
        <w:tc>
          <w:tcPr>
            <w:tcW w:w="1138" w:type="dxa"/>
            <w:tcBorders>
              <w:top w:val="nil"/>
              <w:left w:val="nil"/>
              <w:bottom w:val="single" w:sz="4" w:space="0" w:color="auto"/>
              <w:right w:val="single" w:sz="4" w:space="0" w:color="auto"/>
            </w:tcBorders>
            <w:shd w:val="clear" w:color="auto" w:fill="auto"/>
            <w:noWrap/>
            <w:vAlign w:val="bottom"/>
            <w:hideMark/>
          </w:tcPr>
          <w:p w14:paraId="7BA174E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0,59</w:t>
            </w:r>
          </w:p>
        </w:tc>
        <w:tc>
          <w:tcPr>
            <w:tcW w:w="1138" w:type="dxa"/>
            <w:tcBorders>
              <w:top w:val="nil"/>
              <w:left w:val="nil"/>
              <w:bottom w:val="single" w:sz="4" w:space="0" w:color="auto"/>
              <w:right w:val="single" w:sz="4" w:space="0" w:color="auto"/>
            </w:tcBorders>
            <w:shd w:val="clear" w:color="auto" w:fill="auto"/>
            <w:noWrap/>
            <w:vAlign w:val="bottom"/>
            <w:hideMark/>
          </w:tcPr>
          <w:p w14:paraId="7C0FF20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0,84</w:t>
            </w:r>
          </w:p>
        </w:tc>
        <w:tc>
          <w:tcPr>
            <w:tcW w:w="1138" w:type="dxa"/>
            <w:tcBorders>
              <w:top w:val="nil"/>
              <w:left w:val="nil"/>
              <w:bottom w:val="single" w:sz="4" w:space="0" w:color="auto"/>
              <w:right w:val="single" w:sz="4" w:space="0" w:color="auto"/>
            </w:tcBorders>
            <w:shd w:val="clear" w:color="auto" w:fill="auto"/>
            <w:noWrap/>
            <w:vAlign w:val="bottom"/>
            <w:hideMark/>
          </w:tcPr>
          <w:p w14:paraId="0AC4E47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0,99</w:t>
            </w:r>
          </w:p>
        </w:tc>
        <w:tc>
          <w:tcPr>
            <w:tcW w:w="1138" w:type="dxa"/>
            <w:tcBorders>
              <w:top w:val="nil"/>
              <w:left w:val="nil"/>
              <w:bottom w:val="single" w:sz="4" w:space="0" w:color="auto"/>
              <w:right w:val="single" w:sz="4" w:space="0" w:color="auto"/>
            </w:tcBorders>
            <w:shd w:val="clear" w:color="auto" w:fill="auto"/>
            <w:noWrap/>
            <w:vAlign w:val="bottom"/>
            <w:hideMark/>
          </w:tcPr>
          <w:p w14:paraId="3E7D6EB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1,02</w:t>
            </w:r>
          </w:p>
        </w:tc>
        <w:tc>
          <w:tcPr>
            <w:tcW w:w="1138" w:type="dxa"/>
            <w:tcBorders>
              <w:top w:val="nil"/>
              <w:left w:val="nil"/>
              <w:bottom w:val="single" w:sz="4" w:space="0" w:color="auto"/>
              <w:right w:val="single" w:sz="4" w:space="0" w:color="auto"/>
            </w:tcBorders>
            <w:shd w:val="clear" w:color="auto" w:fill="auto"/>
            <w:noWrap/>
            <w:vAlign w:val="bottom"/>
            <w:hideMark/>
          </w:tcPr>
          <w:p w14:paraId="6D0C3E6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1,07</w:t>
            </w:r>
          </w:p>
        </w:tc>
      </w:tr>
      <w:tr w:rsidR="00BF12D5" w:rsidRPr="00BD0223" w14:paraId="0A0E632F"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BC7A3D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ASPASIA</w:t>
            </w:r>
          </w:p>
        </w:tc>
        <w:tc>
          <w:tcPr>
            <w:tcW w:w="1138" w:type="dxa"/>
            <w:tcBorders>
              <w:top w:val="nil"/>
              <w:left w:val="nil"/>
              <w:bottom w:val="single" w:sz="4" w:space="0" w:color="auto"/>
              <w:right w:val="single" w:sz="4" w:space="0" w:color="auto"/>
            </w:tcBorders>
            <w:shd w:val="clear" w:color="auto" w:fill="auto"/>
            <w:noWrap/>
            <w:vAlign w:val="bottom"/>
            <w:hideMark/>
          </w:tcPr>
          <w:p w14:paraId="34E699E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0,09</w:t>
            </w:r>
          </w:p>
        </w:tc>
        <w:tc>
          <w:tcPr>
            <w:tcW w:w="1138" w:type="dxa"/>
            <w:tcBorders>
              <w:top w:val="nil"/>
              <w:left w:val="nil"/>
              <w:bottom w:val="single" w:sz="4" w:space="0" w:color="auto"/>
              <w:right w:val="single" w:sz="4" w:space="0" w:color="auto"/>
            </w:tcBorders>
            <w:shd w:val="clear" w:color="auto" w:fill="auto"/>
            <w:noWrap/>
            <w:vAlign w:val="bottom"/>
            <w:hideMark/>
          </w:tcPr>
          <w:p w14:paraId="0DAAD80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0,13</w:t>
            </w:r>
          </w:p>
        </w:tc>
        <w:tc>
          <w:tcPr>
            <w:tcW w:w="1138" w:type="dxa"/>
            <w:tcBorders>
              <w:top w:val="nil"/>
              <w:left w:val="nil"/>
              <w:bottom w:val="single" w:sz="4" w:space="0" w:color="auto"/>
              <w:right w:val="single" w:sz="4" w:space="0" w:color="auto"/>
            </w:tcBorders>
            <w:shd w:val="clear" w:color="auto" w:fill="auto"/>
            <w:noWrap/>
            <w:vAlign w:val="bottom"/>
            <w:hideMark/>
          </w:tcPr>
          <w:p w14:paraId="6E2D9B3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0,17</w:t>
            </w:r>
          </w:p>
        </w:tc>
        <w:tc>
          <w:tcPr>
            <w:tcW w:w="1138" w:type="dxa"/>
            <w:tcBorders>
              <w:top w:val="nil"/>
              <w:left w:val="nil"/>
              <w:bottom w:val="single" w:sz="4" w:space="0" w:color="auto"/>
              <w:right w:val="single" w:sz="4" w:space="0" w:color="auto"/>
            </w:tcBorders>
            <w:shd w:val="clear" w:color="auto" w:fill="auto"/>
            <w:noWrap/>
            <w:vAlign w:val="bottom"/>
            <w:hideMark/>
          </w:tcPr>
          <w:p w14:paraId="66A7982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0,16</w:t>
            </w:r>
          </w:p>
        </w:tc>
        <w:tc>
          <w:tcPr>
            <w:tcW w:w="1138" w:type="dxa"/>
            <w:tcBorders>
              <w:top w:val="nil"/>
              <w:left w:val="nil"/>
              <w:bottom w:val="single" w:sz="4" w:space="0" w:color="auto"/>
              <w:right w:val="single" w:sz="4" w:space="0" w:color="auto"/>
            </w:tcBorders>
            <w:shd w:val="clear" w:color="auto" w:fill="auto"/>
            <w:noWrap/>
            <w:vAlign w:val="bottom"/>
            <w:hideMark/>
          </w:tcPr>
          <w:p w14:paraId="46857CB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0,17</w:t>
            </w:r>
          </w:p>
        </w:tc>
      </w:tr>
      <w:tr w:rsidR="00BF12D5" w:rsidRPr="00BD0223" w14:paraId="5C4B37D4"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4FFA85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AURIFLAMA</w:t>
            </w:r>
          </w:p>
        </w:tc>
        <w:tc>
          <w:tcPr>
            <w:tcW w:w="1138" w:type="dxa"/>
            <w:tcBorders>
              <w:top w:val="nil"/>
              <w:left w:val="nil"/>
              <w:bottom w:val="single" w:sz="4" w:space="0" w:color="auto"/>
              <w:right w:val="single" w:sz="4" w:space="0" w:color="auto"/>
            </w:tcBorders>
            <w:shd w:val="clear" w:color="auto" w:fill="auto"/>
            <w:noWrap/>
            <w:vAlign w:val="bottom"/>
            <w:hideMark/>
          </w:tcPr>
          <w:p w14:paraId="3EEACAA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1,45</w:t>
            </w:r>
          </w:p>
        </w:tc>
        <w:tc>
          <w:tcPr>
            <w:tcW w:w="1138" w:type="dxa"/>
            <w:tcBorders>
              <w:top w:val="nil"/>
              <w:left w:val="nil"/>
              <w:bottom w:val="single" w:sz="4" w:space="0" w:color="auto"/>
              <w:right w:val="single" w:sz="4" w:space="0" w:color="auto"/>
            </w:tcBorders>
            <w:shd w:val="clear" w:color="auto" w:fill="auto"/>
            <w:noWrap/>
            <w:vAlign w:val="bottom"/>
            <w:hideMark/>
          </w:tcPr>
          <w:p w14:paraId="506D64D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2,19</w:t>
            </w:r>
          </w:p>
        </w:tc>
        <w:tc>
          <w:tcPr>
            <w:tcW w:w="1138" w:type="dxa"/>
            <w:tcBorders>
              <w:top w:val="nil"/>
              <w:left w:val="nil"/>
              <w:bottom w:val="single" w:sz="4" w:space="0" w:color="auto"/>
              <w:right w:val="single" w:sz="4" w:space="0" w:color="auto"/>
            </w:tcBorders>
            <w:shd w:val="clear" w:color="auto" w:fill="auto"/>
            <w:noWrap/>
            <w:vAlign w:val="bottom"/>
            <w:hideMark/>
          </w:tcPr>
          <w:p w14:paraId="0FC1CBA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2,47</w:t>
            </w:r>
          </w:p>
        </w:tc>
        <w:tc>
          <w:tcPr>
            <w:tcW w:w="1138" w:type="dxa"/>
            <w:tcBorders>
              <w:top w:val="nil"/>
              <w:left w:val="nil"/>
              <w:bottom w:val="single" w:sz="4" w:space="0" w:color="auto"/>
              <w:right w:val="single" w:sz="4" w:space="0" w:color="auto"/>
            </w:tcBorders>
            <w:shd w:val="clear" w:color="auto" w:fill="auto"/>
            <w:noWrap/>
            <w:vAlign w:val="bottom"/>
            <w:hideMark/>
          </w:tcPr>
          <w:p w14:paraId="18AF30D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2,43</w:t>
            </w:r>
          </w:p>
        </w:tc>
        <w:tc>
          <w:tcPr>
            <w:tcW w:w="1138" w:type="dxa"/>
            <w:tcBorders>
              <w:top w:val="nil"/>
              <w:left w:val="nil"/>
              <w:bottom w:val="single" w:sz="4" w:space="0" w:color="auto"/>
              <w:right w:val="single" w:sz="4" w:space="0" w:color="auto"/>
            </w:tcBorders>
            <w:shd w:val="clear" w:color="auto" w:fill="auto"/>
            <w:noWrap/>
            <w:vAlign w:val="bottom"/>
            <w:hideMark/>
          </w:tcPr>
          <w:p w14:paraId="13F2950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2,54</w:t>
            </w:r>
          </w:p>
        </w:tc>
      </w:tr>
      <w:tr w:rsidR="00BF12D5" w:rsidRPr="00BD0223" w14:paraId="15D6F174"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4CA9B28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BADY BASSITT</w:t>
            </w:r>
          </w:p>
        </w:tc>
        <w:tc>
          <w:tcPr>
            <w:tcW w:w="1138" w:type="dxa"/>
            <w:tcBorders>
              <w:top w:val="nil"/>
              <w:left w:val="nil"/>
              <w:bottom w:val="single" w:sz="4" w:space="0" w:color="auto"/>
              <w:right w:val="single" w:sz="4" w:space="0" w:color="auto"/>
            </w:tcBorders>
            <w:shd w:val="clear" w:color="auto" w:fill="auto"/>
            <w:noWrap/>
            <w:vAlign w:val="bottom"/>
            <w:hideMark/>
          </w:tcPr>
          <w:p w14:paraId="2531EDA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2,52</w:t>
            </w:r>
          </w:p>
        </w:tc>
        <w:tc>
          <w:tcPr>
            <w:tcW w:w="1138" w:type="dxa"/>
            <w:tcBorders>
              <w:top w:val="nil"/>
              <w:left w:val="nil"/>
              <w:bottom w:val="single" w:sz="4" w:space="0" w:color="auto"/>
              <w:right w:val="single" w:sz="4" w:space="0" w:color="auto"/>
            </w:tcBorders>
            <w:shd w:val="clear" w:color="auto" w:fill="auto"/>
            <w:noWrap/>
            <w:vAlign w:val="bottom"/>
            <w:hideMark/>
          </w:tcPr>
          <w:p w14:paraId="07781ED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3,63</w:t>
            </w:r>
          </w:p>
        </w:tc>
        <w:tc>
          <w:tcPr>
            <w:tcW w:w="1138" w:type="dxa"/>
            <w:tcBorders>
              <w:top w:val="nil"/>
              <w:left w:val="nil"/>
              <w:bottom w:val="single" w:sz="4" w:space="0" w:color="auto"/>
              <w:right w:val="single" w:sz="4" w:space="0" w:color="auto"/>
            </w:tcBorders>
            <w:shd w:val="clear" w:color="auto" w:fill="auto"/>
            <w:noWrap/>
            <w:vAlign w:val="bottom"/>
            <w:hideMark/>
          </w:tcPr>
          <w:p w14:paraId="2644679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4,40</w:t>
            </w:r>
          </w:p>
        </w:tc>
        <w:tc>
          <w:tcPr>
            <w:tcW w:w="1138" w:type="dxa"/>
            <w:tcBorders>
              <w:top w:val="nil"/>
              <w:left w:val="nil"/>
              <w:bottom w:val="single" w:sz="4" w:space="0" w:color="auto"/>
              <w:right w:val="single" w:sz="4" w:space="0" w:color="auto"/>
            </w:tcBorders>
            <w:shd w:val="clear" w:color="auto" w:fill="auto"/>
            <w:noWrap/>
            <w:vAlign w:val="bottom"/>
            <w:hideMark/>
          </w:tcPr>
          <w:p w14:paraId="2946CFE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4,69</w:t>
            </w:r>
          </w:p>
        </w:tc>
        <w:tc>
          <w:tcPr>
            <w:tcW w:w="1138" w:type="dxa"/>
            <w:tcBorders>
              <w:top w:val="nil"/>
              <w:left w:val="nil"/>
              <w:bottom w:val="single" w:sz="4" w:space="0" w:color="auto"/>
              <w:right w:val="single" w:sz="4" w:space="0" w:color="auto"/>
            </w:tcBorders>
            <w:shd w:val="clear" w:color="auto" w:fill="auto"/>
            <w:noWrap/>
            <w:vAlign w:val="bottom"/>
            <w:hideMark/>
          </w:tcPr>
          <w:p w14:paraId="1CA234F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6,19</w:t>
            </w:r>
          </w:p>
        </w:tc>
      </w:tr>
      <w:tr w:rsidR="00BF12D5" w:rsidRPr="00BD0223" w14:paraId="716ABE3E"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1F99D1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BALSAMO</w:t>
            </w:r>
          </w:p>
        </w:tc>
        <w:tc>
          <w:tcPr>
            <w:tcW w:w="1138" w:type="dxa"/>
            <w:tcBorders>
              <w:top w:val="nil"/>
              <w:left w:val="nil"/>
              <w:bottom w:val="single" w:sz="4" w:space="0" w:color="auto"/>
              <w:right w:val="single" w:sz="4" w:space="0" w:color="auto"/>
            </w:tcBorders>
            <w:shd w:val="clear" w:color="auto" w:fill="auto"/>
            <w:noWrap/>
            <w:vAlign w:val="bottom"/>
            <w:hideMark/>
          </w:tcPr>
          <w:p w14:paraId="100BA2A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0,80</w:t>
            </w:r>
          </w:p>
        </w:tc>
        <w:tc>
          <w:tcPr>
            <w:tcW w:w="1138" w:type="dxa"/>
            <w:tcBorders>
              <w:top w:val="nil"/>
              <w:left w:val="nil"/>
              <w:bottom w:val="single" w:sz="4" w:space="0" w:color="auto"/>
              <w:right w:val="single" w:sz="4" w:space="0" w:color="auto"/>
            </w:tcBorders>
            <w:shd w:val="clear" w:color="auto" w:fill="auto"/>
            <w:noWrap/>
            <w:vAlign w:val="bottom"/>
            <w:hideMark/>
          </w:tcPr>
          <w:p w14:paraId="296B450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1,07</w:t>
            </w:r>
          </w:p>
        </w:tc>
        <w:tc>
          <w:tcPr>
            <w:tcW w:w="1138" w:type="dxa"/>
            <w:tcBorders>
              <w:top w:val="nil"/>
              <w:left w:val="nil"/>
              <w:bottom w:val="single" w:sz="4" w:space="0" w:color="auto"/>
              <w:right w:val="single" w:sz="4" w:space="0" w:color="auto"/>
            </w:tcBorders>
            <w:shd w:val="clear" w:color="auto" w:fill="auto"/>
            <w:noWrap/>
            <w:vAlign w:val="bottom"/>
            <w:hideMark/>
          </w:tcPr>
          <w:p w14:paraId="1343A9A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1,26</w:t>
            </w:r>
          </w:p>
        </w:tc>
        <w:tc>
          <w:tcPr>
            <w:tcW w:w="1138" w:type="dxa"/>
            <w:tcBorders>
              <w:top w:val="nil"/>
              <w:left w:val="nil"/>
              <w:bottom w:val="single" w:sz="4" w:space="0" w:color="auto"/>
              <w:right w:val="single" w:sz="4" w:space="0" w:color="auto"/>
            </w:tcBorders>
            <w:shd w:val="clear" w:color="auto" w:fill="auto"/>
            <w:noWrap/>
            <w:vAlign w:val="bottom"/>
            <w:hideMark/>
          </w:tcPr>
          <w:p w14:paraId="25D1626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1,26</w:t>
            </w:r>
          </w:p>
        </w:tc>
        <w:tc>
          <w:tcPr>
            <w:tcW w:w="1138" w:type="dxa"/>
            <w:tcBorders>
              <w:top w:val="nil"/>
              <w:left w:val="nil"/>
              <w:bottom w:val="single" w:sz="4" w:space="0" w:color="auto"/>
              <w:right w:val="single" w:sz="4" w:space="0" w:color="auto"/>
            </w:tcBorders>
            <w:shd w:val="clear" w:color="auto" w:fill="auto"/>
            <w:noWrap/>
            <w:vAlign w:val="bottom"/>
            <w:hideMark/>
          </w:tcPr>
          <w:p w14:paraId="6CB8323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1,34</w:t>
            </w:r>
          </w:p>
        </w:tc>
      </w:tr>
      <w:tr w:rsidR="00BF12D5" w:rsidRPr="00BD0223" w14:paraId="30013FBA"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27114A2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BARRETOS</w:t>
            </w:r>
          </w:p>
        </w:tc>
        <w:tc>
          <w:tcPr>
            <w:tcW w:w="1138" w:type="dxa"/>
            <w:tcBorders>
              <w:top w:val="nil"/>
              <w:left w:val="nil"/>
              <w:bottom w:val="single" w:sz="4" w:space="0" w:color="auto"/>
              <w:right w:val="single" w:sz="4" w:space="0" w:color="auto"/>
            </w:tcBorders>
            <w:shd w:val="clear" w:color="auto" w:fill="auto"/>
            <w:noWrap/>
            <w:vAlign w:val="bottom"/>
            <w:hideMark/>
          </w:tcPr>
          <w:p w14:paraId="5D55CCB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16,92</w:t>
            </w:r>
          </w:p>
        </w:tc>
        <w:tc>
          <w:tcPr>
            <w:tcW w:w="1138" w:type="dxa"/>
            <w:tcBorders>
              <w:top w:val="nil"/>
              <w:left w:val="nil"/>
              <w:bottom w:val="single" w:sz="4" w:space="0" w:color="auto"/>
              <w:right w:val="single" w:sz="4" w:space="0" w:color="auto"/>
            </w:tcBorders>
            <w:shd w:val="clear" w:color="auto" w:fill="auto"/>
            <w:noWrap/>
            <w:vAlign w:val="bottom"/>
            <w:hideMark/>
          </w:tcPr>
          <w:p w14:paraId="3F9ABA6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22,76</w:t>
            </w:r>
          </w:p>
        </w:tc>
        <w:tc>
          <w:tcPr>
            <w:tcW w:w="1138" w:type="dxa"/>
            <w:tcBorders>
              <w:top w:val="nil"/>
              <w:left w:val="nil"/>
              <w:bottom w:val="single" w:sz="4" w:space="0" w:color="auto"/>
              <w:right w:val="single" w:sz="4" w:space="0" w:color="auto"/>
            </w:tcBorders>
            <w:shd w:val="clear" w:color="auto" w:fill="auto"/>
            <w:noWrap/>
            <w:vAlign w:val="bottom"/>
            <w:hideMark/>
          </w:tcPr>
          <w:p w14:paraId="2DEDF74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24,54</w:t>
            </w:r>
          </w:p>
        </w:tc>
        <w:tc>
          <w:tcPr>
            <w:tcW w:w="1138" w:type="dxa"/>
            <w:tcBorders>
              <w:top w:val="nil"/>
              <w:left w:val="nil"/>
              <w:bottom w:val="single" w:sz="4" w:space="0" w:color="auto"/>
              <w:right w:val="single" w:sz="4" w:space="0" w:color="auto"/>
            </w:tcBorders>
            <w:shd w:val="clear" w:color="auto" w:fill="auto"/>
            <w:noWrap/>
            <w:vAlign w:val="bottom"/>
            <w:hideMark/>
          </w:tcPr>
          <w:p w14:paraId="1D34544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24,82</w:t>
            </w:r>
          </w:p>
        </w:tc>
        <w:tc>
          <w:tcPr>
            <w:tcW w:w="1138" w:type="dxa"/>
            <w:tcBorders>
              <w:top w:val="nil"/>
              <w:left w:val="nil"/>
              <w:bottom w:val="single" w:sz="4" w:space="0" w:color="auto"/>
              <w:right w:val="single" w:sz="4" w:space="0" w:color="auto"/>
            </w:tcBorders>
            <w:shd w:val="clear" w:color="auto" w:fill="auto"/>
            <w:noWrap/>
            <w:vAlign w:val="bottom"/>
            <w:hideMark/>
          </w:tcPr>
          <w:p w14:paraId="7B9220C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27,70</w:t>
            </w:r>
          </w:p>
        </w:tc>
      </w:tr>
      <w:tr w:rsidR="00BF12D5" w:rsidRPr="00BD0223" w14:paraId="12AF6784"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AF681B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BARRINHA</w:t>
            </w:r>
          </w:p>
        </w:tc>
        <w:tc>
          <w:tcPr>
            <w:tcW w:w="1138" w:type="dxa"/>
            <w:tcBorders>
              <w:top w:val="nil"/>
              <w:left w:val="nil"/>
              <w:bottom w:val="single" w:sz="4" w:space="0" w:color="auto"/>
              <w:right w:val="single" w:sz="4" w:space="0" w:color="auto"/>
            </w:tcBorders>
            <w:shd w:val="clear" w:color="auto" w:fill="auto"/>
            <w:noWrap/>
            <w:vAlign w:val="bottom"/>
            <w:hideMark/>
          </w:tcPr>
          <w:p w14:paraId="1DDBE7D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1,80</w:t>
            </w:r>
          </w:p>
        </w:tc>
        <w:tc>
          <w:tcPr>
            <w:tcW w:w="1138" w:type="dxa"/>
            <w:tcBorders>
              <w:top w:val="nil"/>
              <w:left w:val="nil"/>
              <w:bottom w:val="single" w:sz="4" w:space="0" w:color="auto"/>
              <w:right w:val="single" w:sz="4" w:space="0" w:color="auto"/>
            </w:tcBorders>
            <w:shd w:val="clear" w:color="auto" w:fill="auto"/>
            <w:noWrap/>
            <w:vAlign w:val="bottom"/>
            <w:hideMark/>
          </w:tcPr>
          <w:p w14:paraId="185A9F3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2,67</w:t>
            </w:r>
          </w:p>
        </w:tc>
        <w:tc>
          <w:tcPr>
            <w:tcW w:w="1138" w:type="dxa"/>
            <w:tcBorders>
              <w:top w:val="nil"/>
              <w:left w:val="nil"/>
              <w:bottom w:val="single" w:sz="4" w:space="0" w:color="auto"/>
              <w:right w:val="single" w:sz="4" w:space="0" w:color="auto"/>
            </w:tcBorders>
            <w:shd w:val="clear" w:color="auto" w:fill="auto"/>
            <w:noWrap/>
            <w:vAlign w:val="bottom"/>
            <w:hideMark/>
          </w:tcPr>
          <w:p w14:paraId="679BC97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3,19</w:t>
            </w:r>
          </w:p>
        </w:tc>
        <w:tc>
          <w:tcPr>
            <w:tcW w:w="1138" w:type="dxa"/>
            <w:tcBorders>
              <w:top w:val="nil"/>
              <w:left w:val="nil"/>
              <w:bottom w:val="single" w:sz="4" w:space="0" w:color="auto"/>
              <w:right w:val="single" w:sz="4" w:space="0" w:color="auto"/>
            </w:tcBorders>
            <w:shd w:val="clear" w:color="auto" w:fill="auto"/>
            <w:noWrap/>
            <w:vAlign w:val="bottom"/>
            <w:hideMark/>
          </w:tcPr>
          <w:p w14:paraId="5E8CC00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3,17</w:t>
            </w:r>
          </w:p>
        </w:tc>
        <w:tc>
          <w:tcPr>
            <w:tcW w:w="1138" w:type="dxa"/>
            <w:tcBorders>
              <w:top w:val="nil"/>
              <w:left w:val="nil"/>
              <w:bottom w:val="single" w:sz="4" w:space="0" w:color="auto"/>
              <w:right w:val="single" w:sz="4" w:space="0" w:color="auto"/>
            </w:tcBorders>
            <w:shd w:val="clear" w:color="auto" w:fill="auto"/>
            <w:noWrap/>
            <w:vAlign w:val="bottom"/>
            <w:hideMark/>
          </w:tcPr>
          <w:p w14:paraId="58B0D38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3,65</w:t>
            </w:r>
          </w:p>
        </w:tc>
      </w:tr>
      <w:tr w:rsidR="00BF12D5" w:rsidRPr="00BD0223" w14:paraId="7C9068AD"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E22F06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BATATAIS</w:t>
            </w:r>
          </w:p>
        </w:tc>
        <w:tc>
          <w:tcPr>
            <w:tcW w:w="1138" w:type="dxa"/>
            <w:tcBorders>
              <w:top w:val="nil"/>
              <w:left w:val="nil"/>
              <w:bottom w:val="single" w:sz="4" w:space="0" w:color="auto"/>
              <w:right w:val="single" w:sz="4" w:space="0" w:color="auto"/>
            </w:tcBorders>
            <w:shd w:val="clear" w:color="auto" w:fill="auto"/>
            <w:noWrap/>
            <w:vAlign w:val="bottom"/>
            <w:hideMark/>
          </w:tcPr>
          <w:p w14:paraId="4D6D2A6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7,96</w:t>
            </w:r>
          </w:p>
        </w:tc>
        <w:tc>
          <w:tcPr>
            <w:tcW w:w="1138" w:type="dxa"/>
            <w:tcBorders>
              <w:top w:val="nil"/>
              <w:left w:val="nil"/>
              <w:bottom w:val="single" w:sz="4" w:space="0" w:color="auto"/>
              <w:right w:val="single" w:sz="4" w:space="0" w:color="auto"/>
            </w:tcBorders>
            <w:shd w:val="clear" w:color="auto" w:fill="auto"/>
            <w:noWrap/>
            <w:vAlign w:val="bottom"/>
            <w:hideMark/>
          </w:tcPr>
          <w:p w14:paraId="7001B2C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10,32</w:t>
            </w:r>
          </w:p>
        </w:tc>
        <w:tc>
          <w:tcPr>
            <w:tcW w:w="1138" w:type="dxa"/>
            <w:tcBorders>
              <w:top w:val="nil"/>
              <w:left w:val="nil"/>
              <w:bottom w:val="single" w:sz="4" w:space="0" w:color="auto"/>
              <w:right w:val="single" w:sz="4" w:space="0" w:color="auto"/>
            </w:tcBorders>
            <w:shd w:val="clear" w:color="auto" w:fill="auto"/>
            <w:noWrap/>
            <w:vAlign w:val="bottom"/>
            <w:hideMark/>
          </w:tcPr>
          <w:p w14:paraId="0C34369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10,95</w:t>
            </w:r>
          </w:p>
        </w:tc>
        <w:tc>
          <w:tcPr>
            <w:tcW w:w="1138" w:type="dxa"/>
            <w:tcBorders>
              <w:top w:val="nil"/>
              <w:left w:val="nil"/>
              <w:bottom w:val="single" w:sz="4" w:space="0" w:color="auto"/>
              <w:right w:val="single" w:sz="4" w:space="0" w:color="auto"/>
            </w:tcBorders>
            <w:shd w:val="clear" w:color="auto" w:fill="auto"/>
            <w:noWrap/>
            <w:vAlign w:val="bottom"/>
            <w:hideMark/>
          </w:tcPr>
          <w:p w14:paraId="4A1EFE9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12,17</w:t>
            </w:r>
          </w:p>
        </w:tc>
        <w:tc>
          <w:tcPr>
            <w:tcW w:w="1138" w:type="dxa"/>
            <w:tcBorders>
              <w:top w:val="nil"/>
              <w:left w:val="nil"/>
              <w:bottom w:val="single" w:sz="4" w:space="0" w:color="auto"/>
              <w:right w:val="single" w:sz="4" w:space="0" w:color="auto"/>
            </w:tcBorders>
            <w:shd w:val="clear" w:color="auto" w:fill="auto"/>
            <w:noWrap/>
            <w:vAlign w:val="bottom"/>
            <w:hideMark/>
          </w:tcPr>
          <w:p w14:paraId="221AE35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13,04</w:t>
            </w:r>
          </w:p>
        </w:tc>
      </w:tr>
      <w:tr w:rsidR="00BF12D5" w:rsidRPr="00BD0223" w14:paraId="4E531E25"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4B0CC08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BEBEDOURO</w:t>
            </w:r>
          </w:p>
        </w:tc>
        <w:tc>
          <w:tcPr>
            <w:tcW w:w="1138" w:type="dxa"/>
            <w:tcBorders>
              <w:top w:val="nil"/>
              <w:left w:val="nil"/>
              <w:bottom w:val="single" w:sz="4" w:space="0" w:color="auto"/>
              <w:right w:val="single" w:sz="4" w:space="0" w:color="auto"/>
            </w:tcBorders>
            <w:shd w:val="clear" w:color="auto" w:fill="auto"/>
            <w:noWrap/>
            <w:vAlign w:val="bottom"/>
            <w:hideMark/>
          </w:tcPr>
          <w:p w14:paraId="4342519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10,93</w:t>
            </w:r>
          </w:p>
        </w:tc>
        <w:tc>
          <w:tcPr>
            <w:tcW w:w="1138" w:type="dxa"/>
            <w:tcBorders>
              <w:top w:val="nil"/>
              <w:left w:val="nil"/>
              <w:bottom w:val="single" w:sz="4" w:space="0" w:color="auto"/>
              <w:right w:val="single" w:sz="4" w:space="0" w:color="auto"/>
            </w:tcBorders>
            <w:shd w:val="clear" w:color="auto" w:fill="auto"/>
            <w:noWrap/>
            <w:vAlign w:val="bottom"/>
            <w:hideMark/>
          </w:tcPr>
          <w:p w14:paraId="6241965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14,97</w:t>
            </w:r>
          </w:p>
        </w:tc>
        <w:tc>
          <w:tcPr>
            <w:tcW w:w="1138" w:type="dxa"/>
            <w:tcBorders>
              <w:top w:val="nil"/>
              <w:left w:val="nil"/>
              <w:bottom w:val="single" w:sz="4" w:space="0" w:color="auto"/>
              <w:right w:val="single" w:sz="4" w:space="0" w:color="auto"/>
            </w:tcBorders>
            <w:shd w:val="clear" w:color="auto" w:fill="auto"/>
            <w:noWrap/>
            <w:vAlign w:val="bottom"/>
            <w:hideMark/>
          </w:tcPr>
          <w:p w14:paraId="0931DBE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17,09</w:t>
            </w:r>
          </w:p>
        </w:tc>
        <w:tc>
          <w:tcPr>
            <w:tcW w:w="1138" w:type="dxa"/>
            <w:tcBorders>
              <w:top w:val="nil"/>
              <w:left w:val="nil"/>
              <w:bottom w:val="single" w:sz="4" w:space="0" w:color="auto"/>
              <w:right w:val="single" w:sz="4" w:space="0" w:color="auto"/>
            </w:tcBorders>
            <w:shd w:val="clear" w:color="auto" w:fill="auto"/>
            <w:noWrap/>
            <w:vAlign w:val="bottom"/>
            <w:hideMark/>
          </w:tcPr>
          <w:p w14:paraId="58CD10C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16,63</w:t>
            </w:r>
          </w:p>
        </w:tc>
        <w:tc>
          <w:tcPr>
            <w:tcW w:w="1138" w:type="dxa"/>
            <w:tcBorders>
              <w:top w:val="nil"/>
              <w:left w:val="nil"/>
              <w:bottom w:val="single" w:sz="4" w:space="0" w:color="auto"/>
              <w:right w:val="single" w:sz="4" w:space="0" w:color="auto"/>
            </w:tcBorders>
            <w:shd w:val="clear" w:color="auto" w:fill="auto"/>
            <w:noWrap/>
            <w:vAlign w:val="bottom"/>
            <w:hideMark/>
          </w:tcPr>
          <w:p w14:paraId="4E091AB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17,71</w:t>
            </w:r>
          </w:p>
        </w:tc>
      </w:tr>
      <w:tr w:rsidR="00BF12D5" w:rsidRPr="00BD0223" w14:paraId="1423A494"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5B863B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BRODOWSKI</w:t>
            </w:r>
          </w:p>
        </w:tc>
        <w:tc>
          <w:tcPr>
            <w:tcW w:w="1138" w:type="dxa"/>
            <w:tcBorders>
              <w:top w:val="nil"/>
              <w:left w:val="nil"/>
              <w:bottom w:val="single" w:sz="4" w:space="0" w:color="auto"/>
              <w:right w:val="single" w:sz="4" w:space="0" w:color="auto"/>
            </w:tcBorders>
            <w:shd w:val="clear" w:color="auto" w:fill="auto"/>
            <w:noWrap/>
            <w:vAlign w:val="bottom"/>
            <w:hideMark/>
          </w:tcPr>
          <w:p w14:paraId="6DD5F0A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2,90</w:t>
            </w:r>
          </w:p>
        </w:tc>
        <w:tc>
          <w:tcPr>
            <w:tcW w:w="1138" w:type="dxa"/>
            <w:tcBorders>
              <w:top w:val="nil"/>
              <w:left w:val="nil"/>
              <w:bottom w:val="single" w:sz="4" w:space="0" w:color="auto"/>
              <w:right w:val="single" w:sz="4" w:space="0" w:color="auto"/>
            </w:tcBorders>
            <w:shd w:val="clear" w:color="auto" w:fill="auto"/>
            <w:noWrap/>
            <w:vAlign w:val="bottom"/>
            <w:hideMark/>
          </w:tcPr>
          <w:p w14:paraId="437EA8C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3,92</w:t>
            </w:r>
          </w:p>
        </w:tc>
        <w:tc>
          <w:tcPr>
            <w:tcW w:w="1138" w:type="dxa"/>
            <w:tcBorders>
              <w:top w:val="nil"/>
              <w:left w:val="nil"/>
              <w:bottom w:val="single" w:sz="4" w:space="0" w:color="auto"/>
              <w:right w:val="single" w:sz="4" w:space="0" w:color="auto"/>
            </w:tcBorders>
            <w:shd w:val="clear" w:color="auto" w:fill="auto"/>
            <w:noWrap/>
            <w:vAlign w:val="bottom"/>
            <w:hideMark/>
          </w:tcPr>
          <w:p w14:paraId="6D1D162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4,39</w:t>
            </w:r>
          </w:p>
        </w:tc>
        <w:tc>
          <w:tcPr>
            <w:tcW w:w="1138" w:type="dxa"/>
            <w:tcBorders>
              <w:top w:val="nil"/>
              <w:left w:val="nil"/>
              <w:bottom w:val="single" w:sz="4" w:space="0" w:color="auto"/>
              <w:right w:val="single" w:sz="4" w:space="0" w:color="auto"/>
            </w:tcBorders>
            <w:shd w:val="clear" w:color="auto" w:fill="auto"/>
            <w:noWrap/>
            <w:vAlign w:val="bottom"/>
            <w:hideMark/>
          </w:tcPr>
          <w:p w14:paraId="0FE8DEA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4,21</w:t>
            </w:r>
          </w:p>
        </w:tc>
        <w:tc>
          <w:tcPr>
            <w:tcW w:w="1138" w:type="dxa"/>
            <w:tcBorders>
              <w:top w:val="nil"/>
              <w:left w:val="nil"/>
              <w:bottom w:val="single" w:sz="4" w:space="0" w:color="auto"/>
              <w:right w:val="single" w:sz="4" w:space="0" w:color="auto"/>
            </w:tcBorders>
            <w:shd w:val="clear" w:color="auto" w:fill="auto"/>
            <w:noWrap/>
            <w:vAlign w:val="bottom"/>
            <w:hideMark/>
          </w:tcPr>
          <w:p w14:paraId="73B2243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5,64</w:t>
            </w:r>
          </w:p>
        </w:tc>
      </w:tr>
      <w:tr w:rsidR="00BF12D5" w:rsidRPr="00BD0223" w14:paraId="6E13B59C"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66D728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BURITIZAL</w:t>
            </w:r>
          </w:p>
        </w:tc>
        <w:tc>
          <w:tcPr>
            <w:tcW w:w="1138" w:type="dxa"/>
            <w:tcBorders>
              <w:top w:val="nil"/>
              <w:left w:val="nil"/>
              <w:bottom w:val="single" w:sz="4" w:space="0" w:color="auto"/>
              <w:right w:val="single" w:sz="4" w:space="0" w:color="auto"/>
            </w:tcBorders>
            <w:shd w:val="clear" w:color="auto" w:fill="auto"/>
            <w:noWrap/>
            <w:vAlign w:val="bottom"/>
            <w:hideMark/>
          </w:tcPr>
          <w:p w14:paraId="1FD021D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0,50</w:t>
            </w:r>
          </w:p>
        </w:tc>
        <w:tc>
          <w:tcPr>
            <w:tcW w:w="1138" w:type="dxa"/>
            <w:tcBorders>
              <w:top w:val="nil"/>
              <w:left w:val="nil"/>
              <w:bottom w:val="single" w:sz="4" w:space="0" w:color="auto"/>
              <w:right w:val="single" w:sz="4" w:space="0" w:color="auto"/>
            </w:tcBorders>
            <w:shd w:val="clear" w:color="auto" w:fill="auto"/>
            <w:noWrap/>
            <w:vAlign w:val="bottom"/>
            <w:hideMark/>
          </w:tcPr>
          <w:p w14:paraId="0EAF7C7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0,66</w:t>
            </w:r>
          </w:p>
        </w:tc>
        <w:tc>
          <w:tcPr>
            <w:tcW w:w="1138" w:type="dxa"/>
            <w:tcBorders>
              <w:top w:val="nil"/>
              <w:left w:val="nil"/>
              <w:bottom w:val="single" w:sz="4" w:space="0" w:color="auto"/>
              <w:right w:val="single" w:sz="4" w:space="0" w:color="auto"/>
            </w:tcBorders>
            <w:shd w:val="clear" w:color="auto" w:fill="auto"/>
            <w:noWrap/>
            <w:vAlign w:val="bottom"/>
            <w:hideMark/>
          </w:tcPr>
          <w:p w14:paraId="7D47AE8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0,72</w:t>
            </w:r>
          </w:p>
        </w:tc>
        <w:tc>
          <w:tcPr>
            <w:tcW w:w="1138" w:type="dxa"/>
            <w:tcBorders>
              <w:top w:val="nil"/>
              <w:left w:val="nil"/>
              <w:bottom w:val="single" w:sz="4" w:space="0" w:color="auto"/>
              <w:right w:val="single" w:sz="4" w:space="0" w:color="auto"/>
            </w:tcBorders>
            <w:shd w:val="clear" w:color="auto" w:fill="auto"/>
            <w:noWrap/>
            <w:vAlign w:val="bottom"/>
            <w:hideMark/>
          </w:tcPr>
          <w:p w14:paraId="41FEAF0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0,76</w:t>
            </w:r>
          </w:p>
        </w:tc>
        <w:tc>
          <w:tcPr>
            <w:tcW w:w="1138" w:type="dxa"/>
            <w:tcBorders>
              <w:top w:val="nil"/>
              <w:left w:val="nil"/>
              <w:bottom w:val="single" w:sz="4" w:space="0" w:color="auto"/>
              <w:right w:val="single" w:sz="4" w:space="0" w:color="auto"/>
            </w:tcBorders>
            <w:shd w:val="clear" w:color="auto" w:fill="auto"/>
            <w:noWrap/>
            <w:vAlign w:val="bottom"/>
            <w:hideMark/>
          </w:tcPr>
          <w:p w14:paraId="628D9ED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0,80</w:t>
            </w:r>
          </w:p>
        </w:tc>
      </w:tr>
      <w:tr w:rsidR="00BF12D5" w:rsidRPr="00BD0223" w14:paraId="380FAD18"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52B062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CAJOBI</w:t>
            </w:r>
          </w:p>
        </w:tc>
        <w:tc>
          <w:tcPr>
            <w:tcW w:w="1138" w:type="dxa"/>
            <w:tcBorders>
              <w:top w:val="nil"/>
              <w:left w:val="nil"/>
              <w:bottom w:val="single" w:sz="4" w:space="0" w:color="auto"/>
              <w:right w:val="single" w:sz="4" w:space="0" w:color="auto"/>
            </w:tcBorders>
            <w:shd w:val="clear" w:color="auto" w:fill="auto"/>
            <w:noWrap/>
            <w:vAlign w:val="bottom"/>
            <w:hideMark/>
          </w:tcPr>
          <w:p w14:paraId="5E97CFF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0,54</w:t>
            </w:r>
          </w:p>
        </w:tc>
        <w:tc>
          <w:tcPr>
            <w:tcW w:w="1138" w:type="dxa"/>
            <w:tcBorders>
              <w:top w:val="nil"/>
              <w:left w:val="nil"/>
              <w:bottom w:val="single" w:sz="4" w:space="0" w:color="auto"/>
              <w:right w:val="single" w:sz="4" w:space="0" w:color="auto"/>
            </w:tcBorders>
            <w:shd w:val="clear" w:color="auto" w:fill="auto"/>
            <w:noWrap/>
            <w:vAlign w:val="bottom"/>
            <w:hideMark/>
          </w:tcPr>
          <w:p w14:paraId="01125A1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0,68</w:t>
            </w:r>
          </w:p>
        </w:tc>
        <w:tc>
          <w:tcPr>
            <w:tcW w:w="1138" w:type="dxa"/>
            <w:tcBorders>
              <w:top w:val="nil"/>
              <w:left w:val="nil"/>
              <w:bottom w:val="single" w:sz="4" w:space="0" w:color="auto"/>
              <w:right w:val="single" w:sz="4" w:space="0" w:color="auto"/>
            </w:tcBorders>
            <w:shd w:val="clear" w:color="auto" w:fill="auto"/>
            <w:noWrap/>
            <w:vAlign w:val="bottom"/>
            <w:hideMark/>
          </w:tcPr>
          <w:p w14:paraId="381663D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0,73</w:t>
            </w:r>
          </w:p>
        </w:tc>
        <w:tc>
          <w:tcPr>
            <w:tcW w:w="1138" w:type="dxa"/>
            <w:tcBorders>
              <w:top w:val="nil"/>
              <w:left w:val="nil"/>
              <w:bottom w:val="single" w:sz="4" w:space="0" w:color="auto"/>
              <w:right w:val="single" w:sz="4" w:space="0" w:color="auto"/>
            </w:tcBorders>
            <w:shd w:val="clear" w:color="auto" w:fill="auto"/>
            <w:noWrap/>
            <w:vAlign w:val="bottom"/>
            <w:hideMark/>
          </w:tcPr>
          <w:p w14:paraId="4E01203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0,73</w:t>
            </w:r>
          </w:p>
        </w:tc>
        <w:tc>
          <w:tcPr>
            <w:tcW w:w="1138" w:type="dxa"/>
            <w:tcBorders>
              <w:top w:val="nil"/>
              <w:left w:val="nil"/>
              <w:bottom w:val="single" w:sz="4" w:space="0" w:color="auto"/>
              <w:right w:val="single" w:sz="4" w:space="0" w:color="auto"/>
            </w:tcBorders>
            <w:shd w:val="clear" w:color="auto" w:fill="auto"/>
            <w:noWrap/>
            <w:vAlign w:val="bottom"/>
            <w:hideMark/>
          </w:tcPr>
          <w:p w14:paraId="1C3F00D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0,82</w:t>
            </w:r>
          </w:p>
        </w:tc>
      </w:tr>
      <w:tr w:rsidR="00BF12D5" w:rsidRPr="00BD0223" w14:paraId="7B6021C2"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4C7030A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CAJURU</w:t>
            </w:r>
          </w:p>
        </w:tc>
        <w:tc>
          <w:tcPr>
            <w:tcW w:w="1138" w:type="dxa"/>
            <w:tcBorders>
              <w:top w:val="nil"/>
              <w:left w:val="nil"/>
              <w:bottom w:val="single" w:sz="4" w:space="0" w:color="auto"/>
              <w:right w:val="single" w:sz="4" w:space="0" w:color="auto"/>
            </w:tcBorders>
            <w:shd w:val="clear" w:color="auto" w:fill="auto"/>
            <w:noWrap/>
            <w:vAlign w:val="bottom"/>
            <w:hideMark/>
          </w:tcPr>
          <w:p w14:paraId="07078D0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2,65</w:t>
            </w:r>
          </w:p>
        </w:tc>
        <w:tc>
          <w:tcPr>
            <w:tcW w:w="1138" w:type="dxa"/>
            <w:tcBorders>
              <w:top w:val="nil"/>
              <w:left w:val="nil"/>
              <w:bottom w:val="single" w:sz="4" w:space="0" w:color="auto"/>
              <w:right w:val="single" w:sz="4" w:space="0" w:color="auto"/>
            </w:tcBorders>
            <w:shd w:val="clear" w:color="auto" w:fill="auto"/>
            <w:noWrap/>
            <w:vAlign w:val="bottom"/>
            <w:hideMark/>
          </w:tcPr>
          <w:p w14:paraId="47BAF46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3,77</w:t>
            </w:r>
          </w:p>
        </w:tc>
        <w:tc>
          <w:tcPr>
            <w:tcW w:w="1138" w:type="dxa"/>
            <w:tcBorders>
              <w:top w:val="nil"/>
              <w:left w:val="nil"/>
              <w:bottom w:val="single" w:sz="4" w:space="0" w:color="auto"/>
              <w:right w:val="single" w:sz="4" w:space="0" w:color="auto"/>
            </w:tcBorders>
            <w:shd w:val="clear" w:color="auto" w:fill="auto"/>
            <w:noWrap/>
            <w:vAlign w:val="bottom"/>
            <w:hideMark/>
          </w:tcPr>
          <w:p w14:paraId="6A3EF49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4,19</w:t>
            </w:r>
          </w:p>
        </w:tc>
        <w:tc>
          <w:tcPr>
            <w:tcW w:w="1138" w:type="dxa"/>
            <w:tcBorders>
              <w:top w:val="nil"/>
              <w:left w:val="nil"/>
              <w:bottom w:val="single" w:sz="4" w:space="0" w:color="auto"/>
              <w:right w:val="single" w:sz="4" w:space="0" w:color="auto"/>
            </w:tcBorders>
            <w:shd w:val="clear" w:color="auto" w:fill="auto"/>
            <w:noWrap/>
            <w:vAlign w:val="bottom"/>
            <w:hideMark/>
          </w:tcPr>
          <w:p w14:paraId="0C3A81F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4,27</w:t>
            </w:r>
          </w:p>
        </w:tc>
        <w:tc>
          <w:tcPr>
            <w:tcW w:w="1138" w:type="dxa"/>
            <w:tcBorders>
              <w:top w:val="nil"/>
              <w:left w:val="nil"/>
              <w:bottom w:val="single" w:sz="4" w:space="0" w:color="auto"/>
              <w:right w:val="single" w:sz="4" w:space="0" w:color="auto"/>
            </w:tcBorders>
            <w:shd w:val="clear" w:color="auto" w:fill="auto"/>
            <w:noWrap/>
            <w:vAlign w:val="bottom"/>
            <w:hideMark/>
          </w:tcPr>
          <w:p w14:paraId="3B9918F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4,60</w:t>
            </w:r>
          </w:p>
        </w:tc>
      </w:tr>
      <w:tr w:rsidR="00BF12D5" w:rsidRPr="00BD0223" w14:paraId="02E6966B"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1FC01B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CANDIDO RODRIGUES</w:t>
            </w:r>
          </w:p>
        </w:tc>
        <w:tc>
          <w:tcPr>
            <w:tcW w:w="1138" w:type="dxa"/>
            <w:tcBorders>
              <w:top w:val="nil"/>
              <w:left w:val="nil"/>
              <w:bottom w:val="single" w:sz="4" w:space="0" w:color="auto"/>
              <w:right w:val="single" w:sz="4" w:space="0" w:color="auto"/>
            </w:tcBorders>
            <w:shd w:val="clear" w:color="auto" w:fill="auto"/>
            <w:noWrap/>
            <w:vAlign w:val="bottom"/>
            <w:hideMark/>
          </w:tcPr>
          <w:p w14:paraId="2BDBB00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0,21</w:t>
            </w:r>
          </w:p>
        </w:tc>
        <w:tc>
          <w:tcPr>
            <w:tcW w:w="1138" w:type="dxa"/>
            <w:tcBorders>
              <w:top w:val="nil"/>
              <w:left w:val="nil"/>
              <w:bottom w:val="single" w:sz="4" w:space="0" w:color="auto"/>
              <w:right w:val="single" w:sz="4" w:space="0" w:color="auto"/>
            </w:tcBorders>
            <w:shd w:val="clear" w:color="auto" w:fill="auto"/>
            <w:noWrap/>
            <w:vAlign w:val="bottom"/>
            <w:hideMark/>
          </w:tcPr>
          <w:p w14:paraId="25FC42B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0,28</w:t>
            </w:r>
          </w:p>
        </w:tc>
        <w:tc>
          <w:tcPr>
            <w:tcW w:w="1138" w:type="dxa"/>
            <w:tcBorders>
              <w:top w:val="nil"/>
              <w:left w:val="nil"/>
              <w:bottom w:val="single" w:sz="4" w:space="0" w:color="auto"/>
              <w:right w:val="single" w:sz="4" w:space="0" w:color="auto"/>
            </w:tcBorders>
            <w:shd w:val="clear" w:color="auto" w:fill="auto"/>
            <w:noWrap/>
            <w:vAlign w:val="bottom"/>
            <w:hideMark/>
          </w:tcPr>
          <w:p w14:paraId="59979E2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0,31</w:t>
            </w:r>
          </w:p>
        </w:tc>
        <w:tc>
          <w:tcPr>
            <w:tcW w:w="1138" w:type="dxa"/>
            <w:tcBorders>
              <w:top w:val="nil"/>
              <w:left w:val="nil"/>
              <w:bottom w:val="single" w:sz="4" w:space="0" w:color="auto"/>
              <w:right w:val="single" w:sz="4" w:space="0" w:color="auto"/>
            </w:tcBorders>
            <w:shd w:val="clear" w:color="auto" w:fill="auto"/>
            <w:noWrap/>
            <w:vAlign w:val="bottom"/>
            <w:hideMark/>
          </w:tcPr>
          <w:p w14:paraId="289BF35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0,32</w:t>
            </w:r>
          </w:p>
        </w:tc>
        <w:tc>
          <w:tcPr>
            <w:tcW w:w="1138" w:type="dxa"/>
            <w:tcBorders>
              <w:top w:val="nil"/>
              <w:left w:val="nil"/>
              <w:bottom w:val="single" w:sz="4" w:space="0" w:color="auto"/>
              <w:right w:val="single" w:sz="4" w:space="0" w:color="auto"/>
            </w:tcBorders>
            <w:shd w:val="clear" w:color="auto" w:fill="auto"/>
            <w:noWrap/>
            <w:vAlign w:val="bottom"/>
            <w:hideMark/>
          </w:tcPr>
          <w:p w14:paraId="01D27BD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0,30</w:t>
            </w:r>
          </w:p>
        </w:tc>
      </w:tr>
      <w:tr w:rsidR="00BF12D5" w:rsidRPr="00BD0223" w14:paraId="6CEB3AC8"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325452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CARDOSO</w:t>
            </w:r>
          </w:p>
        </w:tc>
        <w:tc>
          <w:tcPr>
            <w:tcW w:w="1138" w:type="dxa"/>
            <w:tcBorders>
              <w:top w:val="nil"/>
              <w:left w:val="nil"/>
              <w:bottom w:val="single" w:sz="4" w:space="0" w:color="auto"/>
              <w:right w:val="single" w:sz="4" w:space="0" w:color="auto"/>
            </w:tcBorders>
            <w:shd w:val="clear" w:color="auto" w:fill="auto"/>
            <w:noWrap/>
            <w:vAlign w:val="bottom"/>
            <w:hideMark/>
          </w:tcPr>
          <w:p w14:paraId="27DA3E6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1,14</w:t>
            </w:r>
          </w:p>
        </w:tc>
        <w:tc>
          <w:tcPr>
            <w:tcW w:w="1138" w:type="dxa"/>
            <w:tcBorders>
              <w:top w:val="nil"/>
              <w:left w:val="nil"/>
              <w:bottom w:val="single" w:sz="4" w:space="0" w:color="auto"/>
              <w:right w:val="single" w:sz="4" w:space="0" w:color="auto"/>
            </w:tcBorders>
            <w:shd w:val="clear" w:color="auto" w:fill="auto"/>
            <w:noWrap/>
            <w:vAlign w:val="bottom"/>
            <w:hideMark/>
          </w:tcPr>
          <w:p w14:paraId="7A97EC4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1,59</w:t>
            </w:r>
          </w:p>
        </w:tc>
        <w:tc>
          <w:tcPr>
            <w:tcW w:w="1138" w:type="dxa"/>
            <w:tcBorders>
              <w:top w:val="nil"/>
              <w:left w:val="nil"/>
              <w:bottom w:val="single" w:sz="4" w:space="0" w:color="auto"/>
              <w:right w:val="single" w:sz="4" w:space="0" w:color="auto"/>
            </w:tcBorders>
            <w:shd w:val="clear" w:color="auto" w:fill="auto"/>
            <w:noWrap/>
            <w:vAlign w:val="bottom"/>
            <w:hideMark/>
          </w:tcPr>
          <w:p w14:paraId="3151106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1,81</w:t>
            </w:r>
          </w:p>
        </w:tc>
        <w:tc>
          <w:tcPr>
            <w:tcW w:w="1138" w:type="dxa"/>
            <w:tcBorders>
              <w:top w:val="nil"/>
              <w:left w:val="nil"/>
              <w:bottom w:val="single" w:sz="4" w:space="0" w:color="auto"/>
              <w:right w:val="single" w:sz="4" w:space="0" w:color="auto"/>
            </w:tcBorders>
            <w:shd w:val="clear" w:color="auto" w:fill="auto"/>
            <w:noWrap/>
            <w:vAlign w:val="bottom"/>
            <w:hideMark/>
          </w:tcPr>
          <w:p w14:paraId="0DEE1AF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1,87</w:t>
            </w:r>
          </w:p>
        </w:tc>
        <w:tc>
          <w:tcPr>
            <w:tcW w:w="1138" w:type="dxa"/>
            <w:tcBorders>
              <w:top w:val="nil"/>
              <w:left w:val="nil"/>
              <w:bottom w:val="single" w:sz="4" w:space="0" w:color="auto"/>
              <w:right w:val="single" w:sz="4" w:space="0" w:color="auto"/>
            </w:tcBorders>
            <w:shd w:val="clear" w:color="auto" w:fill="auto"/>
            <w:noWrap/>
            <w:vAlign w:val="bottom"/>
            <w:hideMark/>
          </w:tcPr>
          <w:p w14:paraId="028CC19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1,96</w:t>
            </w:r>
          </w:p>
        </w:tc>
      </w:tr>
      <w:tr w:rsidR="00BF12D5" w:rsidRPr="00BD0223" w14:paraId="4D74DD6F"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73AF9B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CASSIA DOS COQUEIROS</w:t>
            </w:r>
          </w:p>
        </w:tc>
        <w:tc>
          <w:tcPr>
            <w:tcW w:w="1138" w:type="dxa"/>
            <w:tcBorders>
              <w:top w:val="nil"/>
              <w:left w:val="nil"/>
              <w:bottom w:val="single" w:sz="4" w:space="0" w:color="auto"/>
              <w:right w:val="single" w:sz="4" w:space="0" w:color="auto"/>
            </w:tcBorders>
            <w:shd w:val="clear" w:color="auto" w:fill="auto"/>
            <w:noWrap/>
            <w:vAlign w:val="bottom"/>
            <w:hideMark/>
          </w:tcPr>
          <w:p w14:paraId="4C8A404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0,17</w:t>
            </w:r>
          </w:p>
        </w:tc>
        <w:tc>
          <w:tcPr>
            <w:tcW w:w="1138" w:type="dxa"/>
            <w:tcBorders>
              <w:top w:val="nil"/>
              <w:left w:val="nil"/>
              <w:bottom w:val="single" w:sz="4" w:space="0" w:color="auto"/>
              <w:right w:val="single" w:sz="4" w:space="0" w:color="auto"/>
            </w:tcBorders>
            <w:shd w:val="clear" w:color="auto" w:fill="auto"/>
            <w:noWrap/>
            <w:vAlign w:val="bottom"/>
            <w:hideMark/>
          </w:tcPr>
          <w:p w14:paraId="6ED11ED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0,19</w:t>
            </w:r>
          </w:p>
        </w:tc>
        <w:tc>
          <w:tcPr>
            <w:tcW w:w="1138" w:type="dxa"/>
            <w:tcBorders>
              <w:top w:val="nil"/>
              <w:left w:val="nil"/>
              <w:bottom w:val="single" w:sz="4" w:space="0" w:color="auto"/>
              <w:right w:val="single" w:sz="4" w:space="0" w:color="auto"/>
            </w:tcBorders>
            <w:shd w:val="clear" w:color="auto" w:fill="auto"/>
            <w:noWrap/>
            <w:vAlign w:val="bottom"/>
            <w:hideMark/>
          </w:tcPr>
          <w:p w14:paraId="6797F9C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0,21</w:t>
            </w:r>
          </w:p>
        </w:tc>
        <w:tc>
          <w:tcPr>
            <w:tcW w:w="1138" w:type="dxa"/>
            <w:tcBorders>
              <w:top w:val="nil"/>
              <w:left w:val="nil"/>
              <w:bottom w:val="single" w:sz="4" w:space="0" w:color="auto"/>
              <w:right w:val="single" w:sz="4" w:space="0" w:color="auto"/>
            </w:tcBorders>
            <w:shd w:val="clear" w:color="auto" w:fill="auto"/>
            <w:noWrap/>
            <w:vAlign w:val="bottom"/>
            <w:hideMark/>
          </w:tcPr>
          <w:p w14:paraId="4C56875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0,26</w:t>
            </w:r>
          </w:p>
        </w:tc>
        <w:tc>
          <w:tcPr>
            <w:tcW w:w="1138" w:type="dxa"/>
            <w:tcBorders>
              <w:top w:val="nil"/>
              <w:left w:val="nil"/>
              <w:bottom w:val="single" w:sz="4" w:space="0" w:color="auto"/>
              <w:right w:val="single" w:sz="4" w:space="0" w:color="auto"/>
            </w:tcBorders>
            <w:shd w:val="clear" w:color="auto" w:fill="auto"/>
            <w:noWrap/>
            <w:vAlign w:val="bottom"/>
            <w:hideMark/>
          </w:tcPr>
          <w:p w14:paraId="2E92B6A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0,29</w:t>
            </w:r>
          </w:p>
        </w:tc>
      </w:tr>
      <w:tr w:rsidR="00BF12D5" w:rsidRPr="00BD0223" w14:paraId="7EEC2ABC"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75FC5D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CATANDUVA</w:t>
            </w:r>
          </w:p>
        </w:tc>
        <w:tc>
          <w:tcPr>
            <w:tcW w:w="1138" w:type="dxa"/>
            <w:tcBorders>
              <w:top w:val="nil"/>
              <w:left w:val="nil"/>
              <w:bottom w:val="single" w:sz="4" w:space="0" w:color="auto"/>
              <w:right w:val="single" w:sz="4" w:space="0" w:color="auto"/>
            </w:tcBorders>
            <w:shd w:val="clear" w:color="auto" w:fill="auto"/>
            <w:noWrap/>
            <w:vAlign w:val="bottom"/>
            <w:hideMark/>
          </w:tcPr>
          <w:p w14:paraId="50358CC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15,62</w:t>
            </w:r>
          </w:p>
        </w:tc>
        <w:tc>
          <w:tcPr>
            <w:tcW w:w="1138" w:type="dxa"/>
            <w:tcBorders>
              <w:top w:val="nil"/>
              <w:left w:val="nil"/>
              <w:bottom w:val="single" w:sz="4" w:space="0" w:color="auto"/>
              <w:right w:val="single" w:sz="4" w:space="0" w:color="auto"/>
            </w:tcBorders>
            <w:shd w:val="clear" w:color="auto" w:fill="auto"/>
            <w:noWrap/>
            <w:vAlign w:val="bottom"/>
            <w:hideMark/>
          </w:tcPr>
          <w:p w14:paraId="316615D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22,24</w:t>
            </w:r>
          </w:p>
        </w:tc>
        <w:tc>
          <w:tcPr>
            <w:tcW w:w="1138" w:type="dxa"/>
            <w:tcBorders>
              <w:top w:val="nil"/>
              <w:left w:val="nil"/>
              <w:bottom w:val="single" w:sz="4" w:space="0" w:color="auto"/>
              <w:right w:val="single" w:sz="4" w:space="0" w:color="auto"/>
            </w:tcBorders>
            <w:shd w:val="clear" w:color="auto" w:fill="auto"/>
            <w:noWrap/>
            <w:vAlign w:val="bottom"/>
            <w:hideMark/>
          </w:tcPr>
          <w:p w14:paraId="3461B73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24,83</w:t>
            </w:r>
          </w:p>
        </w:tc>
        <w:tc>
          <w:tcPr>
            <w:tcW w:w="1138" w:type="dxa"/>
            <w:tcBorders>
              <w:top w:val="nil"/>
              <w:left w:val="nil"/>
              <w:bottom w:val="single" w:sz="4" w:space="0" w:color="auto"/>
              <w:right w:val="single" w:sz="4" w:space="0" w:color="auto"/>
            </w:tcBorders>
            <w:shd w:val="clear" w:color="auto" w:fill="auto"/>
            <w:noWrap/>
            <w:vAlign w:val="bottom"/>
            <w:hideMark/>
          </w:tcPr>
          <w:p w14:paraId="23BFBE4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22,88</w:t>
            </w:r>
          </w:p>
        </w:tc>
        <w:tc>
          <w:tcPr>
            <w:tcW w:w="1138" w:type="dxa"/>
            <w:tcBorders>
              <w:top w:val="nil"/>
              <w:left w:val="nil"/>
              <w:bottom w:val="single" w:sz="4" w:space="0" w:color="auto"/>
              <w:right w:val="single" w:sz="4" w:space="0" w:color="auto"/>
            </w:tcBorders>
            <w:shd w:val="clear" w:color="auto" w:fill="auto"/>
            <w:noWrap/>
            <w:vAlign w:val="bottom"/>
            <w:hideMark/>
          </w:tcPr>
          <w:p w14:paraId="0DF4AF0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23,93</w:t>
            </w:r>
          </w:p>
        </w:tc>
      </w:tr>
      <w:tr w:rsidR="00BF12D5" w:rsidRPr="00BD0223" w14:paraId="1F0C8057"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4530642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CATIGUA</w:t>
            </w:r>
          </w:p>
        </w:tc>
        <w:tc>
          <w:tcPr>
            <w:tcW w:w="1138" w:type="dxa"/>
            <w:tcBorders>
              <w:top w:val="nil"/>
              <w:left w:val="nil"/>
              <w:bottom w:val="single" w:sz="4" w:space="0" w:color="auto"/>
              <w:right w:val="single" w:sz="4" w:space="0" w:color="auto"/>
            </w:tcBorders>
            <w:shd w:val="clear" w:color="auto" w:fill="auto"/>
            <w:noWrap/>
            <w:vAlign w:val="bottom"/>
            <w:hideMark/>
          </w:tcPr>
          <w:p w14:paraId="6C7F481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1,02</w:t>
            </w:r>
          </w:p>
        </w:tc>
        <w:tc>
          <w:tcPr>
            <w:tcW w:w="1138" w:type="dxa"/>
            <w:tcBorders>
              <w:top w:val="nil"/>
              <w:left w:val="nil"/>
              <w:bottom w:val="single" w:sz="4" w:space="0" w:color="auto"/>
              <w:right w:val="single" w:sz="4" w:space="0" w:color="auto"/>
            </w:tcBorders>
            <w:shd w:val="clear" w:color="auto" w:fill="auto"/>
            <w:noWrap/>
            <w:vAlign w:val="bottom"/>
            <w:hideMark/>
          </w:tcPr>
          <w:p w14:paraId="69FD9A5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1,54</w:t>
            </w:r>
          </w:p>
        </w:tc>
        <w:tc>
          <w:tcPr>
            <w:tcW w:w="1138" w:type="dxa"/>
            <w:tcBorders>
              <w:top w:val="nil"/>
              <w:left w:val="nil"/>
              <w:bottom w:val="single" w:sz="4" w:space="0" w:color="auto"/>
              <w:right w:val="single" w:sz="4" w:space="0" w:color="auto"/>
            </w:tcBorders>
            <w:shd w:val="clear" w:color="auto" w:fill="auto"/>
            <w:noWrap/>
            <w:vAlign w:val="bottom"/>
            <w:hideMark/>
          </w:tcPr>
          <w:p w14:paraId="4116920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1,77</w:t>
            </w:r>
          </w:p>
        </w:tc>
        <w:tc>
          <w:tcPr>
            <w:tcW w:w="1138" w:type="dxa"/>
            <w:tcBorders>
              <w:top w:val="nil"/>
              <w:left w:val="nil"/>
              <w:bottom w:val="single" w:sz="4" w:space="0" w:color="auto"/>
              <w:right w:val="single" w:sz="4" w:space="0" w:color="auto"/>
            </w:tcBorders>
            <w:shd w:val="clear" w:color="auto" w:fill="auto"/>
            <w:noWrap/>
            <w:vAlign w:val="bottom"/>
            <w:hideMark/>
          </w:tcPr>
          <w:p w14:paraId="19EC3C7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1,62</w:t>
            </w:r>
          </w:p>
        </w:tc>
        <w:tc>
          <w:tcPr>
            <w:tcW w:w="1138" w:type="dxa"/>
            <w:tcBorders>
              <w:top w:val="nil"/>
              <w:left w:val="nil"/>
              <w:bottom w:val="single" w:sz="4" w:space="0" w:color="auto"/>
              <w:right w:val="single" w:sz="4" w:space="0" w:color="auto"/>
            </w:tcBorders>
            <w:shd w:val="clear" w:color="auto" w:fill="auto"/>
            <w:noWrap/>
            <w:vAlign w:val="bottom"/>
            <w:hideMark/>
          </w:tcPr>
          <w:p w14:paraId="16D907C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1,69</w:t>
            </w:r>
          </w:p>
        </w:tc>
      </w:tr>
      <w:tr w:rsidR="00BF12D5" w:rsidRPr="00BD0223" w14:paraId="24C72338"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DA446A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CEDRAL</w:t>
            </w:r>
          </w:p>
        </w:tc>
        <w:tc>
          <w:tcPr>
            <w:tcW w:w="1138" w:type="dxa"/>
            <w:tcBorders>
              <w:top w:val="nil"/>
              <w:left w:val="nil"/>
              <w:bottom w:val="single" w:sz="4" w:space="0" w:color="auto"/>
              <w:right w:val="single" w:sz="4" w:space="0" w:color="auto"/>
            </w:tcBorders>
            <w:shd w:val="clear" w:color="auto" w:fill="auto"/>
            <w:noWrap/>
            <w:vAlign w:val="bottom"/>
            <w:hideMark/>
          </w:tcPr>
          <w:p w14:paraId="62380FB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1,19</w:t>
            </w:r>
          </w:p>
        </w:tc>
        <w:tc>
          <w:tcPr>
            <w:tcW w:w="1138" w:type="dxa"/>
            <w:tcBorders>
              <w:top w:val="nil"/>
              <w:left w:val="nil"/>
              <w:bottom w:val="single" w:sz="4" w:space="0" w:color="auto"/>
              <w:right w:val="single" w:sz="4" w:space="0" w:color="auto"/>
            </w:tcBorders>
            <w:shd w:val="clear" w:color="auto" w:fill="auto"/>
            <w:noWrap/>
            <w:vAlign w:val="bottom"/>
            <w:hideMark/>
          </w:tcPr>
          <w:p w14:paraId="1BC0F55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1,90</w:t>
            </w:r>
          </w:p>
        </w:tc>
        <w:tc>
          <w:tcPr>
            <w:tcW w:w="1138" w:type="dxa"/>
            <w:tcBorders>
              <w:top w:val="nil"/>
              <w:left w:val="nil"/>
              <w:bottom w:val="single" w:sz="4" w:space="0" w:color="auto"/>
              <w:right w:val="single" w:sz="4" w:space="0" w:color="auto"/>
            </w:tcBorders>
            <w:shd w:val="clear" w:color="auto" w:fill="auto"/>
            <w:noWrap/>
            <w:vAlign w:val="bottom"/>
            <w:hideMark/>
          </w:tcPr>
          <w:p w14:paraId="5491EEF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2,11</w:t>
            </w:r>
          </w:p>
        </w:tc>
        <w:tc>
          <w:tcPr>
            <w:tcW w:w="1138" w:type="dxa"/>
            <w:tcBorders>
              <w:top w:val="nil"/>
              <w:left w:val="nil"/>
              <w:bottom w:val="single" w:sz="4" w:space="0" w:color="auto"/>
              <w:right w:val="single" w:sz="4" w:space="0" w:color="auto"/>
            </w:tcBorders>
            <w:shd w:val="clear" w:color="auto" w:fill="auto"/>
            <w:noWrap/>
            <w:vAlign w:val="bottom"/>
            <w:hideMark/>
          </w:tcPr>
          <w:p w14:paraId="7D894F1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2,22</w:t>
            </w:r>
          </w:p>
        </w:tc>
        <w:tc>
          <w:tcPr>
            <w:tcW w:w="1138" w:type="dxa"/>
            <w:tcBorders>
              <w:top w:val="nil"/>
              <w:left w:val="nil"/>
              <w:bottom w:val="single" w:sz="4" w:space="0" w:color="auto"/>
              <w:right w:val="single" w:sz="4" w:space="0" w:color="auto"/>
            </w:tcBorders>
            <w:shd w:val="clear" w:color="auto" w:fill="auto"/>
            <w:noWrap/>
            <w:vAlign w:val="bottom"/>
            <w:hideMark/>
          </w:tcPr>
          <w:p w14:paraId="17AB617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2,31</w:t>
            </w:r>
          </w:p>
        </w:tc>
      </w:tr>
      <w:tr w:rsidR="00BF12D5" w:rsidRPr="00BD0223" w14:paraId="79320006"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69EE10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COLINA</w:t>
            </w:r>
          </w:p>
        </w:tc>
        <w:tc>
          <w:tcPr>
            <w:tcW w:w="1138" w:type="dxa"/>
            <w:tcBorders>
              <w:top w:val="nil"/>
              <w:left w:val="nil"/>
              <w:bottom w:val="single" w:sz="4" w:space="0" w:color="auto"/>
              <w:right w:val="single" w:sz="4" w:space="0" w:color="auto"/>
            </w:tcBorders>
            <w:shd w:val="clear" w:color="auto" w:fill="auto"/>
            <w:noWrap/>
            <w:vAlign w:val="bottom"/>
            <w:hideMark/>
          </w:tcPr>
          <w:p w14:paraId="182BA08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1,64</w:t>
            </w:r>
          </w:p>
        </w:tc>
        <w:tc>
          <w:tcPr>
            <w:tcW w:w="1138" w:type="dxa"/>
            <w:tcBorders>
              <w:top w:val="nil"/>
              <w:left w:val="nil"/>
              <w:bottom w:val="single" w:sz="4" w:space="0" w:color="auto"/>
              <w:right w:val="single" w:sz="4" w:space="0" w:color="auto"/>
            </w:tcBorders>
            <w:shd w:val="clear" w:color="auto" w:fill="auto"/>
            <w:noWrap/>
            <w:vAlign w:val="bottom"/>
            <w:hideMark/>
          </w:tcPr>
          <w:p w14:paraId="5CBA7D3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2,17</w:t>
            </w:r>
          </w:p>
        </w:tc>
        <w:tc>
          <w:tcPr>
            <w:tcW w:w="1138" w:type="dxa"/>
            <w:tcBorders>
              <w:top w:val="nil"/>
              <w:left w:val="nil"/>
              <w:bottom w:val="single" w:sz="4" w:space="0" w:color="auto"/>
              <w:right w:val="single" w:sz="4" w:space="0" w:color="auto"/>
            </w:tcBorders>
            <w:shd w:val="clear" w:color="auto" w:fill="auto"/>
            <w:noWrap/>
            <w:vAlign w:val="bottom"/>
            <w:hideMark/>
          </w:tcPr>
          <w:p w14:paraId="796176F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2,37</w:t>
            </w:r>
          </w:p>
        </w:tc>
        <w:tc>
          <w:tcPr>
            <w:tcW w:w="1138" w:type="dxa"/>
            <w:tcBorders>
              <w:top w:val="nil"/>
              <w:left w:val="nil"/>
              <w:bottom w:val="single" w:sz="4" w:space="0" w:color="auto"/>
              <w:right w:val="single" w:sz="4" w:space="0" w:color="auto"/>
            </w:tcBorders>
            <w:shd w:val="clear" w:color="auto" w:fill="auto"/>
            <w:noWrap/>
            <w:vAlign w:val="bottom"/>
            <w:hideMark/>
          </w:tcPr>
          <w:p w14:paraId="2B1E14D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2,36</w:t>
            </w:r>
          </w:p>
        </w:tc>
        <w:tc>
          <w:tcPr>
            <w:tcW w:w="1138" w:type="dxa"/>
            <w:tcBorders>
              <w:top w:val="nil"/>
              <w:left w:val="nil"/>
              <w:bottom w:val="single" w:sz="4" w:space="0" w:color="auto"/>
              <w:right w:val="single" w:sz="4" w:space="0" w:color="auto"/>
            </w:tcBorders>
            <w:shd w:val="clear" w:color="auto" w:fill="auto"/>
            <w:noWrap/>
            <w:vAlign w:val="bottom"/>
            <w:hideMark/>
          </w:tcPr>
          <w:p w14:paraId="3C1127D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2,55</w:t>
            </w:r>
          </w:p>
        </w:tc>
      </w:tr>
      <w:tr w:rsidR="00BF12D5" w:rsidRPr="00BD0223" w14:paraId="6E81B36B"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E37EAB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COLOMBIA</w:t>
            </w:r>
          </w:p>
        </w:tc>
        <w:tc>
          <w:tcPr>
            <w:tcW w:w="1138" w:type="dxa"/>
            <w:tcBorders>
              <w:top w:val="nil"/>
              <w:left w:val="nil"/>
              <w:bottom w:val="single" w:sz="4" w:space="0" w:color="auto"/>
              <w:right w:val="single" w:sz="4" w:space="0" w:color="auto"/>
            </w:tcBorders>
            <w:shd w:val="clear" w:color="auto" w:fill="auto"/>
            <w:noWrap/>
            <w:vAlign w:val="bottom"/>
            <w:hideMark/>
          </w:tcPr>
          <w:p w14:paraId="1234C7D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1,23</w:t>
            </w:r>
          </w:p>
        </w:tc>
        <w:tc>
          <w:tcPr>
            <w:tcW w:w="1138" w:type="dxa"/>
            <w:tcBorders>
              <w:top w:val="nil"/>
              <w:left w:val="nil"/>
              <w:bottom w:val="single" w:sz="4" w:space="0" w:color="auto"/>
              <w:right w:val="single" w:sz="4" w:space="0" w:color="auto"/>
            </w:tcBorders>
            <w:shd w:val="clear" w:color="auto" w:fill="auto"/>
            <w:noWrap/>
            <w:vAlign w:val="bottom"/>
            <w:hideMark/>
          </w:tcPr>
          <w:p w14:paraId="0DE3A75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1,87</w:t>
            </w:r>
          </w:p>
        </w:tc>
        <w:tc>
          <w:tcPr>
            <w:tcW w:w="1138" w:type="dxa"/>
            <w:tcBorders>
              <w:top w:val="nil"/>
              <w:left w:val="nil"/>
              <w:bottom w:val="single" w:sz="4" w:space="0" w:color="auto"/>
              <w:right w:val="single" w:sz="4" w:space="0" w:color="auto"/>
            </w:tcBorders>
            <w:shd w:val="clear" w:color="auto" w:fill="auto"/>
            <w:noWrap/>
            <w:vAlign w:val="bottom"/>
            <w:hideMark/>
          </w:tcPr>
          <w:p w14:paraId="7197E12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3,19</w:t>
            </w:r>
          </w:p>
        </w:tc>
        <w:tc>
          <w:tcPr>
            <w:tcW w:w="1138" w:type="dxa"/>
            <w:tcBorders>
              <w:top w:val="nil"/>
              <w:left w:val="nil"/>
              <w:bottom w:val="single" w:sz="4" w:space="0" w:color="auto"/>
              <w:right w:val="single" w:sz="4" w:space="0" w:color="auto"/>
            </w:tcBorders>
            <w:shd w:val="clear" w:color="auto" w:fill="auto"/>
            <w:noWrap/>
            <w:vAlign w:val="bottom"/>
            <w:hideMark/>
          </w:tcPr>
          <w:p w14:paraId="6AA5EE4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4,27</w:t>
            </w:r>
          </w:p>
        </w:tc>
        <w:tc>
          <w:tcPr>
            <w:tcW w:w="1138" w:type="dxa"/>
            <w:tcBorders>
              <w:top w:val="nil"/>
              <w:left w:val="nil"/>
              <w:bottom w:val="single" w:sz="4" w:space="0" w:color="auto"/>
              <w:right w:val="single" w:sz="4" w:space="0" w:color="auto"/>
            </w:tcBorders>
            <w:shd w:val="clear" w:color="auto" w:fill="auto"/>
            <w:noWrap/>
            <w:vAlign w:val="bottom"/>
            <w:hideMark/>
          </w:tcPr>
          <w:p w14:paraId="7AB435D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3,61</w:t>
            </w:r>
          </w:p>
        </w:tc>
      </w:tr>
      <w:tr w:rsidR="00BF12D5" w:rsidRPr="00BD0223" w14:paraId="339515FE"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0CD131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COSMORAMA</w:t>
            </w:r>
          </w:p>
        </w:tc>
        <w:tc>
          <w:tcPr>
            <w:tcW w:w="1138" w:type="dxa"/>
            <w:tcBorders>
              <w:top w:val="nil"/>
              <w:left w:val="nil"/>
              <w:bottom w:val="single" w:sz="4" w:space="0" w:color="auto"/>
              <w:right w:val="single" w:sz="4" w:space="0" w:color="auto"/>
            </w:tcBorders>
            <w:shd w:val="clear" w:color="auto" w:fill="auto"/>
            <w:noWrap/>
            <w:vAlign w:val="bottom"/>
            <w:hideMark/>
          </w:tcPr>
          <w:p w14:paraId="5661757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1,19</w:t>
            </w:r>
          </w:p>
        </w:tc>
        <w:tc>
          <w:tcPr>
            <w:tcW w:w="1138" w:type="dxa"/>
            <w:tcBorders>
              <w:top w:val="nil"/>
              <w:left w:val="nil"/>
              <w:bottom w:val="single" w:sz="4" w:space="0" w:color="auto"/>
              <w:right w:val="single" w:sz="4" w:space="0" w:color="auto"/>
            </w:tcBorders>
            <w:shd w:val="clear" w:color="auto" w:fill="auto"/>
            <w:noWrap/>
            <w:vAlign w:val="bottom"/>
            <w:hideMark/>
          </w:tcPr>
          <w:p w14:paraId="73E49E4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1,60</w:t>
            </w:r>
          </w:p>
        </w:tc>
        <w:tc>
          <w:tcPr>
            <w:tcW w:w="1138" w:type="dxa"/>
            <w:tcBorders>
              <w:top w:val="nil"/>
              <w:left w:val="nil"/>
              <w:bottom w:val="single" w:sz="4" w:space="0" w:color="auto"/>
              <w:right w:val="single" w:sz="4" w:space="0" w:color="auto"/>
            </w:tcBorders>
            <w:shd w:val="clear" w:color="auto" w:fill="auto"/>
            <w:noWrap/>
            <w:vAlign w:val="bottom"/>
            <w:hideMark/>
          </w:tcPr>
          <w:p w14:paraId="2499617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1,72</w:t>
            </w:r>
          </w:p>
        </w:tc>
        <w:tc>
          <w:tcPr>
            <w:tcW w:w="1138" w:type="dxa"/>
            <w:tcBorders>
              <w:top w:val="nil"/>
              <w:left w:val="nil"/>
              <w:bottom w:val="single" w:sz="4" w:space="0" w:color="auto"/>
              <w:right w:val="single" w:sz="4" w:space="0" w:color="auto"/>
            </w:tcBorders>
            <w:shd w:val="clear" w:color="auto" w:fill="auto"/>
            <w:noWrap/>
            <w:vAlign w:val="bottom"/>
            <w:hideMark/>
          </w:tcPr>
          <w:p w14:paraId="2B3BD68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1,18</w:t>
            </w:r>
          </w:p>
        </w:tc>
        <w:tc>
          <w:tcPr>
            <w:tcW w:w="1138" w:type="dxa"/>
            <w:tcBorders>
              <w:top w:val="nil"/>
              <w:left w:val="nil"/>
              <w:bottom w:val="single" w:sz="4" w:space="0" w:color="auto"/>
              <w:right w:val="single" w:sz="4" w:space="0" w:color="auto"/>
            </w:tcBorders>
            <w:shd w:val="clear" w:color="auto" w:fill="auto"/>
            <w:noWrap/>
            <w:vAlign w:val="bottom"/>
            <w:hideMark/>
          </w:tcPr>
          <w:p w14:paraId="31A21F3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1,03</w:t>
            </w:r>
          </w:p>
        </w:tc>
      </w:tr>
      <w:tr w:rsidR="00BF12D5" w:rsidRPr="00BD0223" w14:paraId="5DB89FEA"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97978E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CRAVINHOS</w:t>
            </w:r>
          </w:p>
        </w:tc>
        <w:tc>
          <w:tcPr>
            <w:tcW w:w="1138" w:type="dxa"/>
            <w:tcBorders>
              <w:top w:val="nil"/>
              <w:left w:val="nil"/>
              <w:bottom w:val="single" w:sz="4" w:space="0" w:color="auto"/>
              <w:right w:val="single" w:sz="4" w:space="0" w:color="auto"/>
            </w:tcBorders>
            <w:shd w:val="clear" w:color="auto" w:fill="auto"/>
            <w:noWrap/>
            <w:vAlign w:val="bottom"/>
            <w:hideMark/>
          </w:tcPr>
          <w:p w14:paraId="442028A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4,27</w:t>
            </w:r>
          </w:p>
        </w:tc>
        <w:tc>
          <w:tcPr>
            <w:tcW w:w="1138" w:type="dxa"/>
            <w:tcBorders>
              <w:top w:val="nil"/>
              <w:left w:val="nil"/>
              <w:bottom w:val="single" w:sz="4" w:space="0" w:color="auto"/>
              <w:right w:val="single" w:sz="4" w:space="0" w:color="auto"/>
            </w:tcBorders>
            <w:shd w:val="clear" w:color="auto" w:fill="auto"/>
            <w:noWrap/>
            <w:vAlign w:val="bottom"/>
            <w:hideMark/>
          </w:tcPr>
          <w:p w14:paraId="20C3AC4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6,12</w:t>
            </w:r>
          </w:p>
        </w:tc>
        <w:tc>
          <w:tcPr>
            <w:tcW w:w="1138" w:type="dxa"/>
            <w:tcBorders>
              <w:top w:val="nil"/>
              <w:left w:val="nil"/>
              <w:bottom w:val="single" w:sz="4" w:space="0" w:color="auto"/>
              <w:right w:val="single" w:sz="4" w:space="0" w:color="auto"/>
            </w:tcBorders>
            <w:shd w:val="clear" w:color="auto" w:fill="auto"/>
            <w:noWrap/>
            <w:vAlign w:val="bottom"/>
            <w:hideMark/>
          </w:tcPr>
          <w:p w14:paraId="0DB559C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7,08</w:t>
            </w:r>
          </w:p>
        </w:tc>
        <w:tc>
          <w:tcPr>
            <w:tcW w:w="1138" w:type="dxa"/>
            <w:tcBorders>
              <w:top w:val="nil"/>
              <w:left w:val="nil"/>
              <w:bottom w:val="single" w:sz="4" w:space="0" w:color="auto"/>
              <w:right w:val="single" w:sz="4" w:space="0" w:color="auto"/>
            </w:tcBorders>
            <w:shd w:val="clear" w:color="auto" w:fill="auto"/>
            <w:noWrap/>
            <w:vAlign w:val="bottom"/>
            <w:hideMark/>
          </w:tcPr>
          <w:p w14:paraId="0141879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7,41</w:t>
            </w:r>
          </w:p>
        </w:tc>
        <w:tc>
          <w:tcPr>
            <w:tcW w:w="1138" w:type="dxa"/>
            <w:tcBorders>
              <w:top w:val="nil"/>
              <w:left w:val="nil"/>
              <w:bottom w:val="single" w:sz="4" w:space="0" w:color="auto"/>
              <w:right w:val="single" w:sz="4" w:space="0" w:color="auto"/>
            </w:tcBorders>
            <w:shd w:val="clear" w:color="auto" w:fill="auto"/>
            <w:noWrap/>
            <w:vAlign w:val="bottom"/>
            <w:hideMark/>
          </w:tcPr>
          <w:p w14:paraId="49FBD8C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8,22</w:t>
            </w:r>
          </w:p>
        </w:tc>
      </w:tr>
      <w:tr w:rsidR="00BF12D5" w:rsidRPr="00BD0223" w14:paraId="50C05ECB"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EDBB3D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CRISTAIS PAULISTA</w:t>
            </w:r>
          </w:p>
        </w:tc>
        <w:tc>
          <w:tcPr>
            <w:tcW w:w="1138" w:type="dxa"/>
            <w:tcBorders>
              <w:top w:val="nil"/>
              <w:left w:val="nil"/>
              <w:bottom w:val="single" w:sz="4" w:space="0" w:color="auto"/>
              <w:right w:val="single" w:sz="4" w:space="0" w:color="auto"/>
            </w:tcBorders>
            <w:shd w:val="clear" w:color="auto" w:fill="auto"/>
            <w:noWrap/>
            <w:vAlign w:val="bottom"/>
            <w:hideMark/>
          </w:tcPr>
          <w:p w14:paraId="1D8F252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2,36</w:t>
            </w:r>
          </w:p>
        </w:tc>
        <w:tc>
          <w:tcPr>
            <w:tcW w:w="1138" w:type="dxa"/>
            <w:tcBorders>
              <w:top w:val="nil"/>
              <w:left w:val="nil"/>
              <w:bottom w:val="single" w:sz="4" w:space="0" w:color="auto"/>
              <w:right w:val="single" w:sz="4" w:space="0" w:color="auto"/>
            </w:tcBorders>
            <w:shd w:val="clear" w:color="auto" w:fill="auto"/>
            <w:noWrap/>
            <w:vAlign w:val="bottom"/>
            <w:hideMark/>
          </w:tcPr>
          <w:p w14:paraId="1791588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2,30</w:t>
            </w:r>
          </w:p>
        </w:tc>
        <w:tc>
          <w:tcPr>
            <w:tcW w:w="1138" w:type="dxa"/>
            <w:tcBorders>
              <w:top w:val="nil"/>
              <w:left w:val="nil"/>
              <w:bottom w:val="single" w:sz="4" w:space="0" w:color="auto"/>
              <w:right w:val="single" w:sz="4" w:space="0" w:color="auto"/>
            </w:tcBorders>
            <w:shd w:val="clear" w:color="auto" w:fill="auto"/>
            <w:noWrap/>
            <w:vAlign w:val="bottom"/>
            <w:hideMark/>
          </w:tcPr>
          <w:p w14:paraId="3DFD390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1,71</w:t>
            </w:r>
          </w:p>
        </w:tc>
        <w:tc>
          <w:tcPr>
            <w:tcW w:w="1138" w:type="dxa"/>
            <w:tcBorders>
              <w:top w:val="nil"/>
              <w:left w:val="nil"/>
              <w:bottom w:val="single" w:sz="4" w:space="0" w:color="auto"/>
              <w:right w:val="single" w:sz="4" w:space="0" w:color="auto"/>
            </w:tcBorders>
            <w:shd w:val="clear" w:color="auto" w:fill="auto"/>
            <w:noWrap/>
            <w:vAlign w:val="bottom"/>
            <w:hideMark/>
          </w:tcPr>
          <w:p w14:paraId="3682D96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2,96</w:t>
            </w:r>
          </w:p>
        </w:tc>
        <w:tc>
          <w:tcPr>
            <w:tcW w:w="1138" w:type="dxa"/>
            <w:tcBorders>
              <w:top w:val="nil"/>
              <w:left w:val="nil"/>
              <w:bottom w:val="single" w:sz="4" w:space="0" w:color="auto"/>
              <w:right w:val="single" w:sz="4" w:space="0" w:color="auto"/>
            </w:tcBorders>
            <w:shd w:val="clear" w:color="auto" w:fill="auto"/>
            <w:noWrap/>
            <w:vAlign w:val="bottom"/>
            <w:hideMark/>
          </w:tcPr>
          <w:p w14:paraId="54DA2B6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3,72</w:t>
            </w:r>
          </w:p>
        </w:tc>
      </w:tr>
      <w:tr w:rsidR="00BF12D5" w:rsidRPr="00BD0223" w14:paraId="4A265CBE"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F01710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DIRCE REIS</w:t>
            </w:r>
          </w:p>
        </w:tc>
        <w:tc>
          <w:tcPr>
            <w:tcW w:w="1138" w:type="dxa"/>
            <w:tcBorders>
              <w:top w:val="nil"/>
              <w:left w:val="nil"/>
              <w:bottom w:val="single" w:sz="4" w:space="0" w:color="auto"/>
              <w:right w:val="single" w:sz="4" w:space="0" w:color="auto"/>
            </w:tcBorders>
            <w:shd w:val="clear" w:color="auto" w:fill="auto"/>
            <w:noWrap/>
            <w:vAlign w:val="bottom"/>
            <w:hideMark/>
          </w:tcPr>
          <w:p w14:paraId="755B01B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0,12</w:t>
            </w:r>
          </w:p>
        </w:tc>
        <w:tc>
          <w:tcPr>
            <w:tcW w:w="1138" w:type="dxa"/>
            <w:tcBorders>
              <w:top w:val="nil"/>
              <w:left w:val="nil"/>
              <w:bottom w:val="single" w:sz="4" w:space="0" w:color="auto"/>
              <w:right w:val="single" w:sz="4" w:space="0" w:color="auto"/>
            </w:tcBorders>
            <w:shd w:val="clear" w:color="auto" w:fill="auto"/>
            <w:noWrap/>
            <w:vAlign w:val="bottom"/>
            <w:hideMark/>
          </w:tcPr>
          <w:p w14:paraId="3F5DF5B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0,15</w:t>
            </w:r>
          </w:p>
        </w:tc>
        <w:tc>
          <w:tcPr>
            <w:tcW w:w="1138" w:type="dxa"/>
            <w:tcBorders>
              <w:top w:val="nil"/>
              <w:left w:val="nil"/>
              <w:bottom w:val="single" w:sz="4" w:space="0" w:color="auto"/>
              <w:right w:val="single" w:sz="4" w:space="0" w:color="auto"/>
            </w:tcBorders>
            <w:shd w:val="clear" w:color="auto" w:fill="auto"/>
            <w:noWrap/>
            <w:vAlign w:val="bottom"/>
            <w:hideMark/>
          </w:tcPr>
          <w:p w14:paraId="12A9444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0,19</w:t>
            </w:r>
          </w:p>
        </w:tc>
        <w:tc>
          <w:tcPr>
            <w:tcW w:w="1138" w:type="dxa"/>
            <w:tcBorders>
              <w:top w:val="nil"/>
              <w:left w:val="nil"/>
              <w:bottom w:val="single" w:sz="4" w:space="0" w:color="auto"/>
              <w:right w:val="single" w:sz="4" w:space="0" w:color="auto"/>
            </w:tcBorders>
            <w:shd w:val="clear" w:color="auto" w:fill="auto"/>
            <w:noWrap/>
            <w:vAlign w:val="bottom"/>
            <w:hideMark/>
          </w:tcPr>
          <w:p w14:paraId="02AD31D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0,19</w:t>
            </w:r>
          </w:p>
        </w:tc>
        <w:tc>
          <w:tcPr>
            <w:tcW w:w="1138" w:type="dxa"/>
            <w:tcBorders>
              <w:top w:val="nil"/>
              <w:left w:val="nil"/>
              <w:bottom w:val="single" w:sz="4" w:space="0" w:color="auto"/>
              <w:right w:val="single" w:sz="4" w:space="0" w:color="auto"/>
            </w:tcBorders>
            <w:shd w:val="clear" w:color="auto" w:fill="auto"/>
            <w:noWrap/>
            <w:vAlign w:val="bottom"/>
            <w:hideMark/>
          </w:tcPr>
          <w:p w14:paraId="495E852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0,18</w:t>
            </w:r>
          </w:p>
        </w:tc>
      </w:tr>
      <w:tr w:rsidR="00BF12D5" w:rsidRPr="00BD0223" w14:paraId="335CDF62"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CC0CB6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DOLCINOPOLIS</w:t>
            </w:r>
          </w:p>
        </w:tc>
        <w:tc>
          <w:tcPr>
            <w:tcW w:w="1138" w:type="dxa"/>
            <w:tcBorders>
              <w:top w:val="nil"/>
              <w:left w:val="nil"/>
              <w:bottom w:val="single" w:sz="4" w:space="0" w:color="auto"/>
              <w:right w:val="single" w:sz="4" w:space="0" w:color="auto"/>
            </w:tcBorders>
            <w:shd w:val="clear" w:color="auto" w:fill="auto"/>
            <w:noWrap/>
            <w:vAlign w:val="bottom"/>
            <w:hideMark/>
          </w:tcPr>
          <w:p w14:paraId="4B47005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0,22</w:t>
            </w:r>
          </w:p>
        </w:tc>
        <w:tc>
          <w:tcPr>
            <w:tcW w:w="1138" w:type="dxa"/>
            <w:tcBorders>
              <w:top w:val="nil"/>
              <w:left w:val="nil"/>
              <w:bottom w:val="single" w:sz="4" w:space="0" w:color="auto"/>
              <w:right w:val="single" w:sz="4" w:space="0" w:color="auto"/>
            </w:tcBorders>
            <w:shd w:val="clear" w:color="auto" w:fill="auto"/>
            <w:noWrap/>
            <w:vAlign w:val="bottom"/>
            <w:hideMark/>
          </w:tcPr>
          <w:p w14:paraId="7DE5A52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0,29</w:t>
            </w:r>
          </w:p>
        </w:tc>
        <w:tc>
          <w:tcPr>
            <w:tcW w:w="1138" w:type="dxa"/>
            <w:tcBorders>
              <w:top w:val="nil"/>
              <w:left w:val="nil"/>
              <w:bottom w:val="single" w:sz="4" w:space="0" w:color="auto"/>
              <w:right w:val="single" w:sz="4" w:space="0" w:color="auto"/>
            </w:tcBorders>
            <w:shd w:val="clear" w:color="auto" w:fill="auto"/>
            <w:noWrap/>
            <w:vAlign w:val="bottom"/>
            <w:hideMark/>
          </w:tcPr>
          <w:p w14:paraId="6DFCEFC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0,31</w:t>
            </w:r>
          </w:p>
        </w:tc>
        <w:tc>
          <w:tcPr>
            <w:tcW w:w="1138" w:type="dxa"/>
            <w:tcBorders>
              <w:top w:val="nil"/>
              <w:left w:val="nil"/>
              <w:bottom w:val="single" w:sz="4" w:space="0" w:color="auto"/>
              <w:right w:val="single" w:sz="4" w:space="0" w:color="auto"/>
            </w:tcBorders>
            <w:shd w:val="clear" w:color="auto" w:fill="auto"/>
            <w:noWrap/>
            <w:vAlign w:val="bottom"/>
            <w:hideMark/>
          </w:tcPr>
          <w:p w14:paraId="1B878AD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0,33</w:t>
            </w:r>
          </w:p>
        </w:tc>
        <w:tc>
          <w:tcPr>
            <w:tcW w:w="1138" w:type="dxa"/>
            <w:tcBorders>
              <w:top w:val="nil"/>
              <w:left w:val="nil"/>
              <w:bottom w:val="single" w:sz="4" w:space="0" w:color="auto"/>
              <w:right w:val="single" w:sz="4" w:space="0" w:color="auto"/>
            </w:tcBorders>
            <w:shd w:val="clear" w:color="auto" w:fill="auto"/>
            <w:noWrap/>
            <w:vAlign w:val="bottom"/>
            <w:hideMark/>
          </w:tcPr>
          <w:p w14:paraId="39E578E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0,36</w:t>
            </w:r>
          </w:p>
        </w:tc>
      </w:tr>
      <w:tr w:rsidR="00BF12D5" w:rsidRPr="00BD0223" w14:paraId="6707183D"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CF290C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DUMONT</w:t>
            </w:r>
          </w:p>
        </w:tc>
        <w:tc>
          <w:tcPr>
            <w:tcW w:w="1138" w:type="dxa"/>
            <w:tcBorders>
              <w:top w:val="nil"/>
              <w:left w:val="nil"/>
              <w:bottom w:val="single" w:sz="4" w:space="0" w:color="auto"/>
              <w:right w:val="single" w:sz="4" w:space="0" w:color="auto"/>
            </w:tcBorders>
            <w:shd w:val="clear" w:color="auto" w:fill="auto"/>
            <w:noWrap/>
            <w:vAlign w:val="bottom"/>
            <w:hideMark/>
          </w:tcPr>
          <w:p w14:paraId="50A9553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0,80</w:t>
            </w:r>
          </w:p>
        </w:tc>
        <w:tc>
          <w:tcPr>
            <w:tcW w:w="1138" w:type="dxa"/>
            <w:tcBorders>
              <w:top w:val="nil"/>
              <w:left w:val="nil"/>
              <w:bottom w:val="single" w:sz="4" w:space="0" w:color="auto"/>
              <w:right w:val="single" w:sz="4" w:space="0" w:color="auto"/>
            </w:tcBorders>
            <w:shd w:val="clear" w:color="auto" w:fill="auto"/>
            <w:noWrap/>
            <w:vAlign w:val="bottom"/>
            <w:hideMark/>
          </w:tcPr>
          <w:p w14:paraId="0B373C4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1,09</w:t>
            </w:r>
          </w:p>
        </w:tc>
        <w:tc>
          <w:tcPr>
            <w:tcW w:w="1138" w:type="dxa"/>
            <w:tcBorders>
              <w:top w:val="nil"/>
              <w:left w:val="nil"/>
              <w:bottom w:val="single" w:sz="4" w:space="0" w:color="auto"/>
              <w:right w:val="single" w:sz="4" w:space="0" w:color="auto"/>
            </w:tcBorders>
            <w:shd w:val="clear" w:color="auto" w:fill="auto"/>
            <w:noWrap/>
            <w:vAlign w:val="bottom"/>
            <w:hideMark/>
          </w:tcPr>
          <w:p w14:paraId="610F6D9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1,12</w:t>
            </w:r>
          </w:p>
        </w:tc>
        <w:tc>
          <w:tcPr>
            <w:tcW w:w="1138" w:type="dxa"/>
            <w:tcBorders>
              <w:top w:val="nil"/>
              <w:left w:val="nil"/>
              <w:bottom w:val="single" w:sz="4" w:space="0" w:color="auto"/>
              <w:right w:val="single" w:sz="4" w:space="0" w:color="auto"/>
            </w:tcBorders>
            <w:shd w:val="clear" w:color="auto" w:fill="auto"/>
            <w:noWrap/>
            <w:vAlign w:val="bottom"/>
            <w:hideMark/>
          </w:tcPr>
          <w:p w14:paraId="27EB395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1,22</w:t>
            </w:r>
          </w:p>
        </w:tc>
        <w:tc>
          <w:tcPr>
            <w:tcW w:w="1138" w:type="dxa"/>
            <w:tcBorders>
              <w:top w:val="nil"/>
              <w:left w:val="nil"/>
              <w:bottom w:val="single" w:sz="4" w:space="0" w:color="auto"/>
              <w:right w:val="single" w:sz="4" w:space="0" w:color="auto"/>
            </w:tcBorders>
            <w:shd w:val="clear" w:color="auto" w:fill="auto"/>
            <w:noWrap/>
            <w:vAlign w:val="bottom"/>
            <w:hideMark/>
          </w:tcPr>
          <w:p w14:paraId="06041E3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1,30</w:t>
            </w:r>
          </w:p>
        </w:tc>
      </w:tr>
      <w:tr w:rsidR="00BF12D5" w:rsidRPr="00BD0223" w14:paraId="6C53E10F"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639BF3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ELISIARIO</w:t>
            </w:r>
          </w:p>
        </w:tc>
        <w:tc>
          <w:tcPr>
            <w:tcW w:w="1138" w:type="dxa"/>
            <w:tcBorders>
              <w:top w:val="nil"/>
              <w:left w:val="nil"/>
              <w:bottom w:val="single" w:sz="4" w:space="0" w:color="auto"/>
              <w:right w:val="single" w:sz="4" w:space="0" w:color="auto"/>
            </w:tcBorders>
            <w:shd w:val="clear" w:color="auto" w:fill="auto"/>
            <w:noWrap/>
            <w:vAlign w:val="bottom"/>
            <w:hideMark/>
          </w:tcPr>
          <w:p w14:paraId="40697FC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0,44</w:t>
            </w:r>
          </w:p>
        </w:tc>
        <w:tc>
          <w:tcPr>
            <w:tcW w:w="1138" w:type="dxa"/>
            <w:tcBorders>
              <w:top w:val="nil"/>
              <w:left w:val="nil"/>
              <w:bottom w:val="single" w:sz="4" w:space="0" w:color="auto"/>
              <w:right w:val="single" w:sz="4" w:space="0" w:color="auto"/>
            </w:tcBorders>
            <w:shd w:val="clear" w:color="auto" w:fill="auto"/>
            <w:noWrap/>
            <w:vAlign w:val="bottom"/>
            <w:hideMark/>
          </w:tcPr>
          <w:p w14:paraId="2A57536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0,71</w:t>
            </w:r>
          </w:p>
        </w:tc>
        <w:tc>
          <w:tcPr>
            <w:tcW w:w="1138" w:type="dxa"/>
            <w:tcBorders>
              <w:top w:val="nil"/>
              <w:left w:val="nil"/>
              <w:bottom w:val="single" w:sz="4" w:space="0" w:color="auto"/>
              <w:right w:val="single" w:sz="4" w:space="0" w:color="auto"/>
            </w:tcBorders>
            <w:shd w:val="clear" w:color="auto" w:fill="auto"/>
            <w:noWrap/>
            <w:vAlign w:val="bottom"/>
            <w:hideMark/>
          </w:tcPr>
          <w:p w14:paraId="7328528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0,99</w:t>
            </w:r>
          </w:p>
        </w:tc>
        <w:tc>
          <w:tcPr>
            <w:tcW w:w="1138" w:type="dxa"/>
            <w:tcBorders>
              <w:top w:val="nil"/>
              <w:left w:val="nil"/>
              <w:bottom w:val="single" w:sz="4" w:space="0" w:color="auto"/>
              <w:right w:val="single" w:sz="4" w:space="0" w:color="auto"/>
            </w:tcBorders>
            <w:shd w:val="clear" w:color="auto" w:fill="auto"/>
            <w:noWrap/>
            <w:vAlign w:val="bottom"/>
            <w:hideMark/>
          </w:tcPr>
          <w:p w14:paraId="6CF35F1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0,79</w:t>
            </w:r>
          </w:p>
        </w:tc>
        <w:tc>
          <w:tcPr>
            <w:tcW w:w="1138" w:type="dxa"/>
            <w:tcBorders>
              <w:top w:val="nil"/>
              <w:left w:val="nil"/>
              <w:bottom w:val="single" w:sz="4" w:space="0" w:color="auto"/>
              <w:right w:val="single" w:sz="4" w:space="0" w:color="auto"/>
            </w:tcBorders>
            <w:shd w:val="clear" w:color="auto" w:fill="auto"/>
            <w:noWrap/>
            <w:vAlign w:val="bottom"/>
            <w:hideMark/>
          </w:tcPr>
          <w:p w14:paraId="4F9398A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1,02</w:t>
            </w:r>
          </w:p>
        </w:tc>
      </w:tr>
      <w:tr w:rsidR="00BF12D5" w:rsidRPr="00BD0223" w14:paraId="5AE2F8C9"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8EDE49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EMBAUBA</w:t>
            </w:r>
          </w:p>
        </w:tc>
        <w:tc>
          <w:tcPr>
            <w:tcW w:w="1138" w:type="dxa"/>
            <w:tcBorders>
              <w:top w:val="nil"/>
              <w:left w:val="nil"/>
              <w:bottom w:val="single" w:sz="4" w:space="0" w:color="auto"/>
              <w:right w:val="single" w:sz="4" w:space="0" w:color="auto"/>
            </w:tcBorders>
            <w:shd w:val="clear" w:color="auto" w:fill="auto"/>
            <w:noWrap/>
            <w:vAlign w:val="bottom"/>
            <w:hideMark/>
          </w:tcPr>
          <w:p w14:paraId="0967AE0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0,08</w:t>
            </w:r>
          </w:p>
        </w:tc>
        <w:tc>
          <w:tcPr>
            <w:tcW w:w="1138" w:type="dxa"/>
            <w:tcBorders>
              <w:top w:val="nil"/>
              <w:left w:val="nil"/>
              <w:bottom w:val="single" w:sz="4" w:space="0" w:color="auto"/>
              <w:right w:val="single" w:sz="4" w:space="0" w:color="auto"/>
            </w:tcBorders>
            <w:shd w:val="clear" w:color="auto" w:fill="auto"/>
            <w:noWrap/>
            <w:vAlign w:val="bottom"/>
            <w:hideMark/>
          </w:tcPr>
          <w:p w14:paraId="698B2FD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0,10</w:t>
            </w:r>
          </w:p>
        </w:tc>
        <w:tc>
          <w:tcPr>
            <w:tcW w:w="1138" w:type="dxa"/>
            <w:tcBorders>
              <w:top w:val="nil"/>
              <w:left w:val="nil"/>
              <w:bottom w:val="single" w:sz="4" w:space="0" w:color="auto"/>
              <w:right w:val="single" w:sz="4" w:space="0" w:color="auto"/>
            </w:tcBorders>
            <w:shd w:val="clear" w:color="auto" w:fill="auto"/>
            <w:noWrap/>
            <w:vAlign w:val="bottom"/>
            <w:hideMark/>
          </w:tcPr>
          <w:p w14:paraId="1BB6E58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0,11</w:t>
            </w:r>
          </w:p>
        </w:tc>
        <w:tc>
          <w:tcPr>
            <w:tcW w:w="1138" w:type="dxa"/>
            <w:tcBorders>
              <w:top w:val="nil"/>
              <w:left w:val="nil"/>
              <w:bottom w:val="single" w:sz="4" w:space="0" w:color="auto"/>
              <w:right w:val="single" w:sz="4" w:space="0" w:color="auto"/>
            </w:tcBorders>
            <w:shd w:val="clear" w:color="auto" w:fill="auto"/>
            <w:noWrap/>
            <w:vAlign w:val="bottom"/>
            <w:hideMark/>
          </w:tcPr>
          <w:p w14:paraId="529156F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0,11</w:t>
            </w:r>
          </w:p>
        </w:tc>
        <w:tc>
          <w:tcPr>
            <w:tcW w:w="1138" w:type="dxa"/>
            <w:tcBorders>
              <w:top w:val="nil"/>
              <w:left w:val="nil"/>
              <w:bottom w:val="single" w:sz="4" w:space="0" w:color="auto"/>
              <w:right w:val="single" w:sz="4" w:space="0" w:color="auto"/>
            </w:tcBorders>
            <w:shd w:val="clear" w:color="auto" w:fill="auto"/>
            <w:noWrap/>
            <w:vAlign w:val="bottom"/>
            <w:hideMark/>
          </w:tcPr>
          <w:p w14:paraId="2CC3496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0,12</w:t>
            </w:r>
          </w:p>
        </w:tc>
      </w:tr>
      <w:tr w:rsidR="00BF12D5" w:rsidRPr="00BD0223" w14:paraId="515FD8AE"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506F1C1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ESTRELA D'OESTE</w:t>
            </w:r>
          </w:p>
        </w:tc>
        <w:tc>
          <w:tcPr>
            <w:tcW w:w="1138" w:type="dxa"/>
            <w:tcBorders>
              <w:top w:val="nil"/>
              <w:left w:val="nil"/>
              <w:bottom w:val="single" w:sz="4" w:space="0" w:color="auto"/>
              <w:right w:val="single" w:sz="4" w:space="0" w:color="auto"/>
            </w:tcBorders>
            <w:shd w:val="clear" w:color="auto" w:fill="auto"/>
            <w:noWrap/>
            <w:vAlign w:val="bottom"/>
            <w:hideMark/>
          </w:tcPr>
          <w:p w14:paraId="5195C63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0,79</w:t>
            </w:r>
          </w:p>
        </w:tc>
        <w:tc>
          <w:tcPr>
            <w:tcW w:w="1138" w:type="dxa"/>
            <w:tcBorders>
              <w:top w:val="nil"/>
              <w:left w:val="nil"/>
              <w:bottom w:val="single" w:sz="4" w:space="0" w:color="auto"/>
              <w:right w:val="single" w:sz="4" w:space="0" w:color="auto"/>
            </w:tcBorders>
            <w:shd w:val="clear" w:color="auto" w:fill="auto"/>
            <w:noWrap/>
            <w:vAlign w:val="bottom"/>
            <w:hideMark/>
          </w:tcPr>
          <w:p w14:paraId="79E1413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1,17</w:t>
            </w:r>
          </w:p>
        </w:tc>
        <w:tc>
          <w:tcPr>
            <w:tcW w:w="1138" w:type="dxa"/>
            <w:tcBorders>
              <w:top w:val="nil"/>
              <w:left w:val="nil"/>
              <w:bottom w:val="single" w:sz="4" w:space="0" w:color="auto"/>
              <w:right w:val="single" w:sz="4" w:space="0" w:color="auto"/>
            </w:tcBorders>
            <w:shd w:val="clear" w:color="auto" w:fill="auto"/>
            <w:noWrap/>
            <w:vAlign w:val="bottom"/>
            <w:hideMark/>
          </w:tcPr>
          <w:p w14:paraId="518F6E5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1,47</w:t>
            </w:r>
          </w:p>
        </w:tc>
        <w:tc>
          <w:tcPr>
            <w:tcW w:w="1138" w:type="dxa"/>
            <w:tcBorders>
              <w:top w:val="nil"/>
              <w:left w:val="nil"/>
              <w:bottom w:val="single" w:sz="4" w:space="0" w:color="auto"/>
              <w:right w:val="single" w:sz="4" w:space="0" w:color="auto"/>
            </w:tcBorders>
            <w:shd w:val="clear" w:color="auto" w:fill="auto"/>
            <w:noWrap/>
            <w:vAlign w:val="bottom"/>
            <w:hideMark/>
          </w:tcPr>
          <w:p w14:paraId="0687C7C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1,48</w:t>
            </w:r>
          </w:p>
        </w:tc>
        <w:tc>
          <w:tcPr>
            <w:tcW w:w="1138" w:type="dxa"/>
            <w:tcBorders>
              <w:top w:val="nil"/>
              <w:left w:val="nil"/>
              <w:bottom w:val="single" w:sz="4" w:space="0" w:color="auto"/>
              <w:right w:val="single" w:sz="4" w:space="0" w:color="auto"/>
            </w:tcBorders>
            <w:shd w:val="clear" w:color="auto" w:fill="auto"/>
            <w:noWrap/>
            <w:vAlign w:val="bottom"/>
            <w:hideMark/>
          </w:tcPr>
          <w:p w14:paraId="2209146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1,42</w:t>
            </w:r>
          </w:p>
        </w:tc>
      </w:tr>
      <w:tr w:rsidR="00BF12D5" w:rsidRPr="00BD0223" w14:paraId="63E13924"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508665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FERNANDO PRESTES</w:t>
            </w:r>
          </w:p>
        </w:tc>
        <w:tc>
          <w:tcPr>
            <w:tcW w:w="1138" w:type="dxa"/>
            <w:tcBorders>
              <w:top w:val="nil"/>
              <w:left w:val="nil"/>
              <w:bottom w:val="single" w:sz="4" w:space="0" w:color="auto"/>
              <w:right w:val="single" w:sz="4" w:space="0" w:color="auto"/>
            </w:tcBorders>
            <w:shd w:val="clear" w:color="auto" w:fill="auto"/>
            <w:noWrap/>
            <w:vAlign w:val="bottom"/>
            <w:hideMark/>
          </w:tcPr>
          <w:p w14:paraId="0E4A533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0,75</w:t>
            </w:r>
          </w:p>
        </w:tc>
        <w:tc>
          <w:tcPr>
            <w:tcW w:w="1138" w:type="dxa"/>
            <w:tcBorders>
              <w:top w:val="nil"/>
              <w:left w:val="nil"/>
              <w:bottom w:val="single" w:sz="4" w:space="0" w:color="auto"/>
              <w:right w:val="single" w:sz="4" w:space="0" w:color="auto"/>
            </w:tcBorders>
            <w:shd w:val="clear" w:color="auto" w:fill="auto"/>
            <w:noWrap/>
            <w:vAlign w:val="bottom"/>
            <w:hideMark/>
          </w:tcPr>
          <w:p w14:paraId="5466853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0,95</w:t>
            </w:r>
          </w:p>
        </w:tc>
        <w:tc>
          <w:tcPr>
            <w:tcW w:w="1138" w:type="dxa"/>
            <w:tcBorders>
              <w:top w:val="nil"/>
              <w:left w:val="nil"/>
              <w:bottom w:val="single" w:sz="4" w:space="0" w:color="auto"/>
              <w:right w:val="single" w:sz="4" w:space="0" w:color="auto"/>
            </w:tcBorders>
            <w:shd w:val="clear" w:color="auto" w:fill="auto"/>
            <w:noWrap/>
            <w:vAlign w:val="bottom"/>
            <w:hideMark/>
          </w:tcPr>
          <w:p w14:paraId="7C11B04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1,01</w:t>
            </w:r>
          </w:p>
        </w:tc>
        <w:tc>
          <w:tcPr>
            <w:tcW w:w="1138" w:type="dxa"/>
            <w:tcBorders>
              <w:top w:val="nil"/>
              <w:left w:val="nil"/>
              <w:bottom w:val="single" w:sz="4" w:space="0" w:color="auto"/>
              <w:right w:val="single" w:sz="4" w:space="0" w:color="auto"/>
            </w:tcBorders>
            <w:shd w:val="clear" w:color="auto" w:fill="auto"/>
            <w:noWrap/>
            <w:vAlign w:val="bottom"/>
            <w:hideMark/>
          </w:tcPr>
          <w:p w14:paraId="4DA5569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1,00</w:t>
            </w:r>
          </w:p>
        </w:tc>
        <w:tc>
          <w:tcPr>
            <w:tcW w:w="1138" w:type="dxa"/>
            <w:tcBorders>
              <w:top w:val="nil"/>
              <w:left w:val="nil"/>
              <w:bottom w:val="single" w:sz="4" w:space="0" w:color="auto"/>
              <w:right w:val="single" w:sz="4" w:space="0" w:color="auto"/>
            </w:tcBorders>
            <w:shd w:val="clear" w:color="auto" w:fill="auto"/>
            <w:noWrap/>
            <w:vAlign w:val="bottom"/>
            <w:hideMark/>
          </w:tcPr>
          <w:p w14:paraId="5AF77F7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1,01</w:t>
            </w:r>
          </w:p>
        </w:tc>
      </w:tr>
      <w:tr w:rsidR="00BF12D5" w:rsidRPr="00BD0223" w14:paraId="36504ED4"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5259F62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FERNANDOPOLIS</w:t>
            </w:r>
          </w:p>
        </w:tc>
        <w:tc>
          <w:tcPr>
            <w:tcW w:w="1138" w:type="dxa"/>
            <w:tcBorders>
              <w:top w:val="nil"/>
              <w:left w:val="nil"/>
              <w:bottom w:val="single" w:sz="4" w:space="0" w:color="auto"/>
              <w:right w:val="single" w:sz="4" w:space="0" w:color="auto"/>
            </w:tcBorders>
            <w:shd w:val="clear" w:color="auto" w:fill="auto"/>
            <w:noWrap/>
            <w:vAlign w:val="bottom"/>
            <w:hideMark/>
          </w:tcPr>
          <w:p w14:paraId="60458C2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11,00</w:t>
            </w:r>
          </w:p>
        </w:tc>
        <w:tc>
          <w:tcPr>
            <w:tcW w:w="1138" w:type="dxa"/>
            <w:tcBorders>
              <w:top w:val="nil"/>
              <w:left w:val="nil"/>
              <w:bottom w:val="single" w:sz="4" w:space="0" w:color="auto"/>
              <w:right w:val="single" w:sz="4" w:space="0" w:color="auto"/>
            </w:tcBorders>
            <w:shd w:val="clear" w:color="auto" w:fill="auto"/>
            <w:noWrap/>
            <w:vAlign w:val="bottom"/>
            <w:hideMark/>
          </w:tcPr>
          <w:p w14:paraId="671EF81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15,55</w:t>
            </w:r>
          </w:p>
        </w:tc>
        <w:tc>
          <w:tcPr>
            <w:tcW w:w="1138" w:type="dxa"/>
            <w:tcBorders>
              <w:top w:val="nil"/>
              <w:left w:val="nil"/>
              <w:bottom w:val="single" w:sz="4" w:space="0" w:color="auto"/>
              <w:right w:val="single" w:sz="4" w:space="0" w:color="auto"/>
            </w:tcBorders>
            <w:shd w:val="clear" w:color="auto" w:fill="auto"/>
            <w:noWrap/>
            <w:vAlign w:val="bottom"/>
            <w:hideMark/>
          </w:tcPr>
          <w:p w14:paraId="2A20FD4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17,52</w:t>
            </w:r>
          </w:p>
        </w:tc>
        <w:tc>
          <w:tcPr>
            <w:tcW w:w="1138" w:type="dxa"/>
            <w:tcBorders>
              <w:top w:val="nil"/>
              <w:left w:val="nil"/>
              <w:bottom w:val="single" w:sz="4" w:space="0" w:color="auto"/>
              <w:right w:val="single" w:sz="4" w:space="0" w:color="auto"/>
            </w:tcBorders>
            <w:shd w:val="clear" w:color="auto" w:fill="auto"/>
            <w:noWrap/>
            <w:vAlign w:val="bottom"/>
            <w:hideMark/>
          </w:tcPr>
          <w:p w14:paraId="4EA13B9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16,87</w:t>
            </w:r>
          </w:p>
        </w:tc>
        <w:tc>
          <w:tcPr>
            <w:tcW w:w="1138" w:type="dxa"/>
            <w:tcBorders>
              <w:top w:val="nil"/>
              <w:left w:val="nil"/>
              <w:bottom w:val="single" w:sz="4" w:space="0" w:color="auto"/>
              <w:right w:val="single" w:sz="4" w:space="0" w:color="auto"/>
            </w:tcBorders>
            <w:shd w:val="clear" w:color="auto" w:fill="auto"/>
            <w:noWrap/>
            <w:vAlign w:val="bottom"/>
            <w:hideMark/>
          </w:tcPr>
          <w:p w14:paraId="1A7930C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16,74</w:t>
            </w:r>
          </w:p>
        </w:tc>
      </w:tr>
      <w:tr w:rsidR="00BF12D5" w:rsidRPr="00BD0223" w14:paraId="7584E8A1"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41ECF86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FLOREAL</w:t>
            </w:r>
          </w:p>
        </w:tc>
        <w:tc>
          <w:tcPr>
            <w:tcW w:w="1138" w:type="dxa"/>
            <w:tcBorders>
              <w:top w:val="nil"/>
              <w:left w:val="nil"/>
              <w:bottom w:val="single" w:sz="4" w:space="0" w:color="auto"/>
              <w:right w:val="single" w:sz="4" w:space="0" w:color="auto"/>
            </w:tcBorders>
            <w:shd w:val="clear" w:color="auto" w:fill="auto"/>
            <w:noWrap/>
            <w:vAlign w:val="bottom"/>
            <w:hideMark/>
          </w:tcPr>
          <w:p w14:paraId="3B01612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0,36</w:t>
            </w:r>
          </w:p>
        </w:tc>
        <w:tc>
          <w:tcPr>
            <w:tcW w:w="1138" w:type="dxa"/>
            <w:tcBorders>
              <w:top w:val="nil"/>
              <w:left w:val="nil"/>
              <w:bottom w:val="single" w:sz="4" w:space="0" w:color="auto"/>
              <w:right w:val="single" w:sz="4" w:space="0" w:color="auto"/>
            </w:tcBorders>
            <w:shd w:val="clear" w:color="auto" w:fill="auto"/>
            <w:noWrap/>
            <w:vAlign w:val="bottom"/>
            <w:hideMark/>
          </w:tcPr>
          <w:p w14:paraId="3EF8ECA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0,44</w:t>
            </w:r>
          </w:p>
        </w:tc>
        <w:tc>
          <w:tcPr>
            <w:tcW w:w="1138" w:type="dxa"/>
            <w:tcBorders>
              <w:top w:val="nil"/>
              <w:left w:val="nil"/>
              <w:bottom w:val="single" w:sz="4" w:space="0" w:color="auto"/>
              <w:right w:val="single" w:sz="4" w:space="0" w:color="auto"/>
            </w:tcBorders>
            <w:shd w:val="clear" w:color="auto" w:fill="auto"/>
            <w:noWrap/>
            <w:vAlign w:val="bottom"/>
            <w:hideMark/>
          </w:tcPr>
          <w:p w14:paraId="6E9CD56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0,48</w:t>
            </w:r>
          </w:p>
        </w:tc>
        <w:tc>
          <w:tcPr>
            <w:tcW w:w="1138" w:type="dxa"/>
            <w:tcBorders>
              <w:top w:val="nil"/>
              <w:left w:val="nil"/>
              <w:bottom w:val="single" w:sz="4" w:space="0" w:color="auto"/>
              <w:right w:val="single" w:sz="4" w:space="0" w:color="auto"/>
            </w:tcBorders>
            <w:shd w:val="clear" w:color="auto" w:fill="auto"/>
            <w:noWrap/>
            <w:vAlign w:val="bottom"/>
            <w:hideMark/>
          </w:tcPr>
          <w:p w14:paraId="11B3DCD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0,14</w:t>
            </w:r>
          </w:p>
        </w:tc>
        <w:tc>
          <w:tcPr>
            <w:tcW w:w="1138" w:type="dxa"/>
            <w:tcBorders>
              <w:top w:val="nil"/>
              <w:left w:val="nil"/>
              <w:bottom w:val="single" w:sz="4" w:space="0" w:color="auto"/>
              <w:right w:val="single" w:sz="4" w:space="0" w:color="auto"/>
            </w:tcBorders>
            <w:shd w:val="clear" w:color="auto" w:fill="auto"/>
            <w:noWrap/>
            <w:vAlign w:val="bottom"/>
            <w:hideMark/>
          </w:tcPr>
          <w:p w14:paraId="3C2BC08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0,12</w:t>
            </w:r>
          </w:p>
        </w:tc>
      </w:tr>
      <w:tr w:rsidR="00BF12D5" w:rsidRPr="00BD0223" w14:paraId="39F79A0C"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6DD6B8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FRANCA</w:t>
            </w:r>
          </w:p>
        </w:tc>
        <w:tc>
          <w:tcPr>
            <w:tcW w:w="1138" w:type="dxa"/>
            <w:tcBorders>
              <w:top w:val="nil"/>
              <w:left w:val="nil"/>
              <w:bottom w:val="single" w:sz="4" w:space="0" w:color="auto"/>
              <w:right w:val="single" w:sz="4" w:space="0" w:color="auto"/>
            </w:tcBorders>
            <w:shd w:val="clear" w:color="auto" w:fill="auto"/>
            <w:noWrap/>
            <w:vAlign w:val="bottom"/>
            <w:hideMark/>
          </w:tcPr>
          <w:p w14:paraId="77735B2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47,82</w:t>
            </w:r>
          </w:p>
        </w:tc>
        <w:tc>
          <w:tcPr>
            <w:tcW w:w="1138" w:type="dxa"/>
            <w:tcBorders>
              <w:top w:val="nil"/>
              <w:left w:val="nil"/>
              <w:bottom w:val="single" w:sz="4" w:space="0" w:color="auto"/>
              <w:right w:val="single" w:sz="4" w:space="0" w:color="auto"/>
            </w:tcBorders>
            <w:shd w:val="clear" w:color="auto" w:fill="auto"/>
            <w:noWrap/>
            <w:vAlign w:val="bottom"/>
            <w:hideMark/>
          </w:tcPr>
          <w:p w14:paraId="1F7C049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63,45</w:t>
            </w:r>
          </w:p>
        </w:tc>
        <w:tc>
          <w:tcPr>
            <w:tcW w:w="1138" w:type="dxa"/>
            <w:tcBorders>
              <w:top w:val="nil"/>
              <w:left w:val="nil"/>
              <w:bottom w:val="single" w:sz="4" w:space="0" w:color="auto"/>
              <w:right w:val="single" w:sz="4" w:space="0" w:color="auto"/>
            </w:tcBorders>
            <w:shd w:val="clear" w:color="auto" w:fill="auto"/>
            <w:noWrap/>
            <w:vAlign w:val="bottom"/>
            <w:hideMark/>
          </w:tcPr>
          <w:p w14:paraId="73C7E0A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65,75</w:t>
            </w:r>
          </w:p>
        </w:tc>
        <w:tc>
          <w:tcPr>
            <w:tcW w:w="1138" w:type="dxa"/>
            <w:tcBorders>
              <w:top w:val="nil"/>
              <w:left w:val="nil"/>
              <w:bottom w:val="single" w:sz="4" w:space="0" w:color="auto"/>
              <w:right w:val="single" w:sz="4" w:space="0" w:color="auto"/>
            </w:tcBorders>
            <w:shd w:val="clear" w:color="auto" w:fill="auto"/>
            <w:noWrap/>
            <w:vAlign w:val="bottom"/>
            <w:hideMark/>
          </w:tcPr>
          <w:p w14:paraId="5602466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70,22</w:t>
            </w:r>
          </w:p>
        </w:tc>
        <w:tc>
          <w:tcPr>
            <w:tcW w:w="1138" w:type="dxa"/>
            <w:tcBorders>
              <w:top w:val="nil"/>
              <w:left w:val="nil"/>
              <w:bottom w:val="single" w:sz="4" w:space="0" w:color="auto"/>
              <w:right w:val="single" w:sz="4" w:space="0" w:color="auto"/>
            </w:tcBorders>
            <w:shd w:val="clear" w:color="auto" w:fill="auto"/>
            <w:noWrap/>
            <w:vAlign w:val="bottom"/>
            <w:hideMark/>
          </w:tcPr>
          <w:p w14:paraId="3054A2D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78,15</w:t>
            </w:r>
          </w:p>
        </w:tc>
      </w:tr>
      <w:tr w:rsidR="00BF12D5" w:rsidRPr="00BD0223" w14:paraId="5E28E94E"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ADDA1F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GASTAO VIDIGAL</w:t>
            </w:r>
          </w:p>
        </w:tc>
        <w:tc>
          <w:tcPr>
            <w:tcW w:w="1138" w:type="dxa"/>
            <w:tcBorders>
              <w:top w:val="nil"/>
              <w:left w:val="nil"/>
              <w:bottom w:val="single" w:sz="4" w:space="0" w:color="auto"/>
              <w:right w:val="single" w:sz="4" w:space="0" w:color="auto"/>
            </w:tcBorders>
            <w:shd w:val="clear" w:color="auto" w:fill="auto"/>
            <w:noWrap/>
            <w:vAlign w:val="bottom"/>
            <w:hideMark/>
          </w:tcPr>
          <w:p w14:paraId="539A5D6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0,22</w:t>
            </w:r>
          </w:p>
        </w:tc>
        <w:tc>
          <w:tcPr>
            <w:tcW w:w="1138" w:type="dxa"/>
            <w:tcBorders>
              <w:top w:val="nil"/>
              <w:left w:val="nil"/>
              <w:bottom w:val="single" w:sz="4" w:space="0" w:color="auto"/>
              <w:right w:val="single" w:sz="4" w:space="0" w:color="auto"/>
            </w:tcBorders>
            <w:shd w:val="clear" w:color="auto" w:fill="auto"/>
            <w:noWrap/>
            <w:vAlign w:val="bottom"/>
            <w:hideMark/>
          </w:tcPr>
          <w:p w14:paraId="63FD79B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0,27</w:t>
            </w:r>
          </w:p>
        </w:tc>
        <w:tc>
          <w:tcPr>
            <w:tcW w:w="1138" w:type="dxa"/>
            <w:tcBorders>
              <w:top w:val="nil"/>
              <w:left w:val="nil"/>
              <w:bottom w:val="single" w:sz="4" w:space="0" w:color="auto"/>
              <w:right w:val="single" w:sz="4" w:space="0" w:color="auto"/>
            </w:tcBorders>
            <w:shd w:val="clear" w:color="auto" w:fill="auto"/>
            <w:noWrap/>
            <w:vAlign w:val="bottom"/>
            <w:hideMark/>
          </w:tcPr>
          <w:p w14:paraId="0E32C6F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0,35</w:t>
            </w:r>
          </w:p>
        </w:tc>
        <w:tc>
          <w:tcPr>
            <w:tcW w:w="1138" w:type="dxa"/>
            <w:tcBorders>
              <w:top w:val="nil"/>
              <w:left w:val="nil"/>
              <w:bottom w:val="single" w:sz="4" w:space="0" w:color="auto"/>
              <w:right w:val="single" w:sz="4" w:space="0" w:color="auto"/>
            </w:tcBorders>
            <w:shd w:val="clear" w:color="auto" w:fill="auto"/>
            <w:noWrap/>
            <w:vAlign w:val="bottom"/>
            <w:hideMark/>
          </w:tcPr>
          <w:p w14:paraId="4D07734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0,33</w:t>
            </w:r>
          </w:p>
        </w:tc>
        <w:tc>
          <w:tcPr>
            <w:tcW w:w="1138" w:type="dxa"/>
            <w:tcBorders>
              <w:top w:val="nil"/>
              <w:left w:val="nil"/>
              <w:bottom w:val="single" w:sz="4" w:space="0" w:color="auto"/>
              <w:right w:val="single" w:sz="4" w:space="0" w:color="auto"/>
            </w:tcBorders>
            <w:shd w:val="clear" w:color="auto" w:fill="auto"/>
            <w:noWrap/>
            <w:vAlign w:val="bottom"/>
            <w:hideMark/>
          </w:tcPr>
          <w:p w14:paraId="31DF4A0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0,32</w:t>
            </w:r>
          </w:p>
        </w:tc>
      </w:tr>
      <w:tr w:rsidR="00BF12D5" w:rsidRPr="00BD0223" w14:paraId="592682EE"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28B369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GENERAL SALGADO</w:t>
            </w:r>
          </w:p>
        </w:tc>
        <w:tc>
          <w:tcPr>
            <w:tcW w:w="1138" w:type="dxa"/>
            <w:tcBorders>
              <w:top w:val="nil"/>
              <w:left w:val="nil"/>
              <w:bottom w:val="single" w:sz="4" w:space="0" w:color="auto"/>
              <w:right w:val="single" w:sz="4" w:space="0" w:color="auto"/>
            </w:tcBorders>
            <w:shd w:val="clear" w:color="auto" w:fill="auto"/>
            <w:noWrap/>
            <w:vAlign w:val="bottom"/>
            <w:hideMark/>
          </w:tcPr>
          <w:p w14:paraId="11BA363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1,13</w:t>
            </w:r>
          </w:p>
        </w:tc>
        <w:tc>
          <w:tcPr>
            <w:tcW w:w="1138" w:type="dxa"/>
            <w:tcBorders>
              <w:top w:val="nil"/>
              <w:left w:val="nil"/>
              <w:bottom w:val="single" w:sz="4" w:space="0" w:color="auto"/>
              <w:right w:val="single" w:sz="4" w:space="0" w:color="auto"/>
            </w:tcBorders>
            <w:shd w:val="clear" w:color="auto" w:fill="auto"/>
            <w:noWrap/>
            <w:vAlign w:val="bottom"/>
            <w:hideMark/>
          </w:tcPr>
          <w:p w14:paraId="2FBEC36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1,73</w:t>
            </w:r>
          </w:p>
        </w:tc>
        <w:tc>
          <w:tcPr>
            <w:tcW w:w="1138" w:type="dxa"/>
            <w:tcBorders>
              <w:top w:val="nil"/>
              <w:left w:val="nil"/>
              <w:bottom w:val="single" w:sz="4" w:space="0" w:color="auto"/>
              <w:right w:val="single" w:sz="4" w:space="0" w:color="auto"/>
            </w:tcBorders>
            <w:shd w:val="clear" w:color="auto" w:fill="auto"/>
            <w:noWrap/>
            <w:vAlign w:val="bottom"/>
            <w:hideMark/>
          </w:tcPr>
          <w:p w14:paraId="445A538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1,74</w:t>
            </w:r>
          </w:p>
        </w:tc>
        <w:tc>
          <w:tcPr>
            <w:tcW w:w="1138" w:type="dxa"/>
            <w:tcBorders>
              <w:top w:val="nil"/>
              <w:left w:val="nil"/>
              <w:bottom w:val="single" w:sz="4" w:space="0" w:color="auto"/>
              <w:right w:val="single" w:sz="4" w:space="0" w:color="auto"/>
            </w:tcBorders>
            <w:shd w:val="clear" w:color="auto" w:fill="auto"/>
            <w:noWrap/>
            <w:vAlign w:val="bottom"/>
            <w:hideMark/>
          </w:tcPr>
          <w:p w14:paraId="584436F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1,59</w:t>
            </w:r>
          </w:p>
        </w:tc>
        <w:tc>
          <w:tcPr>
            <w:tcW w:w="1138" w:type="dxa"/>
            <w:tcBorders>
              <w:top w:val="nil"/>
              <w:left w:val="nil"/>
              <w:bottom w:val="single" w:sz="4" w:space="0" w:color="auto"/>
              <w:right w:val="single" w:sz="4" w:space="0" w:color="auto"/>
            </w:tcBorders>
            <w:shd w:val="clear" w:color="auto" w:fill="auto"/>
            <w:noWrap/>
            <w:vAlign w:val="bottom"/>
            <w:hideMark/>
          </w:tcPr>
          <w:p w14:paraId="4BFD8D6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1,62</w:t>
            </w:r>
          </w:p>
        </w:tc>
      </w:tr>
      <w:tr w:rsidR="00BF12D5" w:rsidRPr="00BD0223" w14:paraId="62D84F20"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579CE7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GUAIRA</w:t>
            </w:r>
          </w:p>
        </w:tc>
        <w:tc>
          <w:tcPr>
            <w:tcW w:w="1138" w:type="dxa"/>
            <w:tcBorders>
              <w:top w:val="nil"/>
              <w:left w:val="nil"/>
              <w:bottom w:val="single" w:sz="4" w:space="0" w:color="auto"/>
              <w:right w:val="single" w:sz="4" w:space="0" w:color="auto"/>
            </w:tcBorders>
            <w:shd w:val="clear" w:color="auto" w:fill="auto"/>
            <w:noWrap/>
            <w:vAlign w:val="bottom"/>
            <w:hideMark/>
          </w:tcPr>
          <w:p w14:paraId="1CF345B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4,03</w:t>
            </w:r>
          </w:p>
        </w:tc>
        <w:tc>
          <w:tcPr>
            <w:tcW w:w="1138" w:type="dxa"/>
            <w:tcBorders>
              <w:top w:val="nil"/>
              <w:left w:val="nil"/>
              <w:bottom w:val="single" w:sz="4" w:space="0" w:color="auto"/>
              <w:right w:val="single" w:sz="4" w:space="0" w:color="auto"/>
            </w:tcBorders>
            <w:shd w:val="clear" w:color="auto" w:fill="auto"/>
            <w:noWrap/>
            <w:vAlign w:val="bottom"/>
            <w:hideMark/>
          </w:tcPr>
          <w:p w14:paraId="3BC628B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5,38</w:t>
            </w:r>
          </w:p>
        </w:tc>
        <w:tc>
          <w:tcPr>
            <w:tcW w:w="1138" w:type="dxa"/>
            <w:tcBorders>
              <w:top w:val="nil"/>
              <w:left w:val="nil"/>
              <w:bottom w:val="single" w:sz="4" w:space="0" w:color="auto"/>
              <w:right w:val="single" w:sz="4" w:space="0" w:color="auto"/>
            </w:tcBorders>
            <w:shd w:val="clear" w:color="auto" w:fill="auto"/>
            <w:noWrap/>
            <w:vAlign w:val="bottom"/>
            <w:hideMark/>
          </w:tcPr>
          <w:p w14:paraId="3C14C6E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6,40</w:t>
            </w:r>
          </w:p>
        </w:tc>
        <w:tc>
          <w:tcPr>
            <w:tcW w:w="1138" w:type="dxa"/>
            <w:tcBorders>
              <w:top w:val="nil"/>
              <w:left w:val="nil"/>
              <w:bottom w:val="single" w:sz="4" w:space="0" w:color="auto"/>
              <w:right w:val="single" w:sz="4" w:space="0" w:color="auto"/>
            </w:tcBorders>
            <w:shd w:val="clear" w:color="auto" w:fill="auto"/>
            <w:noWrap/>
            <w:vAlign w:val="bottom"/>
            <w:hideMark/>
          </w:tcPr>
          <w:p w14:paraId="041F5E4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6,75</w:t>
            </w:r>
          </w:p>
        </w:tc>
        <w:tc>
          <w:tcPr>
            <w:tcW w:w="1138" w:type="dxa"/>
            <w:tcBorders>
              <w:top w:val="nil"/>
              <w:left w:val="nil"/>
              <w:bottom w:val="single" w:sz="4" w:space="0" w:color="auto"/>
              <w:right w:val="single" w:sz="4" w:space="0" w:color="auto"/>
            </w:tcBorders>
            <w:shd w:val="clear" w:color="auto" w:fill="auto"/>
            <w:noWrap/>
            <w:vAlign w:val="bottom"/>
            <w:hideMark/>
          </w:tcPr>
          <w:p w14:paraId="4270221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7,34</w:t>
            </w:r>
          </w:p>
        </w:tc>
      </w:tr>
      <w:tr w:rsidR="00BF12D5" w:rsidRPr="00BD0223" w14:paraId="36D854DD"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F60741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lastRenderedPageBreak/>
              <w:t>GUAPIACU</w:t>
            </w:r>
          </w:p>
        </w:tc>
        <w:tc>
          <w:tcPr>
            <w:tcW w:w="1138" w:type="dxa"/>
            <w:tcBorders>
              <w:top w:val="nil"/>
              <w:left w:val="nil"/>
              <w:bottom w:val="single" w:sz="4" w:space="0" w:color="auto"/>
              <w:right w:val="single" w:sz="4" w:space="0" w:color="auto"/>
            </w:tcBorders>
            <w:shd w:val="clear" w:color="auto" w:fill="auto"/>
            <w:noWrap/>
            <w:vAlign w:val="bottom"/>
            <w:hideMark/>
          </w:tcPr>
          <w:p w14:paraId="52534F2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1,56</w:t>
            </w:r>
          </w:p>
        </w:tc>
        <w:tc>
          <w:tcPr>
            <w:tcW w:w="1138" w:type="dxa"/>
            <w:tcBorders>
              <w:top w:val="nil"/>
              <w:left w:val="nil"/>
              <w:bottom w:val="single" w:sz="4" w:space="0" w:color="auto"/>
              <w:right w:val="single" w:sz="4" w:space="0" w:color="auto"/>
            </w:tcBorders>
            <w:shd w:val="clear" w:color="auto" w:fill="auto"/>
            <w:noWrap/>
            <w:vAlign w:val="bottom"/>
            <w:hideMark/>
          </w:tcPr>
          <w:p w14:paraId="61117EF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2,23</w:t>
            </w:r>
          </w:p>
        </w:tc>
        <w:tc>
          <w:tcPr>
            <w:tcW w:w="1138" w:type="dxa"/>
            <w:tcBorders>
              <w:top w:val="nil"/>
              <w:left w:val="nil"/>
              <w:bottom w:val="single" w:sz="4" w:space="0" w:color="auto"/>
              <w:right w:val="single" w:sz="4" w:space="0" w:color="auto"/>
            </w:tcBorders>
            <w:shd w:val="clear" w:color="auto" w:fill="auto"/>
            <w:noWrap/>
            <w:vAlign w:val="bottom"/>
            <w:hideMark/>
          </w:tcPr>
          <w:p w14:paraId="774088B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2,76</w:t>
            </w:r>
          </w:p>
        </w:tc>
        <w:tc>
          <w:tcPr>
            <w:tcW w:w="1138" w:type="dxa"/>
            <w:tcBorders>
              <w:top w:val="nil"/>
              <w:left w:val="nil"/>
              <w:bottom w:val="single" w:sz="4" w:space="0" w:color="auto"/>
              <w:right w:val="single" w:sz="4" w:space="0" w:color="auto"/>
            </w:tcBorders>
            <w:shd w:val="clear" w:color="auto" w:fill="auto"/>
            <w:noWrap/>
            <w:vAlign w:val="bottom"/>
            <w:hideMark/>
          </w:tcPr>
          <w:p w14:paraId="01CAD80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2,69</w:t>
            </w:r>
          </w:p>
        </w:tc>
        <w:tc>
          <w:tcPr>
            <w:tcW w:w="1138" w:type="dxa"/>
            <w:tcBorders>
              <w:top w:val="nil"/>
              <w:left w:val="nil"/>
              <w:bottom w:val="single" w:sz="4" w:space="0" w:color="auto"/>
              <w:right w:val="single" w:sz="4" w:space="0" w:color="auto"/>
            </w:tcBorders>
            <w:shd w:val="clear" w:color="auto" w:fill="auto"/>
            <w:noWrap/>
            <w:vAlign w:val="bottom"/>
            <w:hideMark/>
          </w:tcPr>
          <w:p w14:paraId="5DCDAFA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2,75</w:t>
            </w:r>
          </w:p>
        </w:tc>
      </w:tr>
      <w:tr w:rsidR="00BF12D5" w:rsidRPr="00BD0223" w14:paraId="662DEEF0"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243C7FC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GUARA</w:t>
            </w:r>
          </w:p>
        </w:tc>
        <w:tc>
          <w:tcPr>
            <w:tcW w:w="1138" w:type="dxa"/>
            <w:tcBorders>
              <w:top w:val="nil"/>
              <w:left w:val="nil"/>
              <w:bottom w:val="single" w:sz="4" w:space="0" w:color="auto"/>
              <w:right w:val="single" w:sz="4" w:space="0" w:color="auto"/>
            </w:tcBorders>
            <w:shd w:val="clear" w:color="auto" w:fill="auto"/>
            <w:noWrap/>
            <w:vAlign w:val="bottom"/>
            <w:hideMark/>
          </w:tcPr>
          <w:p w14:paraId="3FFF82F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2,17</w:t>
            </w:r>
          </w:p>
        </w:tc>
        <w:tc>
          <w:tcPr>
            <w:tcW w:w="1138" w:type="dxa"/>
            <w:tcBorders>
              <w:top w:val="nil"/>
              <w:left w:val="nil"/>
              <w:bottom w:val="single" w:sz="4" w:space="0" w:color="auto"/>
              <w:right w:val="single" w:sz="4" w:space="0" w:color="auto"/>
            </w:tcBorders>
            <w:shd w:val="clear" w:color="auto" w:fill="auto"/>
            <w:noWrap/>
            <w:vAlign w:val="bottom"/>
            <w:hideMark/>
          </w:tcPr>
          <w:p w14:paraId="484FE6A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2,31</w:t>
            </w:r>
          </w:p>
        </w:tc>
        <w:tc>
          <w:tcPr>
            <w:tcW w:w="1138" w:type="dxa"/>
            <w:tcBorders>
              <w:top w:val="nil"/>
              <w:left w:val="nil"/>
              <w:bottom w:val="single" w:sz="4" w:space="0" w:color="auto"/>
              <w:right w:val="single" w:sz="4" w:space="0" w:color="auto"/>
            </w:tcBorders>
            <w:shd w:val="clear" w:color="auto" w:fill="auto"/>
            <w:noWrap/>
            <w:vAlign w:val="bottom"/>
            <w:hideMark/>
          </w:tcPr>
          <w:p w14:paraId="3C50022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2,72</w:t>
            </w:r>
          </w:p>
        </w:tc>
        <w:tc>
          <w:tcPr>
            <w:tcW w:w="1138" w:type="dxa"/>
            <w:tcBorders>
              <w:top w:val="nil"/>
              <w:left w:val="nil"/>
              <w:bottom w:val="single" w:sz="4" w:space="0" w:color="auto"/>
              <w:right w:val="single" w:sz="4" w:space="0" w:color="auto"/>
            </w:tcBorders>
            <w:shd w:val="clear" w:color="auto" w:fill="auto"/>
            <w:noWrap/>
            <w:vAlign w:val="bottom"/>
            <w:hideMark/>
          </w:tcPr>
          <w:p w14:paraId="646FBDE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3,01</w:t>
            </w:r>
          </w:p>
        </w:tc>
        <w:tc>
          <w:tcPr>
            <w:tcW w:w="1138" w:type="dxa"/>
            <w:tcBorders>
              <w:top w:val="nil"/>
              <w:left w:val="nil"/>
              <w:bottom w:val="single" w:sz="4" w:space="0" w:color="auto"/>
              <w:right w:val="single" w:sz="4" w:space="0" w:color="auto"/>
            </w:tcBorders>
            <w:shd w:val="clear" w:color="auto" w:fill="auto"/>
            <w:noWrap/>
            <w:vAlign w:val="bottom"/>
            <w:hideMark/>
          </w:tcPr>
          <w:p w14:paraId="2DD52D0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3,53</w:t>
            </w:r>
          </w:p>
        </w:tc>
      </w:tr>
      <w:tr w:rsidR="00BF12D5" w:rsidRPr="00BD0223" w14:paraId="14F9957B"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B34554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GUARIBA</w:t>
            </w:r>
          </w:p>
        </w:tc>
        <w:tc>
          <w:tcPr>
            <w:tcW w:w="1138" w:type="dxa"/>
            <w:tcBorders>
              <w:top w:val="nil"/>
              <w:left w:val="nil"/>
              <w:bottom w:val="single" w:sz="4" w:space="0" w:color="auto"/>
              <w:right w:val="single" w:sz="4" w:space="0" w:color="auto"/>
            </w:tcBorders>
            <w:shd w:val="clear" w:color="auto" w:fill="auto"/>
            <w:noWrap/>
            <w:vAlign w:val="bottom"/>
            <w:hideMark/>
          </w:tcPr>
          <w:p w14:paraId="71B7D0A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2,65</w:t>
            </w:r>
          </w:p>
        </w:tc>
        <w:tc>
          <w:tcPr>
            <w:tcW w:w="1138" w:type="dxa"/>
            <w:tcBorders>
              <w:top w:val="nil"/>
              <w:left w:val="nil"/>
              <w:bottom w:val="single" w:sz="4" w:space="0" w:color="auto"/>
              <w:right w:val="single" w:sz="4" w:space="0" w:color="auto"/>
            </w:tcBorders>
            <w:shd w:val="clear" w:color="auto" w:fill="auto"/>
            <w:noWrap/>
            <w:vAlign w:val="bottom"/>
            <w:hideMark/>
          </w:tcPr>
          <w:p w14:paraId="33CC139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3,66</w:t>
            </w:r>
          </w:p>
        </w:tc>
        <w:tc>
          <w:tcPr>
            <w:tcW w:w="1138" w:type="dxa"/>
            <w:tcBorders>
              <w:top w:val="nil"/>
              <w:left w:val="nil"/>
              <w:bottom w:val="single" w:sz="4" w:space="0" w:color="auto"/>
              <w:right w:val="single" w:sz="4" w:space="0" w:color="auto"/>
            </w:tcBorders>
            <w:shd w:val="clear" w:color="auto" w:fill="auto"/>
            <w:noWrap/>
            <w:vAlign w:val="bottom"/>
            <w:hideMark/>
          </w:tcPr>
          <w:p w14:paraId="37189D5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4,09</w:t>
            </w:r>
          </w:p>
        </w:tc>
        <w:tc>
          <w:tcPr>
            <w:tcW w:w="1138" w:type="dxa"/>
            <w:tcBorders>
              <w:top w:val="nil"/>
              <w:left w:val="nil"/>
              <w:bottom w:val="single" w:sz="4" w:space="0" w:color="auto"/>
              <w:right w:val="single" w:sz="4" w:space="0" w:color="auto"/>
            </w:tcBorders>
            <w:shd w:val="clear" w:color="auto" w:fill="auto"/>
            <w:noWrap/>
            <w:vAlign w:val="bottom"/>
            <w:hideMark/>
          </w:tcPr>
          <w:p w14:paraId="4658D46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4,71</w:t>
            </w:r>
          </w:p>
        </w:tc>
        <w:tc>
          <w:tcPr>
            <w:tcW w:w="1138" w:type="dxa"/>
            <w:tcBorders>
              <w:top w:val="nil"/>
              <w:left w:val="nil"/>
              <w:bottom w:val="single" w:sz="4" w:space="0" w:color="auto"/>
              <w:right w:val="single" w:sz="4" w:space="0" w:color="auto"/>
            </w:tcBorders>
            <w:shd w:val="clear" w:color="auto" w:fill="auto"/>
            <w:noWrap/>
            <w:vAlign w:val="bottom"/>
            <w:hideMark/>
          </w:tcPr>
          <w:p w14:paraId="58D8EC9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4,86</w:t>
            </w:r>
          </w:p>
        </w:tc>
      </w:tr>
      <w:tr w:rsidR="00BF12D5" w:rsidRPr="00BD0223" w14:paraId="41046403"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45E858B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GUATAPARA</w:t>
            </w:r>
          </w:p>
        </w:tc>
        <w:tc>
          <w:tcPr>
            <w:tcW w:w="1138" w:type="dxa"/>
            <w:tcBorders>
              <w:top w:val="nil"/>
              <w:left w:val="nil"/>
              <w:bottom w:val="single" w:sz="4" w:space="0" w:color="auto"/>
              <w:right w:val="single" w:sz="4" w:space="0" w:color="auto"/>
            </w:tcBorders>
            <w:shd w:val="clear" w:color="auto" w:fill="auto"/>
            <w:noWrap/>
            <w:vAlign w:val="bottom"/>
            <w:hideMark/>
          </w:tcPr>
          <w:p w14:paraId="7DA1285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0,47</w:t>
            </w:r>
          </w:p>
        </w:tc>
        <w:tc>
          <w:tcPr>
            <w:tcW w:w="1138" w:type="dxa"/>
            <w:tcBorders>
              <w:top w:val="nil"/>
              <w:left w:val="nil"/>
              <w:bottom w:val="single" w:sz="4" w:space="0" w:color="auto"/>
              <w:right w:val="single" w:sz="4" w:space="0" w:color="auto"/>
            </w:tcBorders>
            <w:shd w:val="clear" w:color="auto" w:fill="auto"/>
            <w:noWrap/>
            <w:vAlign w:val="bottom"/>
            <w:hideMark/>
          </w:tcPr>
          <w:p w14:paraId="2A94AD9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0,61</w:t>
            </w:r>
          </w:p>
        </w:tc>
        <w:tc>
          <w:tcPr>
            <w:tcW w:w="1138" w:type="dxa"/>
            <w:tcBorders>
              <w:top w:val="nil"/>
              <w:left w:val="nil"/>
              <w:bottom w:val="single" w:sz="4" w:space="0" w:color="auto"/>
              <w:right w:val="single" w:sz="4" w:space="0" w:color="auto"/>
            </w:tcBorders>
            <w:shd w:val="clear" w:color="auto" w:fill="auto"/>
            <w:noWrap/>
            <w:vAlign w:val="bottom"/>
            <w:hideMark/>
          </w:tcPr>
          <w:p w14:paraId="24D3CDE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0,73</w:t>
            </w:r>
          </w:p>
        </w:tc>
        <w:tc>
          <w:tcPr>
            <w:tcW w:w="1138" w:type="dxa"/>
            <w:tcBorders>
              <w:top w:val="nil"/>
              <w:left w:val="nil"/>
              <w:bottom w:val="single" w:sz="4" w:space="0" w:color="auto"/>
              <w:right w:val="single" w:sz="4" w:space="0" w:color="auto"/>
            </w:tcBorders>
            <w:shd w:val="clear" w:color="auto" w:fill="auto"/>
            <w:noWrap/>
            <w:vAlign w:val="bottom"/>
            <w:hideMark/>
          </w:tcPr>
          <w:p w14:paraId="6C8DCC4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0,83</w:t>
            </w:r>
          </w:p>
        </w:tc>
        <w:tc>
          <w:tcPr>
            <w:tcW w:w="1138" w:type="dxa"/>
            <w:tcBorders>
              <w:top w:val="nil"/>
              <w:left w:val="nil"/>
              <w:bottom w:val="single" w:sz="4" w:space="0" w:color="auto"/>
              <w:right w:val="single" w:sz="4" w:space="0" w:color="auto"/>
            </w:tcBorders>
            <w:shd w:val="clear" w:color="auto" w:fill="auto"/>
            <w:noWrap/>
            <w:vAlign w:val="bottom"/>
            <w:hideMark/>
          </w:tcPr>
          <w:p w14:paraId="16E3ECE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0,83</w:t>
            </w:r>
          </w:p>
        </w:tc>
      </w:tr>
      <w:tr w:rsidR="00BF12D5" w:rsidRPr="00BD0223" w14:paraId="2FF6B6B1"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07D97D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GUZOLANDIA</w:t>
            </w:r>
          </w:p>
        </w:tc>
        <w:tc>
          <w:tcPr>
            <w:tcW w:w="1138" w:type="dxa"/>
            <w:tcBorders>
              <w:top w:val="nil"/>
              <w:left w:val="nil"/>
              <w:bottom w:val="single" w:sz="4" w:space="0" w:color="auto"/>
              <w:right w:val="single" w:sz="4" w:space="0" w:color="auto"/>
            </w:tcBorders>
            <w:shd w:val="clear" w:color="auto" w:fill="auto"/>
            <w:noWrap/>
            <w:vAlign w:val="bottom"/>
            <w:hideMark/>
          </w:tcPr>
          <w:p w14:paraId="4D37CBC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0,43</w:t>
            </w:r>
          </w:p>
        </w:tc>
        <w:tc>
          <w:tcPr>
            <w:tcW w:w="1138" w:type="dxa"/>
            <w:tcBorders>
              <w:top w:val="nil"/>
              <w:left w:val="nil"/>
              <w:bottom w:val="single" w:sz="4" w:space="0" w:color="auto"/>
              <w:right w:val="single" w:sz="4" w:space="0" w:color="auto"/>
            </w:tcBorders>
            <w:shd w:val="clear" w:color="auto" w:fill="auto"/>
            <w:noWrap/>
            <w:vAlign w:val="bottom"/>
            <w:hideMark/>
          </w:tcPr>
          <w:p w14:paraId="709190F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0,66</w:t>
            </w:r>
          </w:p>
        </w:tc>
        <w:tc>
          <w:tcPr>
            <w:tcW w:w="1138" w:type="dxa"/>
            <w:tcBorders>
              <w:top w:val="nil"/>
              <w:left w:val="nil"/>
              <w:bottom w:val="single" w:sz="4" w:space="0" w:color="auto"/>
              <w:right w:val="single" w:sz="4" w:space="0" w:color="auto"/>
            </w:tcBorders>
            <w:shd w:val="clear" w:color="auto" w:fill="auto"/>
            <w:noWrap/>
            <w:vAlign w:val="bottom"/>
            <w:hideMark/>
          </w:tcPr>
          <w:p w14:paraId="1B7367B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0,84</w:t>
            </w:r>
          </w:p>
        </w:tc>
        <w:tc>
          <w:tcPr>
            <w:tcW w:w="1138" w:type="dxa"/>
            <w:tcBorders>
              <w:top w:val="nil"/>
              <w:left w:val="nil"/>
              <w:bottom w:val="single" w:sz="4" w:space="0" w:color="auto"/>
              <w:right w:val="single" w:sz="4" w:space="0" w:color="auto"/>
            </w:tcBorders>
            <w:shd w:val="clear" w:color="auto" w:fill="auto"/>
            <w:noWrap/>
            <w:vAlign w:val="bottom"/>
            <w:hideMark/>
          </w:tcPr>
          <w:p w14:paraId="355EA76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0,84</w:t>
            </w:r>
          </w:p>
        </w:tc>
        <w:tc>
          <w:tcPr>
            <w:tcW w:w="1138" w:type="dxa"/>
            <w:tcBorders>
              <w:top w:val="nil"/>
              <w:left w:val="nil"/>
              <w:bottom w:val="single" w:sz="4" w:space="0" w:color="auto"/>
              <w:right w:val="single" w:sz="4" w:space="0" w:color="auto"/>
            </w:tcBorders>
            <w:shd w:val="clear" w:color="auto" w:fill="auto"/>
            <w:noWrap/>
            <w:vAlign w:val="bottom"/>
            <w:hideMark/>
          </w:tcPr>
          <w:p w14:paraId="0B49F98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0,81</w:t>
            </w:r>
          </w:p>
        </w:tc>
      </w:tr>
      <w:tr w:rsidR="00BF12D5" w:rsidRPr="00BD0223" w14:paraId="57542AF6"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26CB677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IBIRA</w:t>
            </w:r>
          </w:p>
        </w:tc>
        <w:tc>
          <w:tcPr>
            <w:tcW w:w="1138" w:type="dxa"/>
            <w:tcBorders>
              <w:top w:val="nil"/>
              <w:left w:val="nil"/>
              <w:bottom w:val="single" w:sz="4" w:space="0" w:color="auto"/>
              <w:right w:val="single" w:sz="4" w:space="0" w:color="auto"/>
            </w:tcBorders>
            <w:shd w:val="clear" w:color="auto" w:fill="auto"/>
            <w:noWrap/>
            <w:vAlign w:val="bottom"/>
            <w:hideMark/>
          </w:tcPr>
          <w:p w14:paraId="644C03E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0,99</w:t>
            </w:r>
          </w:p>
        </w:tc>
        <w:tc>
          <w:tcPr>
            <w:tcW w:w="1138" w:type="dxa"/>
            <w:tcBorders>
              <w:top w:val="nil"/>
              <w:left w:val="nil"/>
              <w:bottom w:val="single" w:sz="4" w:space="0" w:color="auto"/>
              <w:right w:val="single" w:sz="4" w:space="0" w:color="auto"/>
            </w:tcBorders>
            <w:shd w:val="clear" w:color="auto" w:fill="auto"/>
            <w:noWrap/>
            <w:vAlign w:val="bottom"/>
            <w:hideMark/>
          </w:tcPr>
          <w:p w14:paraId="533FD64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1,28</w:t>
            </w:r>
          </w:p>
        </w:tc>
        <w:tc>
          <w:tcPr>
            <w:tcW w:w="1138" w:type="dxa"/>
            <w:tcBorders>
              <w:top w:val="nil"/>
              <w:left w:val="nil"/>
              <w:bottom w:val="single" w:sz="4" w:space="0" w:color="auto"/>
              <w:right w:val="single" w:sz="4" w:space="0" w:color="auto"/>
            </w:tcBorders>
            <w:shd w:val="clear" w:color="auto" w:fill="auto"/>
            <w:noWrap/>
            <w:vAlign w:val="bottom"/>
            <w:hideMark/>
          </w:tcPr>
          <w:p w14:paraId="530BE4D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1,58</w:t>
            </w:r>
          </w:p>
        </w:tc>
        <w:tc>
          <w:tcPr>
            <w:tcW w:w="1138" w:type="dxa"/>
            <w:tcBorders>
              <w:top w:val="nil"/>
              <w:left w:val="nil"/>
              <w:bottom w:val="single" w:sz="4" w:space="0" w:color="auto"/>
              <w:right w:val="single" w:sz="4" w:space="0" w:color="auto"/>
            </w:tcBorders>
            <w:shd w:val="clear" w:color="auto" w:fill="auto"/>
            <w:noWrap/>
            <w:vAlign w:val="bottom"/>
            <w:hideMark/>
          </w:tcPr>
          <w:p w14:paraId="0A57DD4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1,73</w:t>
            </w:r>
          </w:p>
        </w:tc>
        <w:tc>
          <w:tcPr>
            <w:tcW w:w="1138" w:type="dxa"/>
            <w:tcBorders>
              <w:top w:val="nil"/>
              <w:left w:val="nil"/>
              <w:bottom w:val="single" w:sz="4" w:space="0" w:color="auto"/>
              <w:right w:val="single" w:sz="4" w:space="0" w:color="auto"/>
            </w:tcBorders>
            <w:shd w:val="clear" w:color="auto" w:fill="auto"/>
            <w:noWrap/>
            <w:vAlign w:val="bottom"/>
            <w:hideMark/>
          </w:tcPr>
          <w:p w14:paraId="67D0FBA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1,94</w:t>
            </w:r>
          </w:p>
        </w:tc>
      </w:tr>
      <w:tr w:rsidR="00BF12D5" w:rsidRPr="00BD0223" w14:paraId="6D2DE92B"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5300F6A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ICEM</w:t>
            </w:r>
          </w:p>
        </w:tc>
        <w:tc>
          <w:tcPr>
            <w:tcW w:w="1138" w:type="dxa"/>
            <w:tcBorders>
              <w:top w:val="nil"/>
              <w:left w:val="nil"/>
              <w:bottom w:val="single" w:sz="4" w:space="0" w:color="auto"/>
              <w:right w:val="single" w:sz="4" w:space="0" w:color="auto"/>
            </w:tcBorders>
            <w:shd w:val="clear" w:color="auto" w:fill="auto"/>
            <w:noWrap/>
            <w:vAlign w:val="bottom"/>
            <w:hideMark/>
          </w:tcPr>
          <w:p w14:paraId="67037C5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0,42</w:t>
            </w:r>
          </w:p>
        </w:tc>
        <w:tc>
          <w:tcPr>
            <w:tcW w:w="1138" w:type="dxa"/>
            <w:tcBorders>
              <w:top w:val="nil"/>
              <w:left w:val="nil"/>
              <w:bottom w:val="single" w:sz="4" w:space="0" w:color="auto"/>
              <w:right w:val="single" w:sz="4" w:space="0" w:color="auto"/>
            </w:tcBorders>
            <w:shd w:val="clear" w:color="auto" w:fill="auto"/>
            <w:noWrap/>
            <w:vAlign w:val="bottom"/>
            <w:hideMark/>
          </w:tcPr>
          <w:p w14:paraId="0BC5483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0,57</w:t>
            </w:r>
          </w:p>
        </w:tc>
        <w:tc>
          <w:tcPr>
            <w:tcW w:w="1138" w:type="dxa"/>
            <w:tcBorders>
              <w:top w:val="nil"/>
              <w:left w:val="nil"/>
              <w:bottom w:val="single" w:sz="4" w:space="0" w:color="auto"/>
              <w:right w:val="single" w:sz="4" w:space="0" w:color="auto"/>
            </w:tcBorders>
            <w:shd w:val="clear" w:color="auto" w:fill="auto"/>
            <w:noWrap/>
            <w:vAlign w:val="bottom"/>
            <w:hideMark/>
          </w:tcPr>
          <w:p w14:paraId="2A6FDAB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0,78</w:t>
            </w:r>
          </w:p>
        </w:tc>
        <w:tc>
          <w:tcPr>
            <w:tcW w:w="1138" w:type="dxa"/>
            <w:tcBorders>
              <w:top w:val="nil"/>
              <w:left w:val="nil"/>
              <w:bottom w:val="single" w:sz="4" w:space="0" w:color="auto"/>
              <w:right w:val="single" w:sz="4" w:space="0" w:color="auto"/>
            </w:tcBorders>
            <w:shd w:val="clear" w:color="auto" w:fill="auto"/>
            <w:noWrap/>
            <w:vAlign w:val="bottom"/>
            <w:hideMark/>
          </w:tcPr>
          <w:p w14:paraId="20277B6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0,94</w:t>
            </w:r>
          </w:p>
        </w:tc>
        <w:tc>
          <w:tcPr>
            <w:tcW w:w="1138" w:type="dxa"/>
            <w:tcBorders>
              <w:top w:val="nil"/>
              <w:left w:val="nil"/>
              <w:bottom w:val="single" w:sz="4" w:space="0" w:color="auto"/>
              <w:right w:val="single" w:sz="4" w:space="0" w:color="auto"/>
            </w:tcBorders>
            <w:shd w:val="clear" w:color="auto" w:fill="auto"/>
            <w:noWrap/>
            <w:vAlign w:val="bottom"/>
            <w:hideMark/>
          </w:tcPr>
          <w:p w14:paraId="25B6B44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1,25</w:t>
            </w:r>
          </w:p>
        </w:tc>
      </w:tr>
      <w:tr w:rsidR="00BF12D5" w:rsidRPr="00BD0223" w14:paraId="4170B863"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557025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IGARAPAVA</w:t>
            </w:r>
          </w:p>
        </w:tc>
        <w:tc>
          <w:tcPr>
            <w:tcW w:w="1138" w:type="dxa"/>
            <w:tcBorders>
              <w:top w:val="nil"/>
              <w:left w:val="nil"/>
              <w:bottom w:val="single" w:sz="4" w:space="0" w:color="auto"/>
              <w:right w:val="single" w:sz="4" w:space="0" w:color="auto"/>
            </w:tcBorders>
            <w:shd w:val="clear" w:color="auto" w:fill="auto"/>
            <w:noWrap/>
            <w:vAlign w:val="bottom"/>
            <w:hideMark/>
          </w:tcPr>
          <w:p w14:paraId="4602B1C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3,10</w:t>
            </w:r>
          </w:p>
        </w:tc>
        <w:tc>
          <w:tcPr>
            <w:tcW w:w="1138" w:type="dxa"/>
            <w:tcBorders>
              <w:top w:val="nil"/>
              <w:left w:val="nil"/>
              <w:bottom w:val="single" w:sz="4" w:space="0" w:color="auto"/>
              <w:right w:val="single" w:sz="4" w:space="0" w:color="auto"/>
            </w:tcBorders>
            <w:shd w:val="clear" w:color="auto" w:fill="auto"/>
            <w:noWrap/>
            <w:vAlign w:val="bottom"/>
            <w:hideMark/>
          </w:tcPr>
          <w:p w14:paraId="706B132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4,53</w:t>
            </w:r>
          </w:p>
        </w:tc>
        <w:tc>
          <w:tcPr>
            <w:tcW w:w="1138" w:type="dxa"/>
            <w:tcBorders>
              <w:top w:val="nil"/>
              <w:left w:val="nil"/>
              <w:bottom w:val="single" w:sz="4" w:space="0" w:color="auto"/>
              <w:right w:val="single" w:sz="4" w:space="0" w:color="auto"/>
            </w:tcBorders>
            <w:shd w:val="clear" w:color="auto" w:fill="auto"/>
            <w:noWrap/>
            <w:vAlign w:val="bottom"/>
            <w:hideMark/>
          </w:tcPr>
          <w:p w14:paraId="56C9D22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4,73</w:t>
            </w:r>
          </w:p>
        </w:tc>
        <w:tc>
          <w:tcPr>
            <w:tcW w:w="1138" w:type="dxa"/>
            <w:tcBorders>
              <w:top w:val="nil"/>
              <w:left w:val="nil"/>
              <w:bottom w:val="single" w:sz="4" w:space="0" w:color="auto"/>
              <w:right w:val="single" w:sz="4" w:space="0" w:color="auto"/>
            </w:tcBorders>
            <w:shd w:val="clear" w:color="auto" w:fill="auto"/>
            <w:noWrap/>
            <w:vAlign w:val="bottom"/>
            <w:hideMark/>
          </w:tcPr>
          <w:p w14:paraId="178FCAB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4,84</w:t>
            </w:r>
          </w:p>
        </w:tc>
        <w:tc>
          <w:tcPr>
            <w:tcW w:w="1138" w:type="dxa"/>
            <w:tcBorders>
              <w:top w:val="nil"/>
              <w:left w:val="nil"/>
              <w:bottom w:val="single" w:sz="4" w:space="0" w:color="auto"/>
              <w:right w:val="single" w:sz="4" w:space="0" w:color="auto"/>
            </w:tcBorders>
            <w:shd w:val="clear" w:color="auto" w:fill="auto"/>
            <w:noWrap/>
            <w:vAlign w:val="bottom"/>
            <w:hideMark/>
          </w:tcPr>
          <w:p w14:paraId="02603F8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5,44</w:t>
            </w:r>
          </w:p>
        </w:tc>
      </w:tr>
      <w:tr w:rsidR="00BF12D5" w:rsidRPr="00BD0223" w14:paraId="1F9E8D51"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C5E923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INDIAPORA</w:t>
            </w:r>
          </w:p>
        </w:tc>
        <w:tc>
          <w:tcPr>
            <w:tcW w:w="1138" w:type="dxa"/>
            <w:tcBorders>
              <w:top w:val="nil"/>
              <w:left w:val="nil"/>
              <w:bottom w:val="single" w:sz="4" w:space="0" w:color="auto"/>
              <w:right w:val="single" w:sz="4" w:space="0" w:color="auto"/>
            </w:tcBorders>
            <w:shd w:val="clear" w:color="auto" w:fill="auto"/>
            <w:noWrap/>
            <w:vAlign w:val="bottom"/>
            <w:hideMark/>
          </w:tcPr>
          <w:p w14:paraId="731C608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0,41</w:t>
            </w:r>
          </w:p>
        </w:tc>
        <w:tc>
          <w:tcPr>
            <w:tcW w:w="1138" w:type="dxa"/>
            <w:tcBorders>
              <w:top w:val="nil"/>
              <w:left w:val="nil"/>
              <w:bottom w:val="single" w:sz="4" w:space="0" w:color="auto"/>
              <w:right w:val="single" w:sz="4" w:space="0" w:color="auto"/>
            </w:tcBorders>
            <w:shd w:val="clear" w:color="auto" w:fill="auto"/>
            <w:noWrap/>
            <w:vAlign w:val="bottom"/>
            <w:hideMark/>
          </w:tcPr>
          <w:p w14:paraId="22B03AB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0,55</w:t>
            </w:r>
          </w:p>
        </w:tc>
        <w:tc>
          <w:tcPr>
            <w:tcW w:w="1138" w:type="dxa"/>
            <w:tcBorders>
              <w:top w:val="nil"/>
              <w:left w:val="nil"/>
              <w:bottom w:val="single" w:sz="4" w:space="0" w:color="auto"/>
              <w:right w:val="single" w:sz="4" w:space="0" w:color="auto"/>
            </w:tcBorders>
            <w:shd w:val="clear" w:color="auto" w:fill="auto"/>
            <w:noWrap/>
            <w:vAlign w:val="bottom"/>
            <w:hideMark/>
          </w:tcPr>
          <w:p w14:paraId="5DC95B5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0,66</w:t>
            </w:r>
          </w:p>
        </w:tc>
        <w:tc>
          <w:tcPr>
            <w:tcW w:w="1138" w:type="dxa"/>
            <w:tcBorders>
              <w:top w:val="nil"/>
              <w:left w:val="nil"/>
              <w:bottom w:val="single" w:sz="4" w:space="0" w:color="auto"/>
              <w:right w:val="single" w:sz="4" w:space="0" w:color="auto"/>
            </w:tcBorders>
            <w:shd w:val="clear" w:color="auto" w:fill="auto"/>
            <w:noWrap/>
            <w:vAlign w:val="bottom"/>
            <w:hideMark/>
          </w:tcPr>
          <w:p w14:paraId="10C10E4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0,59</w:t>
            </w:r>
          </w:p>
        </w:tc>
        <w:tc>
          <w:tcPr>
            <w:tcW w:w="1138" w:type="dxa"/>
            <w:tcBorders>
              <w:top w:val="nil"/>
              <w:left w:val="nil"/>
              <w:bottom w:val="single" w:sz="4" w:space="0" w:color="auto"/>
              <w:right w:val="single" w:sz="4" w:space="0" w:color="auto"/>
            </w:tcBorders>
            <w:shd w:val="clear" w:color="auto" w:fill="auto"/>
            <w:noWrap/>
            <w:vAlign w:val="bottom"/>
            <w:hideMark/>
          </w:tcPr>
          <w:p w14:paraId="594DFAE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0,59</w:t>
            </w:r>
          </w:p>
        </w:tc>
      </w:tr>
      <w:tr w:rsidR="00BF12D5" w:rsidRPr="00BD0223" w14:paraId="21C442B8"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20A00E6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IPIGUA</w:t>
            </w:r>
          </w:p>
        </w:tc>
        <w:tc>
          <w:tcPr>
            <w:tcW w:w="1138" w:type="dxa"/>
            <w:tcBorders>
              <w:top w:val="nil"/>
              <w:left w:val="nil"/>
              <w:bottom w:val="single" w:sz="4" w:space="0" w:color="auto"/>
              <w:right w:val="single" w:sz="4" w:space="0" w:color="auto"/>
            </w:tcBorders>
            <w:shd w:val="clear" w:color="auto" w:fill="auto"/>
            <w:noWrap/>
            <w:vAlign w:val="bottom"/>
            <w:hideMark/>
          </w:tcPr>
          <w:p w14:paraId="3755652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0,21</w:t>
            </w:r>
          </w:p>
        </w:tc>
        <w:tc>
          <w:tcPr>
            <w:tcW w:w="1138" w:type="dxa"/>
            <w:tcBorders>
              <w:top w:val="nil"/>
              <w:left w:val="nil"/>
              <w:bottom w:val="single" w:sz="4" w:space="0" w:color="auto"/>
              <w:right w:val="single" w:sz="4" w:space="0" w:color="auto"/>
            </w:tcBorders>
            <w:shd w:val="clear" w:color="auto" w:fill="auto"/>
            <w:noWrap/>
            <w:vAlign w:val="bottom"/>
            <w:hideMark/>
          </w:tcPr>
          <w:p w14:paraId="62174E6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0,25</w:t>
            </w:r>
          </w:p>
        </w:tc>
        <w:tc>
          <w:tcPr>
            <w:tcW w:w="1138" w:type="dxa"/>
            <w:tcBorders>
              <w:top w:val="nil"/>
              <w:left w:val="nil"/>
              <w:bottom w:val="single" w:sz="4" w:space="0" w:color="auto"/>
              <w:right w:val="single" w:sz="4" w:space="0" w:color="auto"/>
            </w:tcBorders>
            <w:shd w:val="clear" w:color="auto" w:fill="auto"/>
            <w:noWrap/>
            <w:vAlign w:val="bottom"/>
            <w:hideMark/>
          </w:tcPr>
          <w:p w14:paraId="3328BF0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0,32</w:t>
            </w:r>
          </w:p>
        </w:tc>
        <w:tc>
          <w:tcPr>
            <w:tcW w:w="1138" w:type="dxa"/>
            <w:tcBorders>
              <w:top w:val="nil"/>
              <w:left w:val="nil"/>
              <w:bottom w:val="single" w:sz="4" w:space="0" w:color="auto"/>
              <w:right w:val="single" w:sz="4" w:space="0" w:color="auto"/>
            </w:tcBorders>
            <w:shd w:val="clear" w:color="auto" w:fill="auto"/>
            <w:noWrap/>
            <w:vAlign w:val="bottom"/>
            <w:hideMark/>
          </w:tcPr>
          <w:p w14:paraId="3D3667E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0,31</w:t>
            </w:r>
          </w:p>
        </w:tc>
        <w:tc>
          <w:tcPr>
            <w:tcW w:w="1138" w:type="dxa"/>
            <w:tcBorders>
              <w:top w:val="nil"/>
              <w:left w:val="nil"/>
              <w:bottom w:val="single" w:sz="4" w:space="0" w:color="auto"/>
              <w:right w:val="single" w:sz="4" w:space="0" w:color="auto"/>
            </w:tcBorders>
            <w:shd w:val="clear" w:color="auto" w:fill="auto"/>
            <w:noWrap/>
            <w:vAlign w:val="bottom"/>
            <w:hideMark/>
          </w:tcPr>
          <w:p w14:paraId="6B3D17B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0,34</w:t>
            </w:r>
          </w:p>
        </w:tc>
      </w:tr>
      <w:tr w:rsidR="00BF12D5" w:rsidRPr="00BD0223" w14:paraId="58DD55E8"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14041F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IPUA</w:t>
            </w:r>
          </w:p>
        </w:tc>
        <w:tc>
          <w:tcPr>
            <w:tcW w:w="1138" w:type="dxa"/>
            <w:tcBorders>
              <w:top w:val="nil"/>
              <w:left w:val="nil"/>
              <w:bottom w:val="single" w:sz="4" w:space="0" w:color="auto"/>
              <w:right w:val="single" w:sz="4" w:space="0" w:color="auto"/>
            </w:tcBorders>
            <w:shd w:val="clear" w:color="auto" w:fill="auto"/>
            <w:noWrap/>
            <w:vAlign w:val="bottom"/>
            <w:hideMark/>
          </w:tcPr>
          <w:p w14:paraId="192F989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1,08</w:t>
            </w:r>
          </w:p>
        </w:tc>
        <w:tc>
          <w:tcPr>
            <w:tcW w:w="1138" w:type="dxa"/>
            <w:tcBorders>
              <w:top w:val="nil"/>
              <w:left w:val="nil"/>
              <w:bottom w:val="single" w:sz="4" w:space="0" w:color="auto"/>
              <w:right w:val="single" w:sz="4" w:space="0" w:color="auto"/>
            </w:tcBorders>
            <w:shd w:val="clear" w:color="auto" w:fill="auto"/>
            <w:noWrap/>
            <w:vAlign w:val="bottom"/>
            <w:hideMark/>
          </w:tcPr>
          <w:p w14:paraId="51FEB0D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1,38</w:t>
            </w:r>
          </w:p>
        </w:tc>
        <w:tc>
          <w:tcPr>
            <w:tcW w:w="1138" w:type="dxa"/>
            <w:tcBorders>
              <w:top w:val="nil"/>
              <w:left w:val="nil"/>
              <w:bottom w:val="single" w:sz="4" w:space="0" w:color="auto"/>
              <w:right w:val="single" w:sz="4" w:space="0" w:color="auto"/>
            </w:tcBorders>
            <w:shd w:val="clear" w:color="auto" w:fill="auto"/>
            <w:noWrap/>
            <w:vAlign w:val="bottom"/>
            <w:hideMark/>
          </w:tcPr>
          <w:p w14:paraId="32D37D2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1,38</w:t>
            </w:r>
          </w:p>
        </w:tc>
        <w:tc>
          <w:tcPr>
            <w:tcW w:w="1138" w:type="dxa"/>
            <w:tcBorders>
              <w:top w:val="nil"/>
              <w:left w:val="nil"/>
              <w:bottom w:val="single" w:sz="4" w:space="0" w:color="auto"/>
              <w:right w:val="single" w:sz="4" w:space="0" w:color="auto"/>
            </w:tcBorders>
            <w:shd w:val="clear" w:color="auto" w:fill="auto"/>
            <w:noWrap/>
            <w:vAlign w:val="bottom"/>
            <w:hideMark/>
          </w:tcPr>
          <w:p w14:paraId="76758DD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1,47</w:t>
            </w:r>
          </w:p>
        </w:tc>
        <w:tc>
          <w:tcPr>
            <w:tcW w:w="1138" w:type="dxa"/>
            <w:tcBorders>
              <w:top w:val="nil"/>
              <w:left w:val="nil"/>
              <w:bottom w:val="single" w:sz="4" w:space="0" w:color="auto"/>
              <w:right w:val="single" w:sz="4" w:space="0" w:color="auto"/>
            </w:tcBorders>
            <w:shd w:val="clear" w:color="auto" w:fill="auto"/>
            <w:noWrap/>
            <w:vAlign w:val="bottom"/>
            <w:hideMark/>
          </w:tcPr>
          <w:p w14:paraId="16D0872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1,70</w:t>
            </w:r>
          </w:p>
        </w:tc>
      </w:tr>
      <w:tr w:rsidR="00BF12D5" w:rsidRPr="00BD0223" w14:paraId="5E794045"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E35795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IRAPUA</w:t>
            </w:r>
          </w:p>
        </w:tc>
        <w:tc>
          <w:tcPr>
            <w:tcW w:w="1138" w:type="dxa"/>
            <w:tcBorders>
              <w:top w:val="nil"/>
              <w:left w:val="nil"/>
              <w:bottom w:val="single" w:sz="4" w:space="0" w:color="auto"/>
              <w:right w:val="single" w:sz="4" w:space="0" w:color="auto"/>
            </w:tcBorders>
            <w:shd w:val="clear" w:color="auto" w:fill="auto"/>
            <w:noWrap/>
            <w:vAlign w:val="bottom"/>
            <w:hideMark/>
          </w:tcPr>
          <w:p w14:paraId="247D43E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0,72</w:t>
            </w:r>
          </w:p>
        </w:tc>
        <w:tc>
          <w:tcPr>
            <w:tcW w:w="1138" w:type="dxa"/>
            <w:tcBorders>
              <w:top w:val="nil"/>
              <w:left w:val="nil"/>
              <w:bottom w:val="single" w:sz="4" w:space="0" w:color="auto"/>
              <w:right w:val="single" w:sz="4" w:space="0" w:color="auto"/>
            </w:tcBorders>
            <w:shd w:val="clear" w:color="auto" w:fill="auto"/>
            <w:noWrap/>
            <w:vAlign w:val="bottom"/>
            <w:hideMark/>
          </w:tcPr>
          <w:p w14:paraId="74A265A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0,96</w:t>
            </w:r>
          </w:p>
        </w:tc>
        <w:tc>
          <w:tcPr>
            <w:tcW w:w="1138" w:type="dxa"/>
            <w:tcBorders>
              <w:top w:val="nil"/>
              <w:left w:val="nil"/>
              <w:bottom w:val="single" w:sz="4" w:space="0" w:color="auto"/>
              <w:right w:val="single" w:sz="4" w:space="0" w:color="auto"/>
            </w:tcBorders>
            <w:shd w:val="clear" w:color="auto" w:fill="auto"/>
            <w:noWrap/>
            <w:vAlign w:val="bottom"/>
            <w:hideMark/>
          </w:tcPr>
          <w:p w14:paraId="1521CF9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0,96</w:t>
            </w:r>
          </w:p>
        </w:tc>
        <w:tc>
          <w:tcPr>
            <w:tcW w:w="1138" w:type="dxa"/>
            <w:tcBorders>
              <w:top w:val="nil"/>
              <w:left w:val="nil"/>
              <w:bottom w:val="single" w:sz="4" w:space="0" w:color="auto"/>
              <w:right w:val="single" w:sz="4" w:space="0" w:color="auto"/>
            </w:tcBorders>
            <w:shd w:val="clear" w:color="auto" w:fill="auto"/>
            <w:noWrap/>
            <w:vAlign w:val="bottom"/>
            <w:hideMark/>
          </w:tcPr>
          <w:p w14:paraId="4D25C8A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0,87</w:t>
            </w:r>
          </w:p>
        </w:tc>
        <w:tc>
          <w:tcPr>
            <w:tcW w:w="1138" w:type="dxa"/>
            <w:tcBorders>
              <w:top w:val="nil"/>
              <w:left w:val="nil"/>
              <w:bottom w:val="single" w:sz="4" w:space="0" w:color="auto"/>
              <w:right w:val="single" w:sz="4" w:space="0" w:color="auto"/>
            </w:tcBorders>
            <w:shd w:val="clear" w:color="auto" w:fill="auto"/>
            <w:noWrap/>
            <w:vAlign w:val="bottom"/>
            <w:hideMark/>
          </w:tcPr>
          <w:p w14:paraId="3D9028C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0,93</w:t>
            </w:r>
          </w:p>
        </w:tc>
      </w:tr>
      <w:tr w:rsidR="00BF12D5" w:rsidRPr="00BD0223" w14:paraId="0A8716FB"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CA3791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ITAJOBI</w:t>
            </w:r>
          </w:p>
        </w:tc>
        <w:tc>
          <w:tcPr>
            <w:tcW w:w="1138" w:type="dxa"/>
            <w:tcBorders>
              <w:top w:val="nil"/>
              <w:left w:val="nil"/>
              <w:bottom w:val="single" w:sz="4" w:space="0" w:color="auto"/>
              <w:right w:val="single" w:sz="4" w:space="0" w:color="auto"/>
            </w:tcBorders>
            <w:shd w:val="clear" w:color="auto" w:fill="auto"/>
            <w:noWrap/>
            <w:vAlign w:val="bottom"/>
            <w:hideMark/>
          </w:tcPr>
          <w:p w14:paraId="566897D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1,36</w:t>
            </w:r>
          </w:p>
        </w:tc>
        <w:tc>
          <w:tcPr>
            <w:tcW w:w="1138" w:type="dxa"/>
            <w:tcBorders>
              <w:top w:val="nil"/>
              <w:left w:val="nil"/>
              <w:bottom w:val="single" w:sz="4" w:space="0" w:color="auto"/>
              <w:right w:val="single" w:sz="4" w:space="0" w:color="auto"/>
            </w:tcBorders>
            <w:shd w:val="clear" w:color="auto" w:fill="auto"/>
            <w:noWrap/>
            <w:vAlign w:val="bottom"/>
            <w:hideMark/>
          </w:tcPr>
          <w:p w14:paraId="0596913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1,80</w:t>
            </w:r>
          </w:p>
        </w:tc>
        <w:tc>
          <w:tcPr>
            <w:tcW w:w="1138" w:type="dxa"/>
            <w:tcBorders>
              <w:top w:val="nil"/>
              <w:left w:val="nil"/>
              <w:bottom w:val="single" w:sz="4" w:space="0" w:color="auto"/>
              <w:right w:val="single" w:sz="4" w:space="0" w:color="auto"/>
            </w:tcBorders>
            <w:shd w:val="clear" w:color="auto" w:fill="auto"/>
            <w:noWrap/>
            <w:vAlign w:val="bottom"/>
            <w:hideMark/>
          </w:tcPr>
          <w:p w14:paraId="7C4CB61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2,11</w:t>
            </w:r>
          </w:p>
        </w:tc>
        <w:tc>
          <w:tcPr>
            <w:tcW w:w="1138" w:type="dxa"/>
            <w:tcBorders>
              <w:top w:val="nil"/>
              <w:left w:val="nil"/>
              <w:bottom w:val="single" w:sz="4" w:space="0" w:color="auto"/>
              <w:right w:val="single" w:sz="4" w:space="0" w:color="auto"/>
            </w:tcBorders>
            <w:shd w:val="clear" w:color="auto" w:fill="auto"/>
            <w:noWrap/>
            <w:vAlign w:val="bottom"/>
            <w:hideMark/>
          </w:tcPr>
          <w:p w14:paraId="25F2F13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2,09</w:t>
            </w:r>
          </w:p>
        </w:tc>
        <w:tc>
          <w:tcPr>
            <w:tcW w:w="1138" w:type="dxa"/>
            <w:tcBorders>
              <w:top w:val="nil"/>
              <w:left w:val="nil"/>
              <w:bottom w:val="single" w:sz="4" w:space="0" w:color="auto"/>
              <w:right w:val="single" w:sz="4" w:space="0" w:color="auto"/>
            </w:tcBorders>
            <w:shd w:val="clear" w:color="auto" w:fill="auto"/>
            <w:noWrap/>
            <w:vAlign w:val="bottom"/>
            <w:hideMark/>
          </w:tcPr>
          <w:p w14:paraId="741CA8D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2,24</w:t>
            </w:r>
          </w:p>
        </w:tc>
      </w:tr>
      <w:tr w:rsidR="00BF12D5" w:rsidRPr="00BD0223" w14:paraId="0AFBDB52"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B8955D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ITIRAPUA</w:t>
            </w:r>
          </w:p>
        </w:tc>
        <w:tc>
          <w:tcPr>
            <w:tcW w:w="1138" w:type="dxa"/>
            <w:tcBorders>
              <w:top w:val="nil"/>
              <w:left w:val="nil"/>
              <w:bottom w:val="single" w:sz="4" w:space="0" w:color="auto"/>
              <w:right w:val="single" w:sz="4" w:space="0" w:color="auto"/>
            </w:tcBorders>
            <w:shd w:val="clear" w:color="auto" w:fill="auto"/>
            <w:noWrap/>
            <w:vAlign w:val="bottom"/>
            <w:hideMark/>
          </w:tcPr>
          <w:p w14:paraId="5EAF6EA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0,31</w:t>
            </w:r>
          </w:p>
        </w:tc>
        <w:tc>
          <w:tcPr>
            <w:tcW w:w="1138" w:type="dxa"/>
            <w:tcBorders>
              <w:top w:val="nil"/>
              <w:left w:val="nil"/>
              <w:bottom w:val="single" w:sz="4" w:space="0" w:color="auto"/>
              <w:right w:val="single" w:sz="4" w:space="0" w:color="auto"/>
            </w:tcBorders>
            <w:shd w:val="clear" w:color="auto" w:fill="auto"/>
            <w:noWrap/>
            <w:vAlign w:val="bottom"/>
            <w:hideMark/>
          </w:tcPr>
          <w:p w14:paraId="0B34CA3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0,72</w:t>
            </w:r>
          </w:p>
        </w:tc>
        <w:tc>
          <w:tcPr>
            <w:tcW w:w="1138" w:type="dxa"/>
            <w:tcBorders>
              <w:top w:val="nil"/>
              <w:left w:val="nil"/>
              <w:bottom w:val="single" w:sz="4" w:space="0" w:color="auto"/>
              <w:right w:val="single" w:sz="4" w:space="0" w:color="auto"/>
            </w:tcBorders>
            <w:shd w:val="clear" w:color="auto" w:fill="auto"/>
            <w:noWrap/>
            <w:vAlign w:val="bottom"/>
            <w:hideMark/>
          </w:tcPr>
          <w:p w14:paraId="033EA01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0,84</w:t>
            </w:r>
          </w:p>
        </w:tc>
        <w:tc>
          <w:tcPr>
            <w:tcW w:w="1138" w:type="dxa"/>
            <w:tcBorders>
              <w:top w:val="nil"/>
              <w:left w:val="nil"/>
              <w:bottom w:val="single" w:sz="4" w:space="0" w:color="auto"/>
              <w:right w:val="single" w:sz="4" w:space="0" w:color="auto"/>
            </w:tcBorders>
            <w:shd w:val="clear" w:color="auto" w:fill="auto"/>
            <w:noWrap/>
            <w:vAlign w:val="bottom"/>
            <w:hideMark/>
          </w:tcPr>
          <w:p w14:paraId="14911CE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0,83</w:t>
            </w:r>
          </w:p>
        </w:tc>
        <w:tc>
          <w:tcPr>
            <w:tcW w:w="1138" w:type="dxa"/>
            <w:tcBorders>
              <w:top w:val="nil"/>
              <w:left w:val="nil"/>
              <w:bottom w:val="single" w:sz="4" w:space="0" w:color="auto"/>
              <w:right w:val="single" w:sz="4" w:space="0" w:color="auto"/>
            </w:tcBorders>
            <w:shd w:val="clear" w:color="auto" w:fill="auto"/>
            <w:noWrap/>
            <w:vAlign w:val="bottom"/>
            <w:hideMark/>
          </w:tcPr>
          <w:p w14:paraId="1E0D9AE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0,87</w:t>
            </w:r>
          </w:p>
        </w:tc>
      </w:tr>
      <w:tr w:rsidR="00BF12D5" w:rsidRPr="00BD0223" w14:paraId="34E0A180"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B199EF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ITUVERAVA</w:t>
            </w:r>
          </w:p>
        </w:tc>
        <w:tc>
          <w:tcPr>
            <w:tcW w:w="1138" w:type="dxa"/>
            <w:tcBorders>
              <w:top w:val="nil"/>
              <w:left w:val="nil"/>
              <w:bottom w:val="single" w:sz="4" w:space="0" w:color="auto"/>
              <w:right w:val="single" w:sz="4" w:space="0" w:color="auto"/>
            </w:tcBorders>
            <w:shd w:val="clear" w:color="auto" w:fill="auto"/>
            <w:noWrap/>
            <w:vAlign w:val="bottom"/>
            <w:hideMark/>
          </w:tcPr>
          <w:p w14:paraId="20F57E0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4,95</w:t>
            </w:r>
          </w:p>
        </w:tc>
        <w:tc>
          <w:tcPr>
            <w:tcW w:w="1138" w:type="dxa"/>
            <w:tcBorders>
              <w:top w:val="nil"/>
              <w:left w:val="nil"/>
              <w:bottom w:val="single" w:sz="4" w:space="0" w:color="auto"/>
              <w:right w:val="single" w:sz="4" w:space="0" w:color="auto"/>
            </w:tcBorders>
            <w:shd w:val="clear" w:color="auto" w:fill="auto"/>
            <w:noWrap/>
            <w:vAlign w:val="bottom"/>
            <w:hideMark/>
          </w:tcPr>
          <w:p w14:paraId="04F14AE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6,72</w:t>
            </w:r>
          </w:p>
        </w:tc>
        <w:tc>
          <w:tcPr>
            <w:tcW w:w="1138" w:type="dxa"/>
            <w:tcBorders>
              <w:top w:val="nil"/>
              <w:left w:val="nil"/>
              <w:bottom w:val="single" w:sz="4" w:space="0" w:color="auto"/>
              <w:right w:val="single" w:sz="4" w:space="0" w:color="auto"/>
            </w:tcBorders>
            <w:shd w:val="clear" w:color="auto" w:fill="auto"/>
            <w:noWrap/>
            <w:vAlign w:val="bottom"/>
            <w:hideMark/>
          </w:tcPr>
          <w:p w14:paraId="37D46B9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6,72</w:t>
            </w:r>
          </w:p>
        </w:tc>
        <w:tc>
          <w:tcPr>
            <w:tcW w:w="1138" w:type="dxa"/>
            <w:tcBorders>
              <w:top w:val="nil"/>
              <w:left w:val="nil"/>
              <w:bottom w:val="single" w:sz="4" w:space="0" w:color="auto"/>
              <w:right w:val="single" w:sz="4" w:space="0" w:color="auto"/>
            </w:tcBorders>
            <w:shd w:val="clear" w:color="auto" w:fill="auto"/>
            <w:noWrap/>
            <w:vAlign w:val="bottom"/>
            <w:hideMark/>
          </w:tcPr>
          <w:p w14:paraId="6B31807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6,69</w:t>
            </w:r>
          </w:p>
        </w:tc>
        <w:tc>
          <w:tcPr>
            <w:tcW w:w="1138" w:type="dxa"/>
            <w:tcBorders>
              <w:top w:val="nil"/>
              <w:left w:val="nil"/>
              <w:bottom w:val="single" w:sz="4" w:space="0" w:color="auto"/>
              <w:right w:val="single" w:sz="4" w:space="0" w:color="auto"/>
            </w:tcBorders>
            <w:shd w:val="clear" w:color="auto" w:fill="auto"/>
            <w:noWrap/>
            <w:vAlign w:val="bottom"/>
            <w:hideMark/>
          </w:tcPr>
          <w:p w14:paraId="651A169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7,43</w:t>
            </w:r>
          </w:p>
        </w:tc>
      </w:tr>
      <w:tr w:rsidR="00BF12D5" w:rsidRPr="00BD0223" w14:paraId="07D206DC"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28A089C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JABORANDI</w:t>
            </w:r>
          </w:p>
        </w:tc>
        <w:tc>
          <w:tcPr>
            <w:tcW w:w="1138" w:type="dxa"/>
            <w:tcBorders>
              <w:top w:val="nil"/>
              <w:left w:val="nil"/>
              <w:bottom w:val="single" w:sz="4" w:space="0" w:color="auto"/>
              <w:right w:val="single" w:sz="4" w:space="0" w:color="auto"/>
            </w:tcBorders>
            <w:shd w:val="clear" w:color="auto" w:fill="auto"/>
            <w:noWrap/>
            <w:vAlign w:val="bottom"/>
            <w:hideMark/>
          </w:tcPr>
          <w:p w14:paraId="31D1C4A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0,46</w:t>
            </w:r>
          </w:p>
        </w:tc>
        <w:tc>
          <w:tcPr>
            <w:tcW w:w="1138" w:type="dxa"/>
            <w:tcBorders>
              <w:top w:val="nil"/>
              <w:left w:val="nil"/>
              <w:bottom w:val="single" w:sz="4" w:space="0" w:color="auto"/>
              <w:right w:val="single" w:sz="4" w:space="0" w:color="auto"/>
            </w:tcBorders>
            <w:shd w:val="clear" w:color="auto" w:fill="auto"/>
            <w:noWrap/>
            <w:vAlign w:val="bottom"/>
            <w:hideMark/>
          </w:tcPr>
          <w:p w14:paraId="5771E0B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0,61</w:t>
            </w:r>
          </w:p>
        </w:tc>
        <w:tc>
          <w:tcPr>
            <w:tcW w:w="1138" w:type="dxa"/>
            <w:tcBorders>
              <w:top w:val="nil"/>
              <w:left w:val="nil"/>
              <w:bottom w:val="single" w:sz="4" w:space="0" w:color="auto"/>
              <w:right w:val="single" w:sz="4" w:space="0" w:color="auto"/>
            </w:tcBorders>
            <w:shd w:val="clear" w:color="auto" w:fill="auto"/>
            <w:noWrap/>
            <w:vAlign w:val="bottom"/>
            <w:hideMark/>
          </w:tcPr>
          <w:p w14:paraId="46C74A4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0,68</w:t>
            </w:r>
          </w:p>
        </w:tc>
        <w:tc>
          <w:tcPr>
            <w:tcW w:w="1138" w:type="dxa"/>
            <w:tcBorders>
              <w:top w:val="nil"/>
              <w:left w:val="nil"/>
              <w:bottom w:val="single" w:sz="4" w:space="0" w:color="auto"/>
              <w:right w:val="single" w:sz="4" w:space="0" w:color="auto"/>
            </w:tcBorders>
            <w:shd w:val="clear" w:color="auto" w:fill="auto"/>
            <w:noWrap/>
            <w:vAlign w:val="bottom"/>
            <w:hideMark/>
          </w:tcPr>
          <w:p w14:paraId="6678CE7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0,67</w:t>
            </w:r>
          </w:p>
        </w:tc>
        <w:tc>
          <w:tcPr>
            <w:tcW w:w="1138" w:type="dxa"/>
            <w:tcBorders>
              <w:top w:val="nil"/>
              <w:left w:val="nil"/>
              <w:bottom w:val="single" w:sz="4" w:space="0" w:color="auto"/>
              <w:right w:val="single" w:sz="4" w:space="0" w:color="auto"/>
            </w:tcBorders>
            <w:shd w:val="clear" w:color="auto" w:fill="auto"/>
            <w:noWrap/>
            <w:vAlign w:val="bottom"/>
            <w:hideMark/>
          </w:tcPr>
          <w:p w14:paraId="4396B60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0,74</w:t>
            </w:r>
          </w:p>
        </w:tc>
      </w:tr>
      <w:tr w:rsidR="00BF12D5" w:rsidRPr="00BD0223" w14:paraId="60D6621C"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F5DD10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JABOTICABAL</w:t>
            </w:r>
          </w:p>
        </w:tc>
        <w:tc>
          <w:tcPr>
            <w:tcW w:w="1138" w:type="dxa"/>
            <w:tcBorders>
              <w:top w:val="nil"/>
              <w:left w:val="nil"/>
              <w:bottom w:val="single" w:sz="4" w:space="0" w:color="auto"/>
              <w:right w:val="single" w:sz="4" w:space="0" w:color="auto"/>
            </w:tcBorders>
            <w:shd w:val="clear" w:color="auto" w:fill="auto"/>
            <w:noWrap/>
            <w:vAlign w:val="bottom"/>
            <w:hideMark/>
          </w:tcPr>
          <w:p w14:paraId="6D27FE3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9,88</w:t>
            </w:r>
          </w:p>
        </w:tc>
        <w:tc>
          <w:tcPr>
            <w:tcW w:w="1138" w:type="dxa"/>
            <w:tcBorders>
              <w:top w:val="nil"/>
              <w:left w:val="nil"/>
              <w:bottom w:val="single" w:sz="4" w:space="0" w:color="auto"/>
              <w:right w:val="single" w:sz="4" w:space="0" w:color="auto"/>
            </w:tcBorders>
            <w:shd w:val="clear" w:color="auto" w:fill="auto"/>
            <w:noWrap/>
            <w:vAlign w:val="bottom"/>
            <w:hideMark/>
          </w:tcPr>
          <w:p w14:paraId="3250383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13,35</w:t>
            </w:r>
          </w:p>
        </w:tc>
        <w:tc>
          <w:tcPr>
            <w:tcW w:w="1138" w:type="dxa"/>
            <w:tcBorders>
              <w:top w:val="nil"/>
              <w:left w:val="nil"/>
              <w:bottom w:val="single" w:sz="4" w:space="0" w:color="auto"/>
              <w:right w:val="single" w:sz="4" w:space="0" w:color="auto"/>
            </w:tcBorders>
            <w:shd w:val="clear" w:color="auto" w:fill="auto"/>
            <w:noWrap/>
            <w:vAlign w:val="bottom"/>
            <w:hideMark/>
          </w:tcPr>
          <w:p w14:paraId="4A8913F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13,24</w:t>
            </w:r>
          </w:p>
        </w:tc>
        <w:tc>
          <w:tcPr>
            <w:tcW w:w="1138" w:type="dxa"/>
            <w:tcBorders>
              <w:top w:val="nil"/>
              <w:left w:val="nil"/>
              <w:bottom w:val="single" w:sz="4" w:space="0" w:color="auto"/>
              <w:right w:val="single" w:sz="4" w:space="0" w:color="auto"/>
            </w:tcBorders>
            <w:shd w:val="clear" w:color="auto" w:fill="auto"/>
            <w:noWrap/>
            <w:vAlign w:val="bottom"/>
            <w:hideMark/>
          </w:tcPr>
          <w:p w14:paraId="07CF7B8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14,68</w:t>
            </w:r>
          </w:p>
        </w:tc>
        <w:tc>
          <w:tcPr>
            <w:tcW w:w="1138" w:type="dxa"/>
            <w:tcBorders>
              <w:top w:val="nil"/>
              <w:left w:val="nil"/>
              <w:bottom w:val="single" w:sz="4" w:space="0" w:color="auto"/>
              <w:right w:val="single" w:sz="4" w:space="0" w:color="auto"/>
            </w:tcBorders>
            <w:shd w:val="clear" w:color="auto" w:fill="auto"/>
            <w:noWrap/>
            <w:vAlign w:val="bottom"/>
            <w:hideMark/>
          </w:tcPr>
          <w:p w14:paraId="3DC244C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14,34</w:t>
            </w:r>
          </w:p>
        </w:tc>
      </w:tr>
      <w:tr w:rsidR="00BF12D5" w:rsidRPr="00BD0223" w14:paraId="2AF11C50"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B7EACC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JACI</w:t>
            </w:r>
          </w:p>
        </w:tc>
        <w:tc>
          <w:tcPr>
            <w:tcW w:w="1138" w:type="dxa"/>
            <w:tcBorders>
              <w:top w:val="nil"/>
              <w:left w:val="nil"/>
              <w:bottom w:val="single" w:sz="4" w:space="0" w:color="auto"/>
              <w:right w:val="single" w:sz="4" w:space="0" w:color="auto"/>
            </w:tcBorders>
            <w:shd w:val="clear" w:color="auto" w:fill="auto"/>
            <w:noWrap/>
            <w:vAlign w:val="bottom"/>
            <w:hideMark/>
          </w:tcPr>
          <w:p w14:paraId="65B6471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0,74</w:t>
            </w:r>
          </w:p>
        </w:tc>
        <w:tc>
          <w:tcPr>
            <w:tcW w:w="1138" w:type="dxa"/>
            <w:tcBorders>
              <w:top w:val="nil"/>
              <w:left w:val="nil"/>
              <w:bottom w:val="single" w:sz="4" w:space="0" w:color="auto"/>
              <w:right w:val="single" w:sz="4" w:space="0" w:color="auto"/>
            </w:tcBorders>
            <w:shd w:val="clear" w:color="auto" w:fill="auto"/>
            <w:noWrap/>
            <w:vAlign w:val="bottom"/>
            <w:hideMark/>
          </w:tcPr>
          <w:p w14:paraId="1CD3566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1,08</w:t>
            </w:r>
          </w:p>
        </w:tc>
        <w:tc>
          <w:tcPr>
            <w:tcW w:w="1138" w:type="dxa"/>
            <w:tcBorders>
              <w:top w:val="nil"/>
              <w:left w:val="nil"/>
              <w:bottom w:val="single" w:sz="4" w:space="0" w:color="auto"/>
              <w:right w:val="single" w:sz="4" w:space="0" w:color="auto"/>
            </w:tcBorders>
            <w:shd w:val="clear" w:color="auto" w:fill="auto"/>
            <w:noWrap/>
            <w:vAlign w:val="bottom"/>
            <w:hideMark/>
          </w:tcPr>
          <w:p w14:paraId="72A603E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1,26</w:t>
            </w:r>
          </w:p>
        </w:tc>
        <w:tc>
          <w:tcPr>
            <w:tcW w:w="1138" w:type="dxa"/>
            <w:tcBorders>
              <w:top w:val="nil"/>
              <w:left w:val="nil"/>
              <w:bottom w:val="single" w:sz="4" w:space="0" w:color="auto"/>
              <w:right w:val="single" w:sz="4" w:space="0" w:color="auto"/>
            </w:tcBorders>
            <w:shd w:val="clear" w:color="auto" w:fill="auto"/>
            <w:noWrap/>
            <w:vAlign w:val="bottom"/>
            <w:hideMark/>
          </w:tcPr>
          <w:p w14:paraId="65F0C35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1,21</w:t>
            </w:r>
          </w:p>
        </w:tc>
        <w:tc>
          <w:tcPr>
            <w:tcW w:w="1138" w:type="dxa"/>
            <w:tcBorders>
              <w:top w:val="nil"/>
              <w:left w:val="nil"/>
              <w:bottom w:val="single" w:sz="4" w:space="0" w:color="auto"/>
              <w:right w:val="single" w:sz="4" w:space="0" w:color="auto"/>
            </w:tcBorders>
            <w:shd w:val="clear" w:color="auto" w:fill="auto"/>
            <w:noWrap/>
            <w:vAlign w:val="bottom"/>
            <w:hideMark/>
          </w:tcPr>
          <w:p w14:paraId="60835F6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1,24</w:t>
            </w:r>
          </w:p>
        </w:tc>
      </w:tr>
      <w:tr w:rsidR="00BF12D5" w:rsidRPr="00BD0223" w14:paraId="298683AE"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ED7ED9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JALES</w:t>
            </w:r>
          </w:p>
        </w:tc>
        <w:tc>
          <w:tcPr>
            <w:tcW w:w="1138" w:type="dxa"/>
            <w:tcBorders>
              <w:top w:val="nil"/>
              <w:left w:val="nil"/>
              <w:bottom w:val="single" w:sz="4" w:space="0" w:color="auto"/>
              <w:right w:val="single" w:sz="4" w:space="0" w:color="auto"/>
            </w:tcBorders>
            <w:shd w:val="clear" w:color="auto" w:fill="auto"/>
            <w:noWrap/>
            <w:vAlign w:val="bottom"/>
            <w:hideMark/>
          </w:tcPr>
          <w:p w14:paraId="3CC3CE5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8,84</w:t>
            </w:r>
          </w:p>
        </w:tc>
        <w:tc>
          <w:tcPr>
            <w:tcW w:w="1138" w:type="dxa"/>
            <w:tcBorders>
              <w:top w:val="nil"/>
              <w:left w:val="nil"/>
              <w:bottom w:val="single" w:sz="4" w:space="0" w:color="auto"/>
              <w:right w:val="single" w:sz="4" w:space="0" w:color="auto"/>
            </w:tcBorders>
            <w:shd w:val="clear" w:color="auto" w:fill="auto"/>
            <w:noWrap/>
            <w:vAlign w:val="bottom"/>
            <w:hideMark/>
          </w:tcPr>
          <w:p w14:paraId="3ECEE67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11,27</w:t>
            </w:r>
          </w:p>
        </w:tc>
        <w:tc>
          <w:tcPr>
            <w:tcW w:w="1138" w:type="dxa"/>
            <w:tcBorders>
              <w:top w:val="nil"/>
              <w:left w:val="nil"/>
              <w:bottom w:val="single" w:sz="4" w:space="0" w:color="auto"/>
              <w:right w:val="single" w:sz="4" w:space="0" w:color="auto"/>
            </w:tcBorders>
            <w:shd w:val="clear" w:color="auto" w:fill="auto"/>
            <w:noWrap/>
            <w:vAlign w:val="bottom"/>
            <w:hideMark/>
          </w:tcPr>
          <w:p w14:paraId="226B884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11,70</w:t>
            </w:r>
          </w:p>
        </w:tc>
        <w:tc>
          <w:tcPr>
            <w:tcW w:w="1138" w:type="dxa"/>
            <w:tcBorders>
              <w:top w:val="nil"/>
              <w:left w:val="nil"/>
              <w:bottom w:val="single" w:sz="4" w:space="0" w:color="auto"/>
              <w:right w:val="single" w:sz="4" w:space="0" w:color="auto"/>
            </w:tcBorders>
            <w:shd w:val="clear" w:color="auto" w:fill="auto"/>
            <w:noWrap/>
            <w:vAlign w:val="bottom"/>
            <w:hideMark/>
          </w:tcPr>
          <w:p w14:paraId="1257854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11,71</w:t>
            </w:r>
          </w:p>
        </w:tc>
        <w:tc>
          <w:tcPr>
            <w:tcW w:w="1138" w:type="dxa"/>
            <w:tcBorders>
              <w:top w:val="nil"/>
              <w:left w:val="nil"/>
              <w:bottom w:val="single" w:sz="4" w:space="0" w:color="auto"/>
              <w:right w:val="single" w:sz="4" w:space="0" w:color="auto"/>
            </w:tcBorders>
            <w:shd w:val="clear" w:color="auto" w:fill="auto"/>
            <w:noWrap/>
            <w:vAlign w:val="bottom"/>
            <w:hideMark/>
          </w:tcPr>
          <w:p w14:paraId="42A0AFD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11,67</w:t>
            </w:r>
          </w:p>
        </w:tc>
      </w:tr>
      <w:tr w:rsidR="00BF12D5" w:rsidRPr="00BD0223" w14:paraId="5AB83924"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2876630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JARDINOPOLIS</w:t>
            </w:r>
          </w:p>
        </w:tc>
        <w:tc>
          <w:tcPr>
            <w:tcW w:w="1138" w:type="dxa"/>
            <w:tcBorders>
              <w:top w:val="nil"/>
              <w:left w:val="nil"/>
              <w:bottom w:val="single" w:sz="4" w:space="0" w:color="auto"/>
              <w:right w:val="single" w:sz="4" w:space="0" w:color="auto"/>
            </w:tcBorders>
            <w:shd w:val="clear" w:color="auto" w:fill="auto"/>
            <w:noWrap/>
            <w:vAlign w:val="bottom"/>
            <w:hideMark/>
          </w:tcPr>
          <w:p w14:paraId="60C1116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3,37</w:t>
            </w:r>
          </w:p>
        </w:tc>
        <w:tc>
          <w:tcPr>
            <w:tcW w:w="1138" w:type="dxa"/>
            <w:tcBorders>
              <w:top w:val="nil"/>
              <w:left w:val="nil"/>
              <w:bottom w:val="single" w:sz="4" w:space="0" w:color="auto"/>
              <w:right w:val="single" w:sz="4" w:space="0" w:color="auto"/>
            </w:tcBorders>
            <w:shd w:val="clear" w:color="auto" w:fill="auto"/>
            <w:noWrap/>
            <w:vAlign w:val="bottom"/>
            <w:hideMark/>
          </w:tcPr>
          <w:p w14:paraId="69C66A4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5,47</w:t>
            </w:r>
          </w:p>
        </w:tc>
        <w:tc>
          <w:tcPr>
            <w:tcW w:w="1138" w:type="dxa"/>
            <w:tcBorders>
              <w:top w:val="nil"/>
              <w:left w:val="nil"/>
              <w:bottom w:val="single" w:sz="4" w:space="0" w:color="auto"/>
              <w:right w:val="single" w:sz="4" w:space="0" w:color="auto"/>
            </w:tcBorders>
            <w:shd w:val="clear" w:color="auto" w:fill="auto"/>
            <w:noWrap/>
            <w:vAlign w:val="bottom"/>
            <w:hideMark/>
          </w:tcPr>
          <w:p w14:paraId="7BE8CE6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6,69</w:t>
            </w:r>
          </w:p>
        </w:tc>
        <w:tc>
          <w:tcPr>
            <w:tcW w:w="1138" w:type="dxa"/>
            <w:tcBorders>
              <w:top w:val="nil"/>
              <w:left w:val="nil"/>
              <w:bottom w:val="single" w:sz="4" w:space="0" w:color="auto"/>
              <w:right w:val="single" w:sz="4" w:space="0" w:color="auto"/>
            </w:tcBorders>
            <w:shd w:val="clear" w:color="auto" w:fill="auto"/>
            <w:noWrap/>
            <w:vAlign w:val="bottom"/>
            <w:hideMark/>
          </w:tcPr>
          <w:p w14:paraId="2D44569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7,51</w:t>
            </w:r>
          </w:p>
        </w:tc>
        <w:tc>
          <w:tcPr>
            <w:tcW w:w="1138" w:type="dxa"/>
            <w:tcBorders>
              <w:top w:val="nil"/>
              <w:left w:val="nil"/>
              <w:bottom w:val="single" w:sz="4" w:space="0" w:color="auto"/>
              <w:right w:val="single" w:sz="4" w:space="0" w:color="auto"/>
            </w:tcBorders>
            <w:shd w:val="clear" w:color="auto" w:fill="auto"/>
            <w:noWrap/>
            <w:vAlign w:val="bottom"/>
            <w:hideMark/>
          </w:tcPr>
          <w:p w14:paraId="31BA7F7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9,13</w:t>
            </w:r>
          </w:p>
        </w:tc>
      </w:tr>
      <w:tr w:rsidR="00BF12D5" w:rsidRPr="00BD0223" w14:paraId="4EF34ED4"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874F62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JERIQUARA</w:t>
            </w:r>
          </w:p>
        </w:tc>
        <w:tc>
          <w:tcPr>
            <w:tcW w:w="1138" w:type="dxa"/>
            <w:tcBorders>
              <w:top w:val="nil"/>
              <w:left w:val="nil"/>
              <w:bottom w:val="single" w:sz="4" w:space="0" w:color="auto"/>
              <w:right w:val="single" w:sz="4" w:space="0" w:color="auto"/>
            </w:tcBorders>
            <w:shd w:val="clear" w:color="auto" w:fill="auto"/>
            <w:noWrap/>
            <w:vAlign w:val="bottom"/>
            <w:hideMark/>
          </w:tcPr>
          <w:p w14:paraId="6A148C2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0,28</w:t>
            </w:r>
          </w:p>
        </w:tc>
        <w:tc>
          <w:tcPr>
            <w:tcW w:w="1138" w:type="dxa"/>
            <w:tcBorders>
              <w:top w:val="nil"/>
              <w:left w:val="nil"/>
              <w:bottom w:val="single" w:sz="4" w:space="0" w:color="auto"/>
              <w:right w:val="single" w:sz="4" w:space="0" w:color="auto"/>
            </w:tcBorders>
            <w:shd w:val="clear" w:color="auto" w:fill="auto"/>
            <w:noWrap/>
            <w:vAlign w:val="bottom"/>
            <w:hideMark/>
          </w:tcPr>
          <w:p w14:paraId="3151F81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0,41</w:t>
            </w:r>
          </w:p>
        </w:tc>
        <w:tc>
          <w:tcPr>
            <w:tcW w:w="1138" w:type="dxa"/>
            <w:tcBorders>
              <w:top w:val="nil"/>
              <w:left w:val="nil"/>
              <w:bottom w:val="single" w:sz="4" w:space="0" w:color="auto"/>
              <w:right w:val="single" w:sz="4" w:space="0" w:color="auto"/>
            </w:tcBorders>
            <w:shd w:val="clear" w:color="auto" w:fill="auto"/>
            <w:noWrap/>
            <w:vAlign w:val="bottom"/>
            <w:hideMark/>
          </w:tcPr>
          <w:p w14:paraId="30A7FD4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0,45</w:t>
            </w:r>
          </w:p>
        </w:tc>
        <w:tc>
          <w:tcPr>
            <w:tcW w:w="1138" w:type="dxa"/>
            <w:tcBorders>
              <w:top w:val="nil"/>
              <w:left w:val="nil"/>
              <w:bottom w:val="single" w:sz="4" w:space="0" w:color="auto"/>
              <w:right w:val="single" w:sz="4" w:space="0" w:color="auto"/>
            </w:tcBorders>
            <w:shd w:val="clear" w:color="auto" w:fill="auto"/>
            <w:noWrap/>
            <w:vAlign w:val="bottom"/>
            <w:hideMark/>
          </w:tcPr>
          <w:p w14:paraId="37AC3BA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0,38</w:t>
            </w:r>
          </w:p>
        </w:tc>
        <w:tc>
          <w:tcPr>
            <w:tcW w:w="1138" w:type="dxa"/>
            <w:tcBorders>
              <w:top w:val="nil"/>
              <w:left w:val="nil"/>
              <w:bottom w:val="single" w:sz="4" w:space="0" w:color="auto"/>
              <w:right w:val="single" w:sz="4" w:space="0" w:color="auto"/>
            </w:tcBorders>
            <w:shd w:val="clear" w:color="auto" w:fill="auto"/>
            <w:noWrap/>
            <w:vAlign w:val="bottom"/>
            <w:hideMark/>
          </w:tcPr>
          <w:p w14:paraId="657830C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0,48</w:t>
            </w:r>
          </w:p>
        </w:tc>
      </w:tr>
      <w:tr w:rsidR="00BF12D5" w:rsidRPr="00BD0223" w14:paraId="47DE28E4"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723F86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JOSE BONIFACIO</w:t>
            </w:r>
          </w:p>
        </w:tc>
        <w:tc>
          <w:tcPr>
            <w:tcW w:w="1138" w:type="dxa"/>
            <w:tcBorders>
              <w:top w:val="nil"/>
              <w:left w:val="nil"/>
              <w:bottom w:val="single" w:sz="4" w:space="0" w:color="auto"/>
              <w:right w:val="single" w:sz="4" w:space="0" w:color="auto"/>
            </w:tcBorders>
            <w:shd w:val="clear" w:color="auto" w:fill="auto"/>
            <w:noWrap/>
            <w:vAlign w:val="bottom"/>
            <w:hideMark/>
          </w:tcPr>
          <w:p w14:paraId="69FC612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5,27</w:t>
            </w:r>
          </w:p>
        </w:tc>
        <w:tc>
          <w:tcPr>
            <w:tcW w:w="1138" w:type="dxa"/>
            <w:tcBorders>
              <w:top w:val="nil"/>
              <w:left w:val="nil"/>
              <w:bottom w:val="single" w:sz="4" w:space="0" w:color="auto"/>
              <w:right w:val="single" w:sz="4" w:space="0" w:color="auto"/>
            </w:tcBorders>
            <w:shd w:val="clear" w:color="auto" w:fill="auto"/>
            <w:noWrap/>
            <w:vAlign w:val="bottom"/>
            <w:hideMark/>
          </w:tcPr>
          <w:p w14:paraId="1227ECB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6,75</w:t>
            </w:r>
          </w:p>
        </w:tc>
        <w:tc>
          <w:tcPr>
            <w:tcW w:w="1138" w:type="dxa"/>
            <w:tcBorders>
              <w:top w:val="nil"/>
              <w:left w:val="nil"/>
              <w:bottom w:val="single" w:sz="4" w:space="0" w:color="auto"/>
              <w:right w:val="single" w:sz="4" w:space="0" w:color="auto"/>
            </w:tcBorders>
            <w:shd w:val="clear" w:color="auto" w:fill="auto"/>
            <w:noWrap/>
            <w:vAlign w:val="bottom"/>
            <w:hideMark/>
          </w:tcPr>
          <w:p w14:paraId="20AFD56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7,30</w:t>
            </w:r>
          </w:p>
        </w:tc>
        <w:tc>
          <w:tcPr>
            <w:tcW w:w="1138" w:type="dxa"/>
            <w:tcBorders>
              <w:top w:val="nil"/>
              <w:left w:val="nil"/>
              <w:bottom w:val="single" w:sz="4" w:space="0" w:color="auto"/>
              <w:right w:val="single" w:sz="4" w:space="0" w:color="auto"/>
            </w:tcBorders>
            <w:shd w:val="clear" w:color="auto" w:fill="auto"/>
            <w:noWrap/>
            <w:vAlign w:val="bottom"/>
            <w:hideMark/>
          </w:tcPr>
          <w:p w14:paraId="149ADCD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6,77</w:t>
            </w:r>
          </w:p>
        </w:tc>
        <w:tc>
          <w:tcPr>
            <w:tcW w:w="1138" w:type="dxa"/>
            <w:tcBorders>
              <w:top w:val="nil"/>
              <w:left w:val="nil"/>
              <w:bottom w:val="single" w:sz="4" w:space="0" w:color="auto"/>
              <w:right w:val="single" w:sz="4" w:space="0" w:color="auto"/>
            </w:tcBorders>
            <w:shd w:val="clear" w:color="auto" w:fill="auto"/>
            <w:noWrap/>
            <w:vAlign w:val="bottom"/>
            <w:hideMark/>
          </w:tcPr>
          <w:p w14:paraId="1416C05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7,22</w:t>
            </w:r>
          </w:p>
        </w:tc>
      </w:tr>
      <w:tr w:rsidR="00BF12D5" w:rsidRPr="00BD0223" w14:paraId="539FABAD"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0D397C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LUIS ANTONIO</w:t>
            </w:r>
          </w:p>
        </w:tc>
        <w:tc>
          <w:tcPr>
            <w:tcW w:w="1138" w:type="dxa"/>
            <w:tcBorders>
              <w:top w:val="nil"/>
              <w:left w:val="nil"/>
              <w:bottom w:val="single" w:sz="4" w:space="0" w:color="auto"/>
              <w:right w:val="single" w:sz="4" w:space="0" w:color="auto"/>
            </w:tcBorders>
            <w:shd w:val="clear" w:color="auto" w:fill="auto"/>
            <w:noWrap/>
            <w:vAlign w:val="bottom"/>
            <w:hideMark/>
          </w:tcPr>
          <w:p w14:paraId="4071BAA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1,06</w:t>
            </w:r>
          </w:p>
        </w:tc>
        <w:tc>
          <w:tcPr>
            <w:tcW w:w="1138" w:type="dxa"/>
            <w:tcBorders>
              <w:top w:val="nil"/>
              <w:left w:val="nil"/>
              <w:bottom w:val="single" w:sz="4" w:space="0" w:color="auto"/>
              <w:right w:val="single" w:sz="4" w:space="0" w:color="auto"/>
            </w:tcBorders>
            <w:shd w:val="clear" w:color="auto" w:fill="auto"/>
            <w:noWrap/>
            <w:vAlign w:val="bottom"/>
            <w:hideMark/>
          </w:tcPr>
          <w:p w14:paraId="661275F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1,37</w:t>
            </w:r>
          </w:p>
        </w:tc>
        <w:tc>
          <w:tcPr>
            <w:tcW w:w="1138" w:type="dxa"/>
            <w:tcBorders>
              <w:top w:val="nil"/>
              <w:left w:val="nil"/>
              <w:bottom w:val="single" w:sz="4" w:space="0" w:color="auto"/>
              <w:right w:val="single" w:sz="4" w:space="0" w:color="auto"/>
            </w:tcBorders>
            <w:shd w:val="clear" w:color="auto" w:fill="auto"/>
            <w:noWrap/>
            <w:vAlign w:val="bottom"/>
            <w:hideMark/>
          </w:tcPr>
          <w:p w14:paraId="6D43F0F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1,52</w:t>
            </w:r>
          </w:p>
        </w:tc>
        <w:tc>
          <w:tcPr>
            <w:tcW w:w="1138" w:type="dxa"/>
            <w:tcBorders>
              <w:top w:val="nil"/>
              <w:left w:val="nil"/>
              <w:bottom w:val="single" w:sz="4" w:space="0" w:color="auto"/>
              <w:right w:val="single" w:sz="4" w:space="0" w:color="auto"/>
            </w:tcBorders>
            <w:shd w:val="clear" w:color="auto" w:fill="auto"/>
            <w:noWrap/>
            <w:vAlign w:val="bottom"/>
            <w:hideMark/>
          </w:tcPr>
          <w:p w14:paraId="627F75E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1,60</w:t>
            </w:r>
          </w:p>
        </w:tc>
        <w:tc>
          <w:tcPr>
            <w:tcW w:w="1138" w:type="dxa"/>
            <w:tcBorders>
              <w:top w:val="nil"/>
              <w:left w:val="nil"/>
              <w:bottom w:val="single" w:sz="4" w:space="0" w:color="auto"/>
              <w:right w:val="single" w:sz="4" w:space="0" w:color="auto"/>
            </w:tcBorders>
            <w:shd w:val="clear" w:color="auto" w:fill="auto"/>
            <w:noWrap/>
            <w:vAlign w:val="bottom"/>
            <w:hideMark/>
          </w:tcPr>
          <w:p w14:paraId="4EDB718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1,82</w:t>
            </w:r>
          </w:p>
        </w:tc>
      </w:tr>
      <w:tr w:rsidR="00BF12D5" w:rsidRPr="00BD0223" w14:paraId="2BC5B4BF"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2F89DEF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MACAUBAL</w:t>
            </w:r>
          </w:p>
        </w:tc>
        <w:tc>
          <w:tcPr>
            <w:tcW w:w="1138" w:type="dxa"/>
            <w:tcBorders>
              <w:top w:val="nil"/>
              <w:left w:val="nil"/>
              <w:bottom w:val="single" w:sz="4" w:space="0" w:color="auto"/>
              <w:right w:val="single" w:sz="4" w:space="0" w:color="auto"/>
            </w:tcBorders>
            <w:shd w:val="clear" w:color="auto" w:fill="auto"/>
            <w:noWrap/>
            <w:vAlign w:val="bottom"/>
            <w:hideMark/>
          </w:tcPr>
          <w:p w14:paraId="573AAE3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0,67</w:t>
            </w:r>
          </w:p>
        </w:tc>
        <w:tc>
          <w:tcPr>
            <w:tcW w:w="1138" w:type="dxa"/>
            <w:tcBorders>
              <w:top w:val="nil"/>
              <w:left w:val="nil"/>
              <w:bottom w:val="single" w:sz="4" w:space="0" w:color="auto"/>
              <w:right w:val="single" w:sz="4" w:space="0" w:color="auto"/>
            </w:tcBorders>
            <w:shd w:val="clear" w:color="auto" w:fill="auto"/>
            <w:noWrap/>
            <w:vAlign w:val="bottom"/>
            <w:hideMark/>
          </w:tcPr>
          <w:p w14:paraId="013B99E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1,06</w:t>
            </w:r>
          </w:p>
        </w:tc>
        <w:tc>
          <w:tcPr>
            <w:tcW w:w="1138" w:type="dxa"/>
            <w:tcBorders>
              <w:top w:val="nil"/>
              <w:left w:val="nil"/>
              <w:bottom w:val="single" w:sz="4" w:space="0" w:color="auto"/>
              <w:right w:val="single" w:sz="4" w:space="0" w:color="auto"/>
            </w:tcBorders>
            <w:shd w:val="clear" w:color="auto" w:fill="auto"/>
            <w:noWrap/>
            <w:vAlign w:val="bottom"/>
            <w:hideMark/>
          </w:tcPr>
          <w:p w14:paraId="668C05C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1,27</w:t>
            </w:r>
          </w:p>
        </w:tc>
        <w:tc>
          <w:tcPr>
            <w:tcW w:w="1138" w:type="dxa"/>
            <w:tcBorders>
              <w:top w:val="nil"/>
              <w:left w:val="nil"/>
              <w:bottom w:val="single" w:sz="4" w:space="0" w:color="auto"/>
              <w:right w:val="single" w:sz="4" w:space="0" w:color="auto"/>
            </w:tcBorders>
            <w:shd w:val="clear" w:color="auto" w:fill="auto"/>
            <w:noWrap/>
            <w:vAlign w:val="bottom"/>
            <w:hideMark/>
          </w:tcPr>
          <w:p w14:paraId="24C6EC2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1,31</w:t>
            </w:r>
          </w:p>
        </w:tc>
        <w:tc>
          <w:tcPr>
            <w:tcW w:w="1138" w:type="dxa"/>
            <w:tcBorders>
              <w:top w:val="nil"/>
              <w:left w:val="nil"/>
              <w:bottom w:val="single" w:sz="4" w:space="0" w:color="auto"/>
              <w:right w:val="single" w:sz="4" w:space="0" w:color="auto"/>
            </w:tcBorders>
            <w:shd w:val="clear" w:color="auto" w:fill="auto"/>
            <w:noWrap/>
            <w:vAlign w:val="bottom"/>
            <w:hideMark/>
          </w:tcPr>
          <w:p w14:paraId="7E5F5ED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1,31</w:t>
            </w:r>
          </w:p>
        </w:tc>
      </w:tr>
      <w:tr w:rsidR="00BF12D5" w:rsidRPr="00BD0223" w14:paraId="6F418DC6"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5AB3D30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MACEDONIA</w:t>
            </w:r>
          </w:p>
        </w:tc>
        <w:tc>
          <w:tcPr>
            <w:tcW w:w="1138" w:type="dxa"/>
            <w:tcBorders>
              <w:top w:val="nil"/>
              <w:left w:val="nil"/>
              <w:bottom w:val="single" w:sz="4" w:space="0" w:color="auto"/>
              <w:right w:val="single" w:sz="4" w:space="0" w:color="auto"/>
            </w:tcBorders>
            <w:shd w:val="clear" w:color="auto" w:fill="auto"/>
            <w:noWrap/>
            <w:vAlign w:val="bottom"/>
            <w:hideMark/>
          </w:tcPr>
          <w:p w14:paraId="3FB3DD5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0,19</w:t>
            </w:r>
          </w:p>
        </w:tc>
        <w:tc>
          <w:tcPr>
            <w:tcW w:w="1138" w:type="dxa"/>
            <w:tcBorders>
              <w:top w:val="nil"/>
              <w:left w:val="nil"/>
              <w:bottom w:val="single" w:sz="4" w:space="0" w:color="auto"/>
              <w:right w:val="single" w:sz="4" w:space="0" w:color="auto"/>
            </w:tcBorders>
            <w:shd w:val="clear" w:color="auto" w:fill="auto"/>
            <w:noWrap/>
            <w:vAlign w:val="bottom"/>
            <w:hideMark/>
          </w:tcPr>
          <w:p w14:paraId="723ED04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0,29</w:t>
            </w:r>
          </w:p>
        </w:tc>
        <w:tc>
          <w:tcPr>
            <w:tcW w:w="1138" w:type="dxa"/>
            <w:tcBorders>
              <w:top w:val="nil"/>
              <w:left w:val="nil"/>
              <w:bottom w:val="single" w:sz="4" w:space="0" w:color="auto"/>
              <w:right w:val="single" w:sz="4" w:space="0" w:color="auto"/>
            </w:tcBorders>
            <w:shd w:val="clear" w:color="auto" w:fill="auto"/>
            <w:noWrap/>
            <w:vAlign w:val="bottom"/>
            <w:hideMark/>
          </w:tcPr>
          <w:p w14:paraId="6EC9422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0,41</w:t>
            </w:r>
          </w:p>
        </w:tc>
        <w:tc>
          <w:tcPr>
            <w:tcW w:w="1138" w:type="dxa"/>
            <w:tcBorders>
              <w:top w:val="nil"/>
              <w:left w:val="nil"/>
              <w:bottom w:val="single" w:sz="4" w:space="0" w:color="auto"/>
              <w:right w:val="single" w:sz="4" w:space="0" w:color="auto"/>
            </w:tcBorders>
            <w:shd w:val="clear" w:color="auto" w:fill="auto"/>
            <w:noWrap/>
            <w:vAlign w:val="bottom"/>
            <w:hideMark/>
          </w:tcPr>
          <w:p w14:paraId="39FBD6D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0,45</w:t>
            </w:r>
          </w:p>
        </w:tc>
        <w:tc>
          <w:tcPr>
            <w:tcW w:w="1138" w:type="dxa"/>
            <w:tcBorders>
              <w:top w:val="nil"/>
              <w:left w:val="nil"/>
              <w:bottom w:val="single" w:sz="4" w:space="0" w:color="auto"/>
              <w:right w:val="single" w:sz="4" w:space="0" w:color="auto"/>
            </w:tcBorders>
            <w:shd w:val="clear" w:color="auto" w:fill="auto"/>
            <w:noWrap/>
            <w:vAlign w:val="bottom"/>
            <w:hideMark/>
          </w:tcPr>
          <w:p w14:paraId="0D6ED08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0,52</w:t>
            </w:r>
          </w:p>
        </w:tc>
      </w:tr>
      <w:tr w:rsidR="00BF12D5" w:rsidRPr="00BD0223" w14:paraId="439E4A08"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40E8C58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MAGDA</w:t>
            </w:r>
          </w:p>
        </w:tc>
        <w:tc>
          <w:tcPr>
            <w:tcW w:w="1138" w:type="dxa"/>
            <w:tcBorders>
              <w:top w:val="nil"/>
              <w:left w:val="nil"/>
              <w:bottom w:val="single" w:sz="4" w:space="0" w:color="auto"/>
              <w:right w:val="single" w:sz="4" w:space="0" w:color="auto"/>
            </w:tcBorders>
            <w:shd w:val="clear" w:color="auto" w:fill="auto"/>
            <w:noWrap/>
            <w:vAlign w:val="bottom"/>
            <w:hideMark/>
          </w:tcPr>
          <w:p w14:paraId="3CEE11A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0,35</w:t>
            </w:r>
          </w:p>
        </w:tc>
        <w:tc>
          <w:tcPr>
            <w:tcW w:w="1138" w:type="dxa"/>
            <w:tcBorders>
              <w:top w:val="nil"/>
              <w:left w:val="nil"/>
              <w:bottom w:val="single" w:sz="4" w:space="0" w:color="auto"/>
              <w:right w:val="single" w:sz="4" w:space="0" w:color="auto"/>
            </w:tcBorders>
            <w:shd w:val="clear" w:color="auto" w:fill="auto"/>
            <w:noWrap/>
            <w:vAlign w:val="bottom"/>
            <w:hideMark/>
          </w:tcPr>
          <w:p w14:paraId="1428E09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0,51</w:t>
            </w:r>
          </w:p>
        </w:tc>
        <w:tc>
          <w:tcPr>
            <w:tcW w:w="1138" w:type="dxa"/>
            <w:tcBorders>
              <w:top w:val="nil"/>
              <w:left w:val="nil"/>
              <w:bottom w:val="single" w:sz="4" w:space="0" w:color="auto"/>
              <w:right w:val="single" w:sz="4" w:space="0" w:color="auto"/>
            </w:tcBorders>
            <w:shd w:val="clear" w:color="auto" w:fill="auto"/>
            <w:noWrap/>
            <w:vAlign w:val="bottom"/>
            <w:hideMark/>
          </w:tcPr>
          <w:p w14:paraId="7F3C799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0,53</w:t>
            </w:r>
          </w:p>
        </w:tc>
        <w:tc>
          <w:tcPr>
            <w:tcW w:w="1138" w:type="dxa"/>
            <w:tcBorders>
              <w:top w:val="nil"/>
              <w:left w:val="nil"/>
              <w:bottom w:val="single" w:sz="4" w:space="0" w:color="auto"/>
              <w:right w:val="single" w:sz="4" w:space="0" w:color="auto"/>
            </w:tcBorders>
            <w:shd w:val="clear" w:color="auto" w:fill="auto"/>
            <w:noWrap/>
            <w:vAlign w:val="bottom"/>
            <w:hideMark/>
          </w:tcPr>
          <w:p w14:paraId="4E1157F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0,56</w:t>
            </w:r>
          </w:p>
        </w:tc>
        <w:tc>
          <w:tcPr>
            <w:tcW w:w="1138" w:type="dxa"/>
            <w:tcBorders>
              <w:top w:val="nil"/>
              <w:left w:val="nil"/>
              <w:bottom w:val="single" w:sz="4" w:space="0" w:color="auto"/>
              <w:right w:val="single" w:sz="4" w:space="0" w:color="auto"/>
            </w:tcBorders>
            <w:shd w:val="clear" w:color="auto" w:fill="auto"/>
            <w:noWrap/>
            <w:vAlign w:val="bottom"/>
            <w:hideMark/>
          </w:tcPr>
          <w:p w14:paraId="0A679A7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0,56</w:t>
            </w:r>
          </w:p>
        </w:tc>
      </w:tr>
      <w:tr w:rsidR="00BF12D5" w:rsidRPr="00BD0223" w14:paraId="0136DB23"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2A8AFD9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MARAPOAMA</w:t>
            </w:r>
          </w:p>
        </w:tc>
        <w:tc>
          <w:tcPr>
            <w:tcW w:w="1138" w:type="dxa"/>
            <w:tcBorders>
              <w:top w:val="nil"/>
              <w:left w:val="nil"/>
              <w:bottom w:val="single" w:sz="4" w:space="0" w:color="auto"/>
              <w:right w:val="single" w:sz="4" w:space="0" w:color="auto"/>
            </w:tcBorders>
            <w:shd w:val="clear" w:color="auto" w:fill="auto"/>
            <w:noWrap/>
            <w:vAlign w:val="bottom"/>
            <w:hideMark/>
          </w:tcPr>
          <w:p w14:paraId="312F0D7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0,16</w:t>
            </w:r>
          </w:p>
        </w:tc>
        <w:tc>
          <w:tcPr>
            <w:tcW w:w="1138" w:type="dxa"/>
            <w:tcBorders>
              <w:top w:val="nil"/>
              <w:left w:val="nil"/>
              <w:bottom w:val="single" w:sz="4" w:space="0" w:color="auto"/>
              <w:right w:val="single" w:sz="4" w:space="0" w:color="auto"/>
            </w:tcBorders>
            <w:shd w:val="clear" w:color="auto" w:fill="auto"/>
            <w:noWrap/>
            <w:vAlign w:val="bottom"/>
            <w:hideMark/>
          </w:tcPr>
          <w:p w14:paraId="7523EA3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0,33</w:t>
            </w:r>
          </w:p>
        </w:tc>
        <w:tc>
          <w:tcPr>
            <w:tcW w:w="1138" w:type="dxa"/>
            <w:tcBorders>
              <w:top w:val="nil"/>
              <w:left w:val="nil"/>
              <w:bottom w:val="single" w:sz="4" w:space="0" w:color="auto"/>
              <w:right w:val="single" w:sz="4" w:space="0" w:color="auto"/>
            </w:tcBorders>
            <w:shd w:val="clear" w:color="auto" w:fill="auto"/>
            <w:noWrap/>
            <w:vAlign w:val="bottom"/>
            <w:hideMark/>
          </w:tcPr>
          <w:p w14:paraId="7DDC257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0,47</w:t>
            </w:r>
          </w:p>
        </w:tc>
        <w:tc>
          <w:tcPr>
            <w:tcW w:w="1138" w:type="dxa"/>
            <w:tcBorders>
              <w:top w:val="nil"/>
              <w:left w:val="nil"/>
              <w:bottom w:val="single" w:sz="4" w:space="0" w:color="auto"/>
              <w:right w:val="single" w:sz="4" w:space="0" w:color="auto"/>
            </w:tcBorders>
            <w:shd w:val="clear" w:color="auto" w:fill="auto"/>
            <w:noWrap/>
            <w:vAlign w:val="bottom"/>
            <w:hideMark/>
          </w:tcPr>
          <w:p w14:paraId="0196A4D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0,40</w:t>
            </w:r>
          </w:p>
        </w:tc>
        <w:tc>
          <w:tcPr>
            <w:tcW w:w="1138" w:type="dxa"/>
            <w:tcBorders>
              <w:top w:val="nil"/>
              <w:left w:val="nil"/>
              <w:bottom w:val="single" w:sz="4" w:space="0" w:color="auto"/>
              <w:right w:val="single" w:sz="4" w:space="0" w:color="auto"/>
            </w:tcBorders>
            <w:shd w:val="clear" w:color="auto" w:fill="auto"/>
            <w:noWrap/>
            <w:vAlign w:val="bottom"/>
            <w:hideMark/>
          </w:tcPr>
          <w:p w14:paraId="0B3EBF2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0,44</w:t>
            </w:r>
          </w:p>
        </w:tc>
      </w:tr>
      <w:tr w:rsidR="00BF12D5" w:rsidRPr="00BD0223" w14:paraId="227FE8F3"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08188A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MARINOPOLIS</w:t>
            </w:r>
          </w:p>
        </w:tc>
        <w:tc>
          <w:tcPr>
            <w:tcW w:w="1138" w:type="dxa"/>
            <w:tcBorders>
              <w:top w:val="nil"/>
              <w:left w:val="nil"/>
              <w:bottom w:val="single" w:sz="4" w:space="0" w:color="auto"/>
              <w:right w:val="single" w:sz="4" w:space="0" w:color="auto"/>
            </w:tcBorders>
            <w:shd w:val="clear" w:color="auto" w:fill="auto"/>
            <w:noWrap/>
            <w:vAlign w:val="bottom"/>
            <w:hideMark/>
          </w:tcPr>
          <w:p w14:paraId="7464099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0,19</w:t>
            </w:r>
          </w:p>
        </w:tc>
        <w:tc>
          <w:tcPr>
            <w:tcW w:w="1138" w:type="dxa"/>
            <w:tcBorders>
              <w:top w:val="nil"/>
              <w:left w:val="nil"/>
              <w:bottom w:val="single" w:sz="4" w:space="0" w:color="auto"/>
              <w:right w:val="single" w:sz="4" w:space="0" w:color="auto"/>
            </w:tcBorders>
            <w:shd w:val="clear" w:color="auto" w:fill="auto"/>
            <w:noWrap/>
            <w:vAlign w:val="bottom"/>
            <w:hideMark/>
          </w:tcPr>
          <w:p w14:paraId="3CD15CF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0,24</w:t>
            </w:r>
          </w:p>
        </w:tc>
        <w:tc>
          <w:tcPr>
            <w:tcW w:w="1138" w:type="dxa"/>
            <w:tcBorders>
              <w:top w:val="nil"/>
              <w:left w:val="nil"/>
              <w:bottom w:val="single" w:sz="4" w:space="0" w:color="auto"/>
              <w:right w:val="single" w:sz="4" w:space="0" w:color="auto"/>
            </w:tcBorders>
            <w:shd w:val="clear" w:color="auto" w:fill="auto"/>
            <w:noWrap/>
            <w:vAlign w:val="bottom"/>
            <w:hideMark/>
          </w:tcPr>
          <w:p w14:paraId="46E8720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0,26</w:t>
            </w:r>
          </w:p>
        </w:tc>
        <w:tc>
          <w:tcPr>
            <w:tcW w:w="1138" w:type="dxa"/>
            <w:tcBorders>
              <w:top w:val="nil"/>
              <w:left w:val="nil"/>
              <w:bottom w:val="single" w:sz="4" w:space="0" w:color="auto"/>
              <w:right w:val="single" w:sz="4" w:space="0" w:color="auto"/>
            </w:tcBorders>
            <w:shd w:val="clear" w:color="auto" w:fill="auto"/>
            <w:noWrap/>
            <w:vAlign w:val="bottom"/>
            <w:hideMark/>
          </w:tcPr>
          <w:p w14:paraId="5E6B71E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0,27</w:t>
            </w:r>
          </w:p>
        </w:tc>
        <w:tc>
          <w:tcPr>
            <w:tcW w:w="1138" w:type="dxa"/>
            <w:tcBorders>
              <w:top w:val="nil"/>
              <w:left w:val="nil"/>
              <w:bottom w:val="single" w:sz="4" w:space="0" w:color="auto"/>
              <w:right w:val="single" w:sz="4" w:space="0" w:color="auto"/>
            </w:tcBorders>
            <w:shd w:val="clear" w:color="auto" w:fill="auto"/>
            <w:noWrap/>
            <w:vAlign w:val="bottom"/>
            <w:hideMark/>
          </w:tcPr>
          <w:p w14:paraId="5AFC777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0,28</w:t>
            </w:r>
          </w:p>
        </w:tc>
      </w:tr>
      <w:tr w:rsidR="00BF12D5" w:rsidRPr="00BD0223" w14:paraId="2CBECD0A"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2018682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MENDONCA</w:t>
            </w:r>
          </w:p>
        </w:tc>
        <w:tc>
          <w:tcPr>
            <w:tcW w:w="1138" w:type="dxa"/>
            <w:tcBorders>
              <w:top w:val="nil"/>
              <w:left w:val="nil"/>
              <w:bottom w:val="single" w:sz="4" w:space="0" w:color="auto"/>
              <w:right w:val="single" w:sz="4" w:space="0" w:color="auto"/>
            </w:tcBorders>
            <w:shd w:val="clear" w:color="auto" w:fill="auto"/>
            <w:noWrap/>
            <w:vAlign w:val="bottom"/>
            <w:hideMark/>
          </w:tcPr>
          <w:p w14:paraId="63606AA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0,64</w:t>
            </w:r>
          </w:p>
        </w:tc>
        <w:tc>
          <w:tcPr>
            <w:tcW w:w="1138" w:type="dxa"/>
            <w:tcBorders>
              <w:top w:val="nil"/>
              <w:left w:val="nil"/>
              <w:bottom w:val="single" w:sz="4" w:space="0" w:color="auto"/>
              <w:right w:val="single" w:sz="4" w:space="0" w:color="auto"/>
            </w:tcBorders>
            <w:shd w:val="clear" w:color="auto" w:fill="auto"/>
            <w:noWrap/>
            <w:vAlign w:val="bottom"/>
            <w:hideMark/>
          </w:tcPr>
          <w:p w14:paraId="04E82AE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0,70</w:t>
            </w:r>
          </w:p>
        </w:tc>
        <w:tc>
          <w:tcPr>
            <w:tcW w:w="1138" w:type="dxa"/>
            <w:tcBorders>
              <w:top w:val="nil"/>
              <w:left w:val="nil"/>
              <w:bottom w:val="single" w:sz="4" w:space="0" w:color="auto"/>
              <w:right w:val="single" w:sz="4" w:space="0" w:color="auto"/>
            </w:tcBorders>
            <w:shd w:val="clear" w:color="auto" w:fill="auto"/>
            <w:noWrap/>
            <w:vAlign w:val="bottom"/>
            <w:hideMark/>
          </w:tcPr>
          <w:p w14:paraId="59C306D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0,79</w:t>
            </w:r>
          </w:p>
        </w:tc>
        <w:tc>
          <w:tcPr>
            <w:tcW w:w="1138" w:type="dxa"/>
            <w:tcBorders>
              <w:top w:val="nil"/>
              <w:left w:val="nil"/>
              <w:bottom w:val="single" w:sz="4" w:space="0" w:color="auto"/>
              <w:right w:val="single" w:sz="4" w:space="0" w:color="auto"/>
            </w:tcBorders>
            <w:shd w:val="clear" w:color="auto" w:fill="auto"/>
            <w:noWrap/>
            <w:vAlign w:val="bottom"/>
            <w:hideMark/>
          </w:tcPr>
          <w:p w14:paraId="29EAF41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0,77</w:t>
            </w:r>
          </w:p>
        </w:tc>
        <w:tc>
          <w:tcPr>
            <w:tcW w:w="1138" w:type="dxa"/>
            <w:tcBorders>
              <w:top w:val="nil"/>
              <w:left w:val="nil"/>
              <w:bottom w:val="single" w:sz="4" w:space="0" w:color="auto"/>
              <w:right w:val="single" w:sz="4" w:space="0" w:color="auto"/>
            </w:tcBorders>
            <w:shd w:val="clear" w:color="auto" w:fill="auto"/>
            <w:noWrap/>
            <w:vAlign w:val="bottom"/>
            <w:hideMark/>
          </w:tcPr>
          <w:p w14:paraId="35A241B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1,01</w:t>
            </w:r>
          </w:p>
        </w:tc>
      </w:tr>
      <w:tr w:rsidR="00BF12D5" w:rsidRPr="00BD0223" w14:paraId="034B4EE6"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2ECCB2C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MERIDIANO</w:t>
            </w:r>
          </w:p>
        </w:tc>
        <w:tc>
          <w:tcPr>
            <w:tcW w:w="1138" w:type="dxa"/>
            <w:tcBorders>
              <w:top w:val="nil"/>
              <w:left w:val="nil"/>
              <w:bottom w:val="single" w:sz="4" w:space="0" w:color="auto"/>
              <w:right w:val="single" w:sz="4" w:space="0" w:color="auto"/>
            </w:tcBorders>
            <w:shd w:val="clear" w:color="auto" w:fill="auto"/>
            <w:noWrap/>
            <w:vAlign w:val="bottom"/>
            <w:hideMark/>
          </w:tcPr>
          <w:p w14:paraId="7DF3545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0,58</w:t>
            </w:r>
          </w:p>
        </w:tc>
        <w:tc>
          <w:tcPr>
            <w:tcW w:w="1138" w:type="dxa"/>
            <w:tcBorders>
              <w:top w:val="nil"/>
              <w:left w:val="nil"/>
              <w:bottom w:val="single" w:sz="4" w:space="0" w:color="auto"/>
              <w:right w:val="single" w:sz="4" w:space="0" w:color="auto"/>
            </w:tcBorders>
            <w:shd w:val="clear" w:color="auto" w:fill="auto"/>
            <w:noWrap/>
            <w:vAlign w:val="bottom"/>
            <w:hideMark/>
          </w:tcPr>
          <w:p w14:paraId="7AF72B2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0,78</w:t>
            </w:r>
          </w:p>
        </w:tc>
        <w:tc>
          <w:tcPr>
            <w:tcW w:w="1138" w:type="dxa"/>
            <w:tcBorders>
              <w:top w:val="nil"/>
              <w:left w:val="nil"/>
              <w:bottom w:val="single" w:sz="4" w:space="0" w:color="auto"/>
              <w:right w:val="single" w:sz="4" w:space="0" w:color="auto"/>
            </w:tcBorders>
            <w:shd w:val="clear" w:color="auto" w:fill="auto"/>
            <w:noWrap/>
            <w:vAlign w:val="bottom"/>
            <w:hideMark/>
          </w:tcPr>
          <w:p w14:paraId="773E5A5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0,78</w:t>
            </w:r>
          </w:p>
        </w:tc>
        <w:tc>
          <w:tcPr>
            <w:tcW w:w="1138" w:type="dxa"/>
            <w:tcBorders>
              <w:top w:val="nil"/>
              <w:left w:val="nil"/>
              <w:bottom w:val="single" w:sz="4" w:space="0" w:color="auto"/>
              <w:right w:val="single" w:sz="4" w:space="0" w:color="auto"/>
            </w:tcBorders>
            <w:shd w:val="clear" w:color="auto" w:fill="auto"/>
            <w:noWrap/>
            <w:vAlign w:val="bottom"/>
            <w:hideMark/>
          </w:tcPr>
          <w:p w14:paraId="2E1CB53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0,92</w:t>
            </w:r>
          </w:p>
        </w:tc>
        <w:tc>
          <w:tcPr>
            <w:tcW w:w="1138" w:type="dxa"/>
            <w:tcBorders>
              <w:top w:val="nil"/>
              <w:left w:val="nil"/>
              <w:bottom w:val="single" w:sz="4" w:space="0" w:color="auto"/>
              <w:right w:val="single" w:sz="4" w:space="0" w:color="auto"/>
            </w:tcBorders>
            <w:shd w:val="clear" w:color="auto" w:fill="auto"/>
            <w:noWrap/>
            <w:vAlign w:val="bottom"/>
            <w:hideMark/>
          </w:tcPr>
          <w:p w14:paraId="1E60D15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1,23</w:t>
            </w:r>
          </w:p>
        </w:tc>
      </w:tr>
      <w:tr w:rsidR="00BF12D5" w:rsidRPr="00BD0223" w14:paraId="05D8E67A"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B1E76B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MESOPOLIS</w:t>
            </w:r>
          </w:p>
        </w:tc>
        <w:tc>
          <w:tcPr>
            <w:tcW w:w="1138" w:type="dxa"/>
            <w:tcBorders>
              <w:top w:val="nil"/>
              <w:left w:val="nil"/>
              <w:bottom w:val="single" w:sz="4" w:space="0" w:color="auto"/>
              <w:right w:val="single" w:sz="4" w:space="0" w:color="auto"/>
            </w:tcBorders>
            <w:shd w:val="clear" w:color="auto" w:fill="auto"/>
            <w:noWrap/>
            <w:vAlign w:val="bottom"/>
            <w:hideMark/>
          </w:tcPr>
          <w:p w14:paraId="5ABC336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0,13</w:t>
            </w:r>
          </w:p>
        </w:tc>
        <w:tc>
          <w:tcPr>
            <w:tcW w:w="1138" w:type="dxa"/>
            <w:tcBorders>
              <w:top w:val="nil"/>
              <w:left w:val="nil"/>
              <w:bottom w:val="single" w:sz="4" w:space="0" w:color="auto"/>
              <w:right w:val="single" w:sz="4" w:space="0" w:color="auto"/>
            </w:tcBorders>
            <w:shd w:val="clear" w:color="auto" w:fill="auto"/>
            <w:noWrap/>
            <w:vAlign w:val="bottom"/>
            <w:hideMark/>
          </w:tcPr>
          <w:p w14:paraId="010DC65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0,17</w:t>
            </w:r>
          </w:p>
        </w:tc>
        <w:tc>
          <w:tcPr>
            <w:tcW w:w="1138" w:type="dxa"/>
            <w:tcBorders>
              <w:top w:val="nil"/>
              <w:left w:val="nil"/>
              <w:bottom w:val="single" w:sz="4" w:space="0" w:color="auto"/>
              <w:right w:val="single" w:sz="4" w:space="0" w:color="auto"/>
            </w:tcBorders>
            <w:shd w:val="clear" w:color="auto" w:fill="auto"/>
            <w:noWrap/>
            <w:vAlign w:val="bottom"/>
            <w:hideMark/>
          </w:tcPr>
          <w:p w14:paraId="087E1CF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0,21</w:t>
            </w:r>
          </w:p>
        </w:tc>
        <w:tc>
          <w:tcPr>
            <w:tcW w:w="1138" w:type="dxa"/>
            <w:tcBorders>
              <w:top w:val="nil"/>
              <w:left w:val="nil"/>
              <w:bottom w:val="single" w:sz="4" w:space="0" w:color="auto"/>
              <w:right w:val="single" w:sz="4" w:space="0" w:color="auto"/>
            </w:tcBorders>
            <w:shd w:val="clear" w:color="auto" w:fill="auto"/>
            <w:noWrap/>
            <w:vAlign w:val="bottom"/>
            <w:hideMark/>
          </w:tcPr>
          <w:p w14:paraId="69292BA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0,21</w:t>
            </w:r>
          </w:p>
        </w:tc>
        <w:tc>
          <w:tcPr>
            <w:tcW w:w="1138" w:type="dxa"/>
            <w:tcBorders>
              <w:top w:val="nil"/>
              <w:left w:val="nil"/>
              <w:bottom w:val="single" w:sz="4" w:space="0" w:color="auto"/>
              <w:right w:val="single" w:sz="4" w:space="0" w:color="auto"/>
            </w:tcBorders>
            <w:shd w:val="clear" w:color="auto" w:fill="auto"/>
            <w:noWrap/>
            <w:vAlign w:val="bottom"/>
            <w:hideMark/>
          </w:tcPr>
          <w:p w14:paraId="6B7BC24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0,20</w:t>
            </w:r>
          </w:p>
        </w:tc>
      </w:tr>
      <w:tr w:rsidR="00BF12D5" w:rsidRPr="00BD0223" w14:paraId="6A8CFB59"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D0E914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MIGUELOPOLIS</w:t>
            </w:r>
          </w:p>
        </w:tc>
        <w:tc>
          <w:tcPr>
            <w:tcW w:w="1138" w:type="dxa"/>
            <w:tcBorders>
              <w:top w:val="nil"/>
              <w:left w:val="nil"/>
              <w:bottom w:val="single" w:sz="4" w:space="0" w:color="auto"/>
              <w:right w:val="single" w:sz="4" w:space="0" w:color="auto"/>
            </w:tcBorders>
            <w:shd w:val="clear" w:color="auto" w:fill="auto"/>
            <w:noWrap/>
            <w:vAlign w:val="bottom"/>
            <w:hideMark/>
          </w:tcPr>
          <w:p w14:paraId="62E89BD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1,59</w:t>
            </w:r>
          </w:p>
        </w:tc>
        <w:tc>
          <w:tcPr>
            <w:tcW w:w="1138" w:type="dxa"/>
            <w:tcBorders>
              <w:top w:val="nil"/>
              <w:left w:val="nil"/>
              <w:bottom w:val="single" w:sz="4" w:space="0" w:color="auto"/>
              <w:right w:val="single" w:sz="4" w:space="0" w:color="auto"/>
            </w:tcBorders>
            <w:shd w:val="clear" w:color="auto" w:fill="auto"/>
            <w:noWrap/>
            <w:vAlign w:val="bottom"/>
            <w:hideMark/>
          </w:tcPr>
          <w:p w14:paraId="10AFB74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2,11</w:t>
            </w:r>
          </w:p>
        </w:tc>
        <w:tc>
          <w:tcPr>
            <w:tcW w:w="1138" w:type="dxa"/>
            <w:tcBorders>
              <w:top w:val="nil"/>
              <w:left w:val="nil"/>
              <w:bottom w:val="single" w:sz="4" w:space="0" w:color="auto"/>
              <w:right w:val="single" w:sz="4" w:space="0" w:color="auto"/>
            </w:tcBorders>
            <w:shd w:val="clear" w:color="auto" w:fill="auto"/>
            <w:noWrap/>
            <w:vAlign w:val="bottom"/>
            <w:hideMark/>
          </w:tcPr>
          <w:p w14:paraId="4016609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2,70</w:t>
            </w:r>
          </w:p>
        </w:tc>
        <w:tc>
          <w:tcPr>
            <w:tcW w:w="1138" w:type="dxa"/>
            <w:tcBorders>
              <w:top w:val="nil"/>
              <w:left w:val="nil"/>
              <w:bottom w:val="single" w:sz="4" w:space="0" w:color="auto"/>
              <w:right w:val="single" w:sz="4" w:space="0" w:color="auto"/>
            </w:tcBorders>
            <w:shd w:val="clear" w:color="auto" w:fill="auto"/>
            <w:noWrap/>
            <w:vAlign w:val="bottom"/>
            <w:hideMark/>
          </w:tcPr>
          <w:p w14:paraId="3584D6E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3,05</w:t>
            </w:r>
          </w:p>
        </w:tc>
        <w:tc>
          <w:tcPr>
            <w:tcW w:w="1138" w:type="dxa"/>
            <w:tcBorders>
              <w:top w:val="nil"/>
              <w:left w:val="nil"/>
              <w:bottom w:val="single" w:sz="4" w:space="0" w:color="auto"/>
              <w:right w:val="single" w:sz="4" w:space="0" w:color="auto"/>
            </w:tcBorders>
            <w:shd w:val="clear" w:color="auto" w:fill="auto"/>
            <w:noWrap/>
            <w:vAlign w:val="bottom"/>
            <w:hideMark/>
          </w:tcPr>
          <w:p w14:paraId="443619E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3,08</w:t>
            </w:r>
          </w:p>
        </w:tc>
      </w:tr>
      <w:tr w:rsidR="00BF12D5" w:rsidRPr="00BD0223" w14:paraId="304899D2"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D93814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MIRA ESTRELA</w:t>
            </w:r>
          </w:p>
        </w:tc>
        <w:tc>
          <w:tcPr>
            <w:tcW w:w="1138" w:type="dxa"/>
            <w:tcBorders>
              <w:top w:val="nil"/>
              <w:left w:val="nil"/>
              <w:bottom w:val="single" w:sz="4" w:space="0" w:color="auto"/>
              <w:right w:val="single" w:sz="4" w:space="0" w:color="auto"/>
            </w:tcBorders>
            <w:shd w:val="clear" w:color="auto" w:fill="auto"/>
            <w:noWrap/>
            <w:vAlign w:val="bottom"/>
            <w:hideMark/>
          </w:tcPr>
          <w:p w14:paraId="5ED2D1D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0,44</w:t>
            </w:r>
          </w:p>
        </w:tc>
        <w:tc>
          <w:tcPr>
            <w:tcW w:w="1138" w:type="dxa"/>
            <w:tcBorders>
              <w:top w:val="nil"/>
              <w:left w:val="nil"/>
              <w:bottom w:val="single" w:sz="4" w:space="0" w:color="auto"/>
              <w:right w:val="single" w:sz="4" w:space="0" w:color="auto"/>
            </w:tcBorders>
            <w:shd w:val="clear" w:color="auto" w:fill="auto"/>
            <w:noWrap/>
            <w:vAlign w:val="bottom"/>
            <w:hideMark/>
          </w:tcPr>
          <w:p w14:paraId="58C7F6A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0,59</w:t>
            </w:r>
          </w:p>
        </w:tc>
        <w:tc>
          <w:tcPr>
            <w:tcW w:w="1138" w:type="dxa"/>
            <w:tcBorders>
              <w:top w:val="nil"/>
              <w:left w:val="nil"/>
              <w:bottom w:val="single" w:sz="4" w:space="0" w:color="auto"/>
              <w:right w:val="single" w:sz="4" w:space="0" w:color="auto"/>
            </w:tcBorders>
            <w:shd w:val="clear" w:color="auto" w:fill="auto"/>
            <w:noWrap/>
            <w:vAlign w:val="bottom"/>
            <w:hideMark/>
          </w:tcPr>
          <w:p w14:paraId="0A4F03B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0,67</w:t>
            </w:r>
          </w:p>
        </w:tc>
        <w:tc>
          <w:tcPr>
            <w:tcW w:w="1138" w:type="dxa"/>
            <w:tcBorders>
              <w:top w:val="nil"/>
              <w:left w:val="nil"/>
              <w:bottom w:val="single" w:sz="4" w:space="0" w:color="auto"/>
              <w:right w:val="single" w:sz="4" w:space="0" w:color="auto"/>
            </w:tcBorders>
            <w:shd w:val="clear" w:color="auto" w:fill="auto"/>
            <w:noWrap/>
            <w:vAlign w:val="bottom"/>
            <w:hideMark/>
          </w:tcPr>
          <w:p w14:paraId="144E7E8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0,69</w:t>
            </w:r>
          </w:p>
        </w:tc>
        <w:tc>
          <w:tcPr>
            <w:tcW w:w="1138" w:type="dxa"/>
            <w:tcBorders>
              <w:top w:val="nil"/>
              <w:left w:val="nil"/>
              <w:bottom w:val="single" w:sz="4" w:space="0" w:color="auto"/>
              <w:right w:val="single" w:sz="4" w:space="0" w:color="auto"/>
            </w:tcBorders>
            <w:shd w:val="clear" w:color="auto" w:fill="auto"/>
            <w:noWrap/>
            <w:vAlign w:val="bottom"/>
            <w:hideMark/>
          </w:tcPr>
          <w:p w14:paraId="22584B2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0,68</w:t>
            </w:r>
          </w:p>
        </w:tc>
      </w:tr>
      <w:tr w:rsidR="00BF12D5" w:rsidRPr="00BD0223" w14:paraId="7C6D1B0E"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C41E80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MIRASSOL</w:t>
            </w:r>
          </w:p>
        </w:tc>
        <w:tc>
          <w:tcPr>
            <w:tcW w:w="1138" w:type="dxa"/>
            <w:tcBorders>
              <w:top w:val="nil"/>
              <w:left w:val="nil"/>
              <w:bottom w:val="single" w:sz="4" w:space="0" w:color="auto"/>
              <w:right w:val="single" w:sz="4" w:space="0" w:color="auto"/>
            </w:tcBorders>
            <w:shd w:val="clear" w:color="auto" w:fill="auto"/>
            <w:noWrap/>
            <w:vAlign w:val="bottom"/>
            <w:hideMark/>
          </w:tcPr>
          <w:p w14:paraId="376F2D1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10,28</w:t>
            </w:r>
          </w:p>
        </w:tc>
        <w:tc>
          <w:tcPr>
            <w:tcW w:w="1138" w:type="dxa"/>
            <w:tcBorders>
              <w:top w:val="nil"/>
              <w:left w:val="nil"/>
              <w:bottom w:val="single" w:sz="4" w:space="0" w:color="auto"/>
              <w:right w:val="single" w:sz="4" w:space="0" w:color="auto"/>
            </w:tcBorders>
            <w:shd w:val="clear" w:color="auto" w:fill="auto"/>
            <w:noWrap/>
            <w:vAlign w:val="bottom"/>
            <w:hideMark/>
          </w:tcPr>
          <w:p w14:paraId="3F22599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15,62</w:t>
            </w:r>
          </w:p>
        </w:tc>
        <w:tc>
          <w:tcPr>
            <w:tcW w:w="1138" w:type="dxa"/>
            <w:tcBorders>
              <w:top w:val="nil"/>
              <w:left w:val="nil"/>
              <w:bottom w:val="single" w:sz="4" w:space="0" w:color="auto"/>
              <w:right w:val="single" w:sz="4" w:space="0" w:color="auto"/>
            </w:tcBorders>
            <w:shd w:val="clear" w:color="auto" w:fill="auto"/>
            <w:noWrap/>
            <w:vAlign w:val="bottom"/>
            <w:hideMark/>
          </w:tcPr>
          <w:p w14:paraId="23D5096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18,04</w:t>
            </w:r>
          </w:p>
        </w:tc>
        <w:tc>
          <w:tcPr>
            <w:tcW w:w="1138" w:type="dxa"/>
            <w:tcBorders>
              <w:top w:val="nil"/>
              <w:left w:val="nil"/>
              <w:bottom w:val="single" w:sz="4" w:space="0" w:color="auto"/>
              <w:right w:val="single" w:sz="4" w:space="0" w:color="auto"/>
            </w:tcBorders>
            <w:shd w:val="clear" w:color="auto" w:fill="auto"/>
            <w:noWrap/>
            <w:vAlign w:val="bottom"/>
            <w:hideMark/>
          </w:tcPr>
          <w:p w14:paraId="3ED733D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16,80</w:t>
            </w:r>
          </w:p>
        </w:tc>
        <w:tc>
          <w:tcPr>
            <w:tcW w:w="1138" w:type="dxa"/>
            <w:tcBorders>
              <w:top w:val="nil"/>
              <w:left w:val="nil"/>
              <w:bottom w:val="single" w:sz="4" w:space="0" w:color="auto"/>
              <w:right w:val="single" w:sz="4" w:space="0" w:color="auto"/>
            </w:tcBorders>
            <w:shd w:val="clear" w:color="auto" w:fill="auto"/>
            <w:noWrap/>
            <w:vAlign w:val="bottom"/>
            <w:hideMark/>
          </w:tcPr>
          <w:p w14:paraId="60ECEDD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16,46</w:t>
            </w:r>
          </w:p>
        </w:tc>
      </w:tr>
      <w:tr w:rsidR="00BF12D5" w:rsidRPr="00BD0223" w14:paraId="1C38CA9D"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0B3F30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MIRASSOLANDIA</w:t>
            </w:r>
          </w:p>
        </w:tc>
        <w:tc>
          <w:tcPr>
            <w:tcW w:w="1138" w:type="dxa"/>
            <w:tcBorders>
              <w:top w:val="nil"/>
              <w:left w:val="nil"/>
              <w:bottom w:val="single" w:sz="4" w:space="0" w:color="auto"/>
              <w:right w:val="single" w:sz="4" w:space="0" w:color="auto"/>
            </w:tcBorders>
            <w:shd w:val="clear" w:color="auto" w:fill="auto"/>
            <w:noWrap/>
            <w:vAlign w:val="bottom"/>
            <w:hideMark/>
          </w:tcPr>
          <w:p w14:paraId="127E3E3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0,38</w:t>
            </w:r>
          </w:p>
        </w:tc>
        <w:tc>
          <w:tcPr>
            <w:tcW w:w="1138" w:type="dxa"/>
            <w:tcBorders>
              <w:top w:val="nil"/>
              <w:left w:val="nil"/>
              <w:bottom w:val="single" w:sz="4" w:space="0" w:color="auto"/>
              <w:right w:val="single" w:sz="4" w:space="0" w:color="auto"/>
            </w:tcBorders>
            <w:shd w:val="clear" w:color="auto" w:fill="auto"/>
            <w:noWrap/>
            <w:vAlign w:val="bottom"/>
            <w:hideMark/>
          </w:tcPr>
          <w:p w14:paraId="1025771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0,47</w:t>
            </w:r>
          </w:p>
        </w:tc>
        <w:tc>
          <w:tcPr>
            <w:tcW w:w="1138" w:type="dxa"/>
            <w:tcBorders>
              <w:top w:val="nil"/>
              <w:left w:val="nil"/>
              <w:bottom w:val="single" w:sz="4" w:space="0" w:color="auto"/>
              <w:right w:val="single" w:sz="4" w:space="0" w:color="auto"/>
            </w:tcBorders>
            <w:shd w:val="clear" w:color="auto" w:fill="auto"/>
            <w:noWrap/>
            <w:vAlign w:val="bottom"/>
            <w:hideMark/>
          </w:tcPr>
          <w:p w14:paraId="0856415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0,54</w:t>
            </w:r>
          </w:p>
        </w:tc>
        <w:tc>
          <w:tcPr>
            <w:tcW w:w="1138" w:type="dxa"/>
            <w:tcBorders>
              <w:top w:val="nil"/>
              <w:left w:val="nil"/>
              <w:bottom w:val="single" w:sz="4" w:space="0" w:color="auto"/>
              <w:right w:val="single" w:sz="4" w:space="0" w:color="auto"/>
            </w:tcBorders>
            <w:shd w:val="clear" w:color="auto" w:fill="auto"/>
            <w:noWrap/>
            <w:vAlign w:val="bottom"/>
            <w:hideMark/>
          </w:tcPr>
          <w:p w14:paraId="7014E36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0,55</w:t>
            </w:r>
          </w:p>
        </w:tc>
        <w:tc>
          <w:tcPr>
            <w:tcW w:w="1138" w:type="dxa"/>
            <w:tcBorders>
              <w:top w:val="nil"/>
              <w:left w:val="nil"/>
              <w:bottom w:val="single" w:sz="4" w:space="0" w:color="auto"/>
              <w:right w:val="single" w:sz="4" w:space="0" w:color="auto"/>
            </w:tcBorders>
            <w:shd w:val="clear" w:color="auto" w:fill="auto"/>
            <w:noWrap/>
            <w:vAlign w:val="bottom"/>
            <w:hideMark/>
          </w:tcPr>
          <w:p w14:paraId="6C65E61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0,65</w:t>
            </w:r>
          </w:p>
        </w:tc>
      </w:tr>
      <w:tr w:rsidR="00BF12D5" w:rsidRPr="00BD0223" w14:paraId="4F47C1CE"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49C19CC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MONCOES</w:t>
            </w:r>
          </w:p>
        </w:tc>
        <w:tc>
          <w:tcPr>
            <w:tcW w:w="1138" w:type="dxa"/>
            <w:tcBorders>
              <w:top w:val="nil"/>
              <w:left w:val="nil"/>
              <w:bottom w:val="single" w:sz="4" w:space="0" w:color="auto"/>
              <w:right w:val="single" w:sz="4" w:space="0" w:color="auto"/>
            </w:tcBorders>
            <w:shd w:val="clear" w:color="auto" w:fill="auto"/>
            <w:noWrap/>
            <w:vAlign w:val="bottom"/>
            <w:hideMark/>
          </w:tcPr>
          <w:p w14:paraId="23A99EB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0,63</w:t>
            </w:r>
          </w:p>
        </w:tc>
        <w:tc>
          <w:tcPr>
            <w:tcW w:w="1138" w:type="dxa"/>
            <w:tcBorders>
              <w:top w:val="nil"/>
              <w:left w:val="nil"/>
              <w:bottom w:val="single" w:sz="4" w:space="0" w:color="auto"/>
              <w:right w:val="single" w:sz="4" w:space="0" w:color="auto"/>
            </w:tcBorders>
            <w:shd w:val="clear" w:color="auto" w:fill="auto"/>
            <w:noWrap/>
            <w:vAlign w:val="bottom"/>
            <w:hideMark/>
          </w:tcPr>
          <w:p w14:paraId="3D3BCE4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0,45</w:t>
            </w:r>
          </w:p>
        </w:tc>
        <w:tc>
          <w:tcPr>
            <w:tcW w:w="1138" w:type="dxa"/>
            <w:tcBorders>
              <w:top w:val="nil"/>
              <w:left w:val="nil"/>
              <w:bottom w:val="single" w:sz="4" w:space="0" w:color="auto"/>
              <w:right w:val="single" w:sz="4" w:space="0" w:color="auto"/>
            </w:tcBorders>
            <w:shd w:val="clear" w:color="auto" w:fill="auto"/>
            <w:noWrap/>
            <w:vAlign w:val="bottom"/>
            <w:hideMark/>
          </w:tcPr>
          <w:p w14:paraId="3A65E2F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0,50</w:t>
            </w:r>
          </w:p>
        </w:tc>
        <w:tc>
          <w:tcPr>
            <w:tcW w:w="1138" w:type="dxa"/>
            <w:tcBorders>
              <w:top w:val="nil"/>
              <w:left w:val="nil"/>
              <w:bottom w:val="single" w:sz="4" w:space="0" w:color="auto"/>
              <w:right w:val="single" w:sz="4" w:space="0" w:color="auto"/>
            </w:tcBorders>
            <w:shd w:val="clear" w:color="auto" w:fill="auto"/>
            <w:noWrap/>
            <w:vAlign w:val="bottom"/>
            <w:hideMark/>
          </w:tcPr>
          <w:p w14:paraId="71C1281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0,43</w:t>
            </w:r>
          </w:p>
        </w:tc>
        <w:tc>
          <w:tcPr>
            <w:tcW w:w="1138" w:type="dxa"/>
            <w:tcBorders>
              <w:top w:val="nil"/>
              <w:left w:val="nil"/>
              <w:bottom w:val="single" w:sz="4" w:space="0" w:color="auto"/>
              <w:right w:val="single" w:sz="4" w:space="0" w:color="auto"/>
            </w:tcBorders>
            <w:shd w:val="clear" w:color="auto" w:fill="auto"/>
            <w:noWrap/>
            <w:vAlign w:val="bottom"/>
            <w:hideMark/>
          </w:tcPr>
          <w:p w14:paraId="1A2D19E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0,39</w:t>
            </w:r>
          </w:p>
        </w:tc>
      </w:tr>
      <w:tr w:rsidR="00BF12D5" w:rsidRPr="00BD0223" w14:paraId="7998D4F3"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EE2E49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MONTE ALTO</w:t>
            </w:r>
          </w:p>
        </w:tc>
        <w:tc>
          <w:tcPr>
            <w:tcW w:w="1138" w:type="dxa"/>
            <w:tcBorders>
              <w:top w:val="nil"/>
              <w:left w:val="nil"/>
              <w:bottom w:val="single" w:sz="4" w:space="0" w:color="auto"/>
              <w:right w:val="single" w:sz="4" w:space="0" w:color="auto"/>
            </w:tcBorders>
            <w:shd w:val="clear" w:color="auto" w:fill="auto"/>
            <w:noWrap/>
            <w:vAlign w:val="bottom"/>
            <w:hideMark/>
          </w:tcPr>
          <w:p w14:paraId="316825C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6,62</w:t>
            </w:r>
          </w:p>
        </w:tc>
        <w:tc>
          <w:tcPr>
            <w:tcW w:w="1138" w:type="dxa"/>
            <w:tcBorders>
              <w:top w:val="nil"/>
              <w:left w:val="nil"/>
              <w:bottom w:val="single" w:sz="4" w:space="0" w:color="auto"/>
              <w:right w:val="single" w:sz="4" w:space="0" w:color="auto"/>
            </w:tcBorders>
            <w:shd w:val="clear" w:color="auto" w:fill="auto"/>
            <w:noWrap/>
            <w:vAlign w:val="bottom"/>
            <w:hideMark/>
          </w:tcPr>
          <w:p w14:paraId="037E5AF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8,43</w:t>
            </w:r>
          </w:p>
        </w:tc>
        <w:tc>
          <w:tcPr>
            <w:tcW w:w="1138" w:type="dxa"/>
            <w:tcBorders>
              <w:top w:val="nil"/>
              <w:left w:val="nil"/>
              <w:bottom w:val="single" w:sz="4" w:space="0" w:color="auto"/>
              <w:right w:val="single" w:sz="4" w:space="0" w:color="auto"/>
            </w:tcBorders>
            <w:shd w:val="clear" w:color="auto" w:fill="auto"/>
            <w:noWrap/>
            <w:vAlign w:val="bottom"/>
            <w:hideMark/>
          </w:tcPr>
          <w:p w14:paraId="2173E85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9,62</w:t>
            </w:r>
          </w:p>
        </w:tc>
        <w:tc>
          <w:tcPr>
            <w:tcW w:w="1138" w:type="dxa"/>
            <w:tcBorders>
              <w:top w:val="nil"/>
              <w:left w:val="nil"/>
              <w:bottom w:val="single" w:sz="4" w:space="0" w:color="auto"/>
              <w:right w:val="single" w:sz="4" w:space="0" w:color="auto"/>
            </w:tcBorders>
            <w:shd w:val="clear" w:color="auto" w:fill="auto"/>
            <w:noWrap/>
            <w:vAlign w:val="bottom"/>
            <w:hideMark/>
          </w:tcPr>
          <w:p w14:paraId="76A4C65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9,60</w:t>
            </w:r>
          </w:p>
        </w:tc>
        <w:tc>
          <w:tcPr>
            <w:tcW w:w="1138" w:type="dxa"/>
            <w:tcBorders>
              <w:top w:val="nil"/>
              <w:left w:val="nil"/>
              <w:bottom w:val="single" w:sz="4" w:space="0" w:color="auto"/>
              <w:right w:val="single" w:sz="4" w:space="0" w:color="auto"/>
            </w:tcBorders>
            <w:shd w:val="clear" w:color="auto" w:fill="auto"/>
            <w:noWrap/>
            <w:vAlign w:val="bottom"/>
            <w:hideMark/>
          </w:tcPr>
          <w:p w14:paraId="2A5AD48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9,32</w:t>
            </w:r>
          </w:p>
        </w:tc>
      </w:tr>
      <w:tr w:rsidR="00BF12D5" w:rsidRPr="00BD0223" w14:paraId="3CF71616"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72E632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MONTE APRAZIVEL</w:t>
            </w:r>
          </w:p>
        </w:tc>
        <w:tc>
          <w:tcPr>
            <w:tcW w:w="1138" w:type="dxa"/>
            <w:tcBorders>
              <w:top w:val="nil"/>
              <w:left w:val="nil"/>
              <w:bottom w:val="single" w:sz="4" w:space="0" w:color="auto"/>
              <w:right w:val="single" w:sz="4" w:space="0" w:color="auto"/>
            </w:tcBorders>
            <w:shd w:val="clear" w:color="auto" w:fill="auto"/>
            <w:noWrap/>
            <w:vAlign w:val="bottom"/>
            <w:hideMark/>
          </w:tcPr>
          <w:p w14:paraId="499F29E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2,66</w:t>
            </w:r>
          </w:p>
        </w:tc>
        <w:tc>
          <w:tcPr>
            <w:tcW w:w="1138" w:type="dxa"/>
            <w:tcBorders>
              <w:top w:val="nil"/>
              <w:left w:val="nil"/>
              <w:bottom w:val="single" w:sz="4" w:space="0" w:color="auto"/>
              <w:right w:val="single" w:sz="4" w:space="0" w:color="auto"/>
            </w:tcBorders>
            <w:shd w:val="clear" w:color="auto" w:fill="auto"/>
            <w:noWrap/>
            <w:vAlign w:val="bottom"/>
            <w:hideMark/>
          </w:tcPr>
          <w:p w14:paraId="7A16A50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3,35</w:t>
            </w:r>
          </w:p>
        </w:tc>
        <w:tc>
          <w:tcPr>
            <w:tcW w:w="1138" w:type="dxa"/>
            <w:tcBorders>
              <w:top w:val="nil"/>
              <w:left w:val="nil"/>
              <w:bottom w:val="single" w:sz="4" w:space="0" w:color="auto"/>
              <w:right w:val="single" w:sz="4" w:space="0" w:color="auto"/>
            </w:tcBorders>
            <w:shd w:val="clear" w:color="auto" w:fill="auto"/>
            <w:noWrap/>
            <w:vAlign w:val="bottom"/>
            <w:hideMark/>
          </w:tcPr>
          <w:p w14:paraId="51C60D4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3,75</w:t>
            </w:r>
          </w:p>
        </w:tc>
        <w:tc>
          <w:tcPr>
            <w:tcW w:w="1138" w:type="dxa"/>
            <w:tcBorders>
              <w:top w:val="nil"/>
              <w:left w:val="nil"/>
              <w:bottom w:val="single" w:sz="4" w:space="0" w:color="auto"/>
              <w:right w:val="single" w:sz="4" w:space="0" w:color="auto"/>
            </w:tcBorders>
            <w:shd w:val="clear" w:color="auto" w:fill="auto"/>
            <w:noWrap/>
            <w:vAlign w:val="bottom"/>
            <w:hideMark/>
          </w:tcPr>
          <w:p w14:paraId="35F75F7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3,75</w:t>
            </w:r>
          </w:p>
        </w:tc>
        <w:tc>
          <w:tcPr>
            <w:tcW w:w="1138" w:type="dxa"/>
            <w:tcBorders>
              <w:top w:val="nil"/>
              <w:left w:val="nil"/>
              <w:bottom w:val="single" w:sz="4" w:space="0" w:color="auto"/>
              <w:right w:val="single" w:sz="4" w:space="0" w:color="auto"/>
            </w:tcBorders>
            <w:shd w:val="clear" w:color="auto" w:fill="auto"/>
            <w:noWrap/>
            <w:vAlign w:val="bottom"/>
            <w:hideMark/>
          </w:tcPr>
          <w:p w14:paraId="6E1529F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4,46</w:t>
            </w:r>
          </w:p>
        </w:tc>
      </w:tr>
      <w:tr w:rsidR="00BF12D5" w:rsidRPr="00BD0223" w14:paraId="7E6DFC8D"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E17167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MONTE AZUL PAULISTA</w:t>
            </w:r>
          </w:p>
        </w:tc>
        <w:tc>
          <w:tcPr>
            <w:tcW w:w="1138" w:type="dxa"/>
            <w:tcBorders>
              <w:top w:val="nil"/>
              <w:left w:val="nil"/>
              <w:bottom w:val="single" w:sz="4" w:space="0" w:color="auto"/>
              <w:right w:val="single" w:sz="4" w:space="0" w:color="auto"/>
            </w:tcBorders>
            <w:shd w:val="clear" w:color="auto" w:fill="auto"/>
            <w:noWrap/>
            <w:vAlign w:val="bottom"/>
            <w:hideMark/>
          </w:tcPr>
          <w:p w14:paraId="06C6CB1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2,04</w:t>
            </w:r>
          </w:p>
        </w:tc>
        <w:tc>
          <w:tcPr>
            <w:tcW w:w="1138" w:type="dxa"/>
            <w:tcBorders>
              <w:top w:val="nil"/>
              <w:left w:val="nil"/>
              <w:bottom w:val="single" w:sz="4" w:space="0" w:color="auto"/>
              <w:right w:val="single" w:sz="4" w:space="0" w:color="auto"/>
            </w:tcBorders>
            <w:shd w:val="clear" w:color="auto" w:fill="auto"/>
            <w:noWrap/>
            <w:vAlign w:val="bottom"/>
            <w:hideMark/>
          </w:tcPr>
          <w:p w14:paraId="13694F9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2,66</w:t>
            </w:r>
          </w:p>
        </w:tc>
        <w:tc>
          <w:tcPr>
            <w:tcW w:w="1138" w:type="dxa"/>
            <w:tcBorders>
              <w:top w:val="nil"/>
              <w:left w:val="nil"/>
              <w:bottom w:val="single" w:sz="4" w:space="0" w:color="auto"/>
              <w:right w:val="single" w:sz="4" w:space="0" w:color="auto"/>
            </w:tcBorders>
            <w:shd w:val="clear" w:color="auto" w:fill="auto"/>
            <w:noWrap/>
            <w:vAlign w:val="bottom"/>
            <w:hideMark/>
          </w:tcPr>
          <w:p w14:paraId="4A1E92A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2,93</w:t>
            </w:r>
          </w:p>
        </w:tc>
        <w:tc>
          <w:tcPr>
            <w:tcW w:w="1138" w:type="dxa"/>
            <w:tcBorders>
              <w:top w:val="nil"/>
              <w:left w:val="nil"/>
              <w:bottom w:val="single" w:sz="4" w:space="0" w:color="auto"/>
              <w:right w:val="single" w:sz="4" w:space="0" w:color="auto"/>
            </w:tcBorders>
            <w:shd w:val="clear" w:color="auto" w:fill="auto"/>
            <w:noWrap/>
            <w:vAlign w:val="bottom"/>
            <w:hideMark/>
          </w:tcPr>
          <w:p w14:paraId="11ED82E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2,87</w:t>
            </w:r>
          </w:p>
        </w:tc>
        <w:tc>
          <w:tcPr>
            <w:tcW w:w="1138" w:type="dxa"/>
            <w:tcBorders>
              <w:top w:val="nil"/>
              <w:left w:val="nil"/>
              <w:bottom w:val="single" w:sz="4" w:space="0" w:color="auto"/>
              <w:right w:val="single" w:sz="4" w:space="0" w:color="auto"/>
            </w:tcBorders>
            <w:shd w:val="clear" w:color="auto" w:fill="auto"/>
            <w:noWrap/>
            <w:vAlign w:val="bottom"/>
            <w:hideMark/>
          </w:tcPr>
          <w:p w14:paraId="5FC407D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3,02</w:t>
            </w:r>
          </w:p>
        </w:tc>
      </w:tr>
      <w:tr w:rsidR="00BF12D5" w:rsidRPr="00BD0223" w14:paraId="1389B375"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5C7E9C9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MORRO AGUDO</w:t>
            </w:r>
          </w:p>
        </w:tc>
        <w:tc>
          <w:tcPr>
            <w:tcW w:w="1138" w:type="dxa"/>
            <w:tcBorders>
              <w:top w:val="nil"/>
              <w:left w:val="nil"/>
              <w:bottom w:val="single" w:sz="4" w:space="0" w:color="auto"/>
              <w:right w:val="single" w:sz="4" w:space="0" w:color="auto"/>
            </w:tcBorders>
            <w:shd w:val="clear" w:color="auto" w:fill="auto"/>
            <w:noWrap/>
            <w:vAlign w:val="bottom"/>
            <w:hideMark/>
          </w:tcPr>
          <w:p w14:paraId="00493D8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2,45</w:t>
            </w:r>
          </w:p>
        </w:tc>
        <w:tc>
          <w:tcPr>
            <w:tcW w:w="1138" w:type="dxa"/>
            <w:tcBorders>
              <w:top w:val="nil"/>
              <w:left w:val="nil"/>
              <w:bottom w:val="single" w:sz="4" w:space="0" w:color="auto"/>
              <w:right w:val="single" w:sz="4" w:space="0" w:color="auto"/>
            </w:tcBorders>
            <w:shd w:val="clear" w:color="auto" w:fill="auto"/>
            <w:noWrap/>
            <w:vAlign w:val="bottom"/>
            <w:hideMark/>
          </w:tcPr>
          <w:p w14:paraId="14C9DEC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3,31</w:t>
            </w:r>
          </w:p>
        </w:tc>
        <w:tc>
          <w:tcPr>
            <w:tcW w:w="1138" w:type="dxa"/>
            <w:tcBorders>
              <w:top w:val="nil"/>
              <w:left w:val="nil"/>
              <w:bottom w:val="single" w:sz="4" w:space="0" w:color="auto"/>
              <w:right w:val="single" w:sz="4" w:space="0" w:color="auto"/>
            </w:tcBorders>
            <w:shd w:val="clear" w:color="auto" w:fill="auto"/>
            <w:noWrap/>
            <w:vAlign w:val="bottom"/>
            <w:hideMark/>
          </w:tcPr>
          <w:p w14:paraId="1F751CE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3,63</w:t>
            </w:r>
          </w:p>
        </w:tc>
        <w:tc>
          <w:tcPr>
            <w:tcW w:w="1138" w:type="dxa"/>
            <w:tcBorders>
              <w:top w:val="nil"/>
              <w:left w:val="nil"/>
              <w:bottom w:val="single" w:sz="4" w:space="0" w:color="auto"/>
              <w:right w:val="single" w:sz="4" w:space="0" w:color="auto"/>
            </w:tcBorders>
            <w:shd w:val="clear" w:color="auto" w:fill="auto"/>
            <w:noWrap/>
            <w:vAlign w:val="bottom"/>
            <w:hideMark/>
          </w:tcPr>
          <w:p w14:paraId="6AE2246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3,62</w:t>
            </w:r>
          </w:p>
        </w:tc>
        <w:tc>
          <w:tcPr>
            <w:tcW w:w="1138" w:type="dxa"/>
            <w:tcBorders>
              <w:top w:val="nil"/>
              <w:left w:val="nil"/>
              <w:bottom w:val="single" w:sz="4" w:space="0" w:color="auto"/>
              <w:right w:val="single" w:sz="4" w:space="0" w:color="auto"/>
            </w:tcBorders>
            <w:shd w:val="clear" w:color="auto" w:fill="auto"/>
            <w:noWrap/>
            <w:vAlign w:val="bottom"/>
            <w:hideMark/>
          </w:tcPr>
          <w:p w14:paraId="009C9EE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3,98</w:t>
            </w:r>
          </w:p>
        </w:tc>
      </w:tr>
      <w:tr w:rsidR="00BF12D5" w:rsidRPr="00BD0223" w14:paraId="0932FB41"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24B63C5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NEVES PAULISTA</w:t>
            </w:r>
          </w:p>
        </w:tc>
        <w:tc>
          <w:tcPr>
            <w:tcW w:w="1138" w:type="dxa"/>
            <w:tcBorders>
              <w:top w:val="nil"/>
              <w:left w:val="nil"/>
              <w:bottom w:val="single" w:sz="4" w:space="0" w:color="auto"/>
              <w:right w:val="single" w:sz="4" w:space="0" w:color="auto"/>
            </w:tcBorders>
            <w:shd w:val="clear" w:color="auto" w:fill="auto"/>
            <w:noWrap/>
            <w:vAlign w:val="bottom"/>
            <w:hideMark/>
          </w:tcPr>
          <w:p w14:paraId="7E349FD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0,88</w:t>
            </w:r>
          </w:p>
        </w:tc>
        <w:tc>
          <w:tcPr>
            <w:tcW w:w="1138" w:type="dxa"/>
            <w:tcBorders>
              <w:top w:val="nil"/>
              <w:left w:val="nil"/>
              <w:bottom w:val="single" w:sz="4" w:space="0" w:color="auto"/>
              <w:right w:val="single" w:sz="4" w:space="0" w:color="auto"/>
            </w:tcBorders>
            <w:shd w:val="clear" w:color="auto" w:fill="auto"/>
            <w:noWrap/>
            <w:vAlign w:val="bottom"/>
            <w:hideMark/>
          </w:tcPr>
          <w:p w14:paraId="43E5DED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1,10</w:t>
            </w:r>
          </w:p>
        </w:tc>
        <w:tc>
          <w:tcPr>
            <w:tcW w:w="1138" w:type="dxa"/>
            <w:tcBorders>
              <w:top w:val="nil"/>
              <w:left w:val="nil"/>
              <w:bottom w:val="single" w:sz="4" w:space="0" w:color="auto"/>
              <w:right w:val="single" w:sz="4" w:space="0" w:color="auto"/>
            </w:tcBorders>
            <w:shd w:val="clear" w:color="auto" w:fill="auto"/>
            <w:noWrap/>
            <w:vAlign w:val="bottom"/>
            <w:hideMark/>
          </w:tcPr>
          <w:p w14:paraId="64A23EB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1,29</w:t>
            </w:r>
          </w:p>
        </w:tc>
        <w:tc>
          <w:tcPr>
            <w:tcW w:w="1138" w:type="dxa"/>
            <w:tcBorders>
              <w:top w:val="nil"/>
              <w:left w:val="nil"/>
              <w:bottom w:val="single" w:sz="4" w:space="0" w:color="auto"/>
              <w:right w:val="single" w:sz="4" w:space="0" w:color="auto"/>
            </w:tcBorders>
            <w:shd w:val="clear" w:color="auto" w:fill="auto"/>
            <w:noWrap/>
            <w:vAlign w:val="bottom"/>
            <w:hideMark/>
          </w:tcPr>
          <w:p w14:paraId="3F4CA1D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1,31</w:t>
            </w:r>
          </w:p>
        </w:tc>
        <w:tc>
          <w:tcPr>
            <w:tcW w:w="1138" w:type="dxa"/>
            <w:tcBorders>
              <w:top w:val="nil"/>
              <w:left w:val="nil"/>
              <w:bottom w:val="single" w:sz="4" w:space="0" w:color="auto"/>
              <w:right w:val="single" w:sz="4" w:space="0" w:color="auto"/>
            </w:tcBorders>
            <w:shd w:val="clear" w:color="auto" w:fill="auto"/>
            <w:noWrap/>
            <w:vAlign w:val="bottom"/>
            <w:hideMark/>
          </w:tcPr>
          <w:p w14:paraId="79E960C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1,36</w:t>
            </w:r>
          </w:p>
        </w:tc>
      </w:tr>
      <w:tr w:rsidR="00BF12D5" w:rsidRPr="00BD0223" w14:paraId="014C6778"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3DDA66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NHANDEARA</w:t>
            </w:r>
          </w:p>
        </w:tc>
        <w:tc>
          <w:tcPr>
            <w:tcW w:w="1138" w:type="dxa"/>
            <w:tcBorders>
              <w:top w:val="nil"/>
              <w:left w:val="nil"/>
              <w:bottom w:val="single" w:sz="4" w:space="0" w:color="auto"/>
              <w:right w:val="single" w:sz="4" w:space="0" w:color="auto"/>
            </w:tcBorders>
            <w:shd w:val="clear" w:color="auto" w:fill="auto"/>
            <w:noWrap/>
            <w:vAlign w:val="bottom"/>
            <w:hideMark/>
          </w:tcPr>
          <w:p w14:paraId="6944D92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1,33</w:t>
            </w:r>
          </w:p>
        </w:tc>
        <w:tc>
          <w:tcPr>
            <w:tcW w:w="1138" w:type="dxa"/>
            <w:tcBorders>
              <w:top w:val="nil"/>
              <w:left w:val="nil"/>
              <w:bottom w:val="single" w:sz="4" w:space="0" w:color="auto"/>
              <w:right w:val="single" w:sz="4" w:space="0" w:color="auto"/>
            </w:tcBorders>
            <w:shd w:val="clear" w:color="auto" w:fill="auto"/>
            <w:noWrap/>
            <w:vAlign w:val="bottom"/>
            <w:hideMark/>
          </w:tcPr>
          <w:p w14:paraId="114BF8C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1,97</w:t>
            </w:r>
          </w:p>
        </w:tc>
        <w:tc>
          <w:tcPr>
            <w:tcW w:w="1138" w:type="dxa"/>
            <w:tcBorders>
              <w:top w:val="nil"/>
              <w:left w:val="nil"/>
              <w:bottom w:val="single" w:sz="4" w:space="0" w:color="auto"/>
              <w:right w:val="single" w:sz="4" w:space="0" w:color="auto"/>
            </w:tcBorders>
            <w:shd w:val="clear" w:color="auto" w:fill="auto"/>
            <w:noWrap/>
            <w:vAlign w:val="bottom"/>
            <w:hideMark/>
          </w:tcPr>
          <w:p w14:paraId="2A92A51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2,60</w:t>
            </w:r>
          </w:p>
        </w:tc>
        <w:tc>
          <w:tcPr>
            <w:tcW w:w="1138" w:type="dxa"/>
            <w:tcBorders>
              <w:top w:val="nil"/>
              <w:left w:val="nil"/>
              <w:bottom w:val="single" w:sz="4" w:space="0" w:color="auto"/>
              <w:right w:val="single" w:sz="4" w:space="0" w:color="auto"/>
            </w:tcBorders>
            <w:shd w:val="clear" w:color="auto" w:fill="auto"/>
            <w:noWrap/>
            <w:vAlign w:val="bottom"/>
            <w:hideMark/>
          </w:tcPr>
          <w:p w14:paraId="56D3ED7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2,36</w:t>
            </w:r>
          </w:p>
        </w:tc>
        <w:tc>
          <w:tcPr>
            <w:tcW w:w="1138" w:type="dxa"/>
            <w:tcBorders>
              <w:top w:val="nil"/>
              <w:left w:val="nil"/>
              <w:bottom w:val="single" w:sz="4" w:space="0" w:color="auto"/>
              <w:right w:val="single" w:sz="4" w:space="0" w:color="auto"/>
            </w:tcBorders>
            <w:shd w:val="clear" w:color="auto" w:fill="auto"/>
            <w:noWrap/>
            <w:vAlign w:val="bottom"/>
            <w:hideMark/>
          </w:tcPr>
          <w:p w14:paraId="1B4A027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2,29</w:t>
            </w:r>
          </w:p>
        </w:tc>
      </w:tr>
      <w:tr w:rsidR="00BF12D5" w:rsidRPr="00BD0223" w14:paraId="3A947273"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B2A25D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NIPOA</w:t>
            </w:r>
          </w:p>
        </w:tc>
        <w:tc>
          <w:tcPr>
            <w:tcW w:w="1138" w:type="dxa"/>
            <w:tcBorders>
              <w:top w:val="nil"/>
              <w:left w:val="nil"/>
              <w:bottom w:val="single" w:sz="4" w:space="0" w:color="auto"/>
              <w:right w:val="single" w:sz="4" w:space="0" w:color="auto"/>
            </w:tcBorders>
            <w:shd w:val="clear" w:color="auto" w:fill="auto"/>
            <w:noWrap/>
            <w:vAlign w:val="bottom"/>
            <w:hideMark/>
          </w:tcPr>
          <w:p w14:paraId="4AFA41E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0,43</w:t>
            </w:r>
          </w:p>
        </w:tc>
        <w:tc>
          <w:tcPr>
            <w:tcW w:w="1138" w:type="dxa"/>
            <w:tcBorders>
              <w:top w:val="nil"/>
              <w:left w:val="nil"/>
              <w:bottom w:val="single" w:sz="4" w:space="0" w:color="auto"/>
              <w:right w:val="single" w:sz="4" w:space="0" w:color="auto"/>
            </w:tcBorders>
            <w:shd w:val="clear" w:color="auto" w:fill="auto"/>
            <w:noWrap/>
            <w:vAlign w:val="bottom"/>
            <w:hideMark/>
          </w:tcPr>
          <w:p w14:paraId="7DBF4B7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0,52</w:t>
            </w:r>
          </w:p>
        </w:tc>
        <w:tc>
          <w:tcPr>
            <w:tcW w:w="1138" w:type="dxa"/>
            <w:tcBorders>
              <w:top w:val="nil"/>
              <w:left w:val="nil"/>
              <w:bottom w:val="single" w:sz="4" w:space="0" w:color="auto"/>
              <w:right w:val="single" w:sz="4" w:space="0" w:color="auto"/>
            </w:tcBorders>
            <w:shd w:val="clear" w:color="auto" w:fill="auto"/>
            <w:noWrap/>
            <w:vAlign w:val="bottom"/>
            <w:hideMark/>
          </w:tcPr>
          <w:p w14:paraId="2EBE89B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0,72</w:t>
            </w:r>
          </w:p>
        </w:tc>
        <w:tc>
          <w:tcPr>
            <w:tcW w:w="1138" w:type="dxa"/>
            <w:tcBorders>
              <w:top w:val="nil"/>
              <w:left w:val="nil"/>
              <w:bottom w:val="single" w:sz="4" w:space="0" w:color="auto"/>
              <w:right w:val="single" w:sz="4" w:space="0" w:color="auto"/>
            </w:tcBorders>
            <w:shd w:val="clear" w:color="auto" w:fill="auto"/>
            <w:noWrap/>
            <w:vAlign w:val="bottom"/>
            <w:hideMark/>
          </w:tcPr>
          <w:p w14:paraId="5EB7076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0,66</w:t>
            </w:r>
          </w:p>
        </w:tc>
        <w:tc>
          <w:tcPr>
            <w:tcW w:w="1138" w:type="dxa"/>
            <w:tcBorders>
              <w:top w:val="nil"/>
              <w:left w:val="nil"/>
              <w:bottom w:val="single" w:sz="4" w:space="0" w:color="auto"/>
              <w:right w:val="single" w:sz="4" w:space="0" w:color="auto"/>
            </w:tcBorders>
            <w:shd w:val="clear" w:color="auto" w:fill="auto"/>
            <w:noWrap/>
            <w:vAlign w:val="bottom"/>
            <w:hideMark/>
          </w:tcPr>
          <w:p w14:paraId="2EA2E76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0,73</w:t>
            </w:r>
          </w:p>
        </w:tc>
      </w:tr>
      <w:tr w:rsidR="00BF12D5" w:rsidRPr="00BD0223" w14:paraId="7AAF323B"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BF76E4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NOVA CANAA PAULISTA</w:t>
            </w:r>
          </w:p>
        </w:tc>
        <w:tc>
          <w:tcPr>
            <w:tcW w:w="1138" w:type="dxa"/>
            <w:tcBorders>
              <w:top w:val="nil"/>
              <w:left w:val="nil"/>
              <w:bottom w:val="single" w:sz="4" w:space="0" w:color="auto"/>
              <w:right w:val="single" w:sz="4" w:space="0" w:color="auto"/>
            </w:tcBorders>
            <w:shd w:val="clear" w:color="auto" w:fill="auto"/>
            <w:noWrap/>
            <w:vAlign w:val="bottom"/>
            <w:hideMark/>
          </w:tcPr>
          <w:p w14:paraId="0E4F9FF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0,09</w:t>
            </w:r>
          </w:p>
        </w:tc>
        <w:tc>
          <w:tcPr>
            <w:tcW w:w="1138" w:type="dxa"/>
            <w:tcBorders>
              <w:top w:val="nil"/>
              <w:left w:val="nil"/>
              <w:bottom w:val="single" w:sz="4" w:space="0" w:color="auto"/>
              <w:right w:val="single" w:sz="4" w:space="0" w:color="auto"/>
            </w:tcBorders>
            <w:shd w:val="clear" w:color="auto" w:fill="auto"/>
            <w:noWrap/>
            <w:vAlign w:val="bottom"/>
            <w:hideMark/>
          </w:tcPr>
          <w:p w14:paraId="1FB7D94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0,13</w:t>
            </w:r>
          </w:p>
        </w:tc>
        <w:tc>
          <w:tcPr>
            <w:tcW w:w="1138" w:type="dxa"/>
            <w:tcBorders>
              <w:top w:val="nil"/>
              <w:left w:val="nil"/>
              <w:bottom w:val="single" w:sz="4" w:space="0" w:color="auto"/>
              <w:right w:val="single" w:sz="4" w:space="0" w:color="auto"/>
            </w:tcBorders>
            <w:shd w:val="clear" w:color="auto" w:fill="auto"/>
            <w:noWrap/>
            <w:vAlign w:val="bottom"/>
            <w:hideMark/>
          </w:tcPr>
          <w:p w14:paraId="6B16AAB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0,16</w:t>
            </w:r>
          </w:p>
        </w:tc>
        <w:tc>
          <w:tcPr>
            <w:tcW w:w="1138" w:type="dxa"/>
            <w:tcBorders>
              <w:top w:val="nil"/>
              <w:left w:val="nil"/>
              <w:bottom w:val="single" w:sz="4" w:space="0" w:color="auto"/>
              <w:right w:val="single" w:sz="4" w:space="0" w:color="auto"/>
            </w:tcBorders>
            <w:shd w:val="clear" w:color="auto" w:fill="auto"/>
            <w:noWrap/>
            <w:vAlign w:val="bottom"/>
            <w:hideMark/>
          </w:tcPr>
          <w:p w14:paraId="5FA0245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0,21</w:t>
            </w:r>
          </w:p>
        </w:tc>
        <w:tc>
          <w:tcPr>
            <w:tcW w:w="1138" w:type="dxa"/>
            <w:tcBorders>
              <w:top w:val="nil"/>
              <w:left w:val="nil"/>
              <w:bottom w:val="single" w:sz="4" w:space="0" w:color="auto"/>
              <w:right w:val="single" w:sz="4" w:space="0" w:color="auto"/>
            </w:tcBorders>
            <w:shd w:val="clear" w:color="auto" w:fill="auto"/>
            <w:noWrap/>
            <w:vAlign w:val="bottom"/>
            <w:hideMark/>
          </w:tcPr>
          <w:p w14:paraId="1D9F132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0,24</w:t>
            </w:r>
          </w:p>
        </w:tc>
      </w:tr>
      <w:tr w:rsidR="00BF12D5" w:rsidRPr="00BD0223" w14:paraId="0318F73A"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2E270AE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NOVA CASTILHO</w:t>
            </w:r>
          </w:p>
        </w:tc>
        <w:tc>
          <w:tcPr>
            <w:tcW w:w="1138" w:type="dxa"/>
            <w:tcBorders>
              <w:top w:val="nil"/>
              <w:left w:val="nil"/>
              <w:bottom w:val="single" w:sz="4" w:space="0" w:color="auto"/>
              <w:right w:val="single" w:sz="4" w:space="0" w:color="auto"/>
            </w:tcBorders>
            <w:shd w:val="clear" w:color="auto" w:fill="auto"/>
            <w:noWrap/>
            <w:vAlign w:val="bottom"/>
            <w:hideMark/>
          </w:tcPr>
          <w:p w14:paraId="2ADB0BE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0,05</w:t>
            </w:r>
          </w:p>
        </w:tc>
        <w:tc>
          <w:tcPr>
            <w:tcW w:w="1138" w:type="dxa"/>
            <w:tcBorders>
              <w:top w:val="nil"/>
              <w:left w:val="nil"/>
              <w:bottom w:val="single" w:sz="4" w:space="0" w:color="auto"/>
              <w:right w:val="single" w:sz="4" w:space="0" w:color="auto"/>
            </w:tcBorders>
            <w:shd w:val="clear" w:color="auto" w:fill="auto"/>
            <w:noWrap/>
            <w:vAlign w:val="bottom"/>
            <w:hideMark/>
          </w:tcPr>
          <w:p w14:paraId="3065572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0,06</w:t>
            </w:r>
          </w:p>
        </w:tc>
        <w:tc>
          <w:tcPr>
            <w:tcW w:w="1138" w:type="dxa"/>
            <w:tcBorders>
              <w:top w:val="nil"/>
              <w:left w:val="nil"/>
              <w:bottom w:val="single" w:sz="4" w:space="0" w:color="auto"/>
              <w:right w:val="single" w:sz="4" w:space="0" w:color="auto"/>
            </w:tcBorders>
            <w:shd w:val="clear" w:color="auto" w:fill="auto"/>
            <w:noWrap/>
            <w:vAlign w:val="bottom"/>
            <w:hideMark/>
          </w:tcPr>
          <w:p w14:paraId="3ACDDED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0,07</w:t>
            </w:r>
          </w:p>
        </w:tc>
        <w:tc>
          <w:tcPr>
            <w:tcW w:w="1138" w:type="dxa"/>
            <w:tcBorders>
              <w:top w:val="nil"/>
              <w:left w:val="nil"/>
              <w:bottom w:val="single" w:sz="4" w:space="0" w:color="auto"/>
              <w:right w:val="single" w:sz="4" w:space="0" w:color="auto"/>
            </w:tcBorders>
            <w:shd w:val="clear" w:color="auto" w:fill="auto"/>
            <w:noWrap/>
            <w:vAlign w:val="bottom"/>
            <w:hideMark/>
          </w:tcPr>
          <w:p w14:paraId="06E9DBB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0,07</w:t>
            </w:r>
          </w:p>
        </w:tc>
        <w:tc>
          <w:tcPr>
            <w:tcW w:w="1138" w:type="dxa"/>
            <w:tcBorders>
              <w:top w:val="nil"/>
              <w:left w:val="nil"/>
              <w:bottom w:val="single" w:sz="4" w:space="0" w:color="auto"/>
              <w:right w:val="single" w:sz="4" w:space="0" w:color="auto"/>
            </w:tcBorders>
            <w:shd w:val="clear" w:color="auto" w:fill="auto"/>
            <w:noWrap/>
            <w:vAlign w:val="bottom"/>
            <w:hideMark/>
          </w:tcPr>
          <w:p w14:paraId="549F6CA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0,08</w:t>
            </w:r>
          </w:p>
        </w:tc>
      </w:tr>
      <w:tr w:rsidR="00BF12D5" w:rsidRPr="00BD0223" w14:paraId="54862DE9"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FD11F6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NOVAIS</w:t>
            </w:r>
          </w:p>
        </w:tc>
        <w:tc>
          <w:tcPr>
            <w:tcW w:w="1138" w:type="dxa"/>
            <w:tcBorders>
              <w:top w:val="nil"/>
              <w:left w:val="nil"/>
              <w:bottom w:val="single" w:sz="4" w:space="0" w:color="auto"/>
              <w:right w:val="single" w:sz="4" w:space="0" w:color="auto"/>
            </w:tcBorders>
            <w:shd w:val="clear" w:color="auto" w:fill="auto"/>
            <w:noWrap/>
            <w:vAlign w:val="bottom"/>
            <w:hideMark/>
          </w:tcPr>
          <w:p w14:paraId="44AE4FC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0,12</w:t>
            </w:r>
          </w:p>
        </w:tc>
        <w:tc>
          <w:tcPr>
            <w:tcW w:w="1138" w:type="dxa"/>
            <w:tcBorders>
              <w:top w:val="nil"/>
              <w:left w:val="nil"/>
              <w:bottom w:val="single" w:sz="4" w:space="0" w:color="auto"/>
              <w:right w:val="single" w:sz="4" w:space="0" w:color="auto"/>
            </w:tcBorders>
            <w:shd w:val="clear" w:color="auto" w:fill="auto"/>
            <w:noWrap/>
            <w:vAlign w:val="bottom"/>
            <w:hideMark/>
          </w:tcPr>
          <w:p w14:paraId="6E37F11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0,18</w:t>
            </w:r>
          </w:p>
        </w:tc>
        <w:tc>
          <w:tcPr>
            <w:tcW w:w="1138" w:type="dxa"/>
            <w:tcBorders>
              <w:top w:val="nil"/>
              <w:left w:val="nil"/>
              <w:bottom w:val="single" w:sz="4" w:space="0" w:color="auto"/>
              <w:right w:val="single" w:sz="4" w:space="0" w:color="auto"/>
            </w:tcBorders>
            <w:shd w:val="clear" w:color="auto" w:fill="auto"/>
            <w:noWrap/>
            <w:vAlign w:val="bottom"/>
            <w:hideMark/>
          </w:tcPr>
          <w:p w14:paraId="7328F11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0,24</w:t>
            </w:r>
          </w:p>
        </w:tc>
        <w:tc>
          <w:tcPr>
            <w:tcW w:w="1138" w:type="dxa"/>
            <w:tcBorders>
              <w:top w:val="nil"/>
              <w:left w:val="nil"/>
              <w:bottom w:val="single" w:sz="4" w:space="0" w:color="auto"/>
              <w:right w:val="single" w:sz="4" w:space="0" w:color="auto"/>
            </w:tcBorders>
            <w:shd w:val="clear" w:color="auto" w:fill="auto"/>
            <w:noWrap/>
            <w:vAlign w:val="bottom"/>
            <w:hideMark/>
          </w:tcPr>
          <w:p w14:paraId="04B61BB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0,28</w:t>
            </w:r>
          </w:p>
        </w:tc>
        <w:tc>
          <w:tcPr>
            <w:tcW w:w="1138" w:type="dxa"/>
            <w:tcBorders>
              <w:top w:val="nil"/>
              <w:left w:val="nil"/>
              <w:bottom w:val="single" w:sz="4" w:space="0" w:color="auto"/>
              <w:right w:val="single" w:sz="4" w:space="0" w:color="auto"/>
            </w:tcBorders>
            <w:shd w:val="clear" w:color="auto" w:fill="auto"/>
            <w:noWrap/>
            <w:vAlign w:val="bottom"/>
            <w:hideMark/>
          </w:tcPr>
          <w:p w14:paraId="5952B21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0,30</w:t>
            </w:r>
          </w:p>
        </w:tc>
      </w:tr>
      <w:tr w:rsidR="00BF12D5" w:rsidRPr="00BD0223" w14:paraId="4B4F3E0D"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A9C278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lastRenderedPageBreak/>
              <w:t>NOVO HORIZONTE</w:t>
            </w:r>
          </w:p>
        </w:tc>
        <w:tc>
          <w:tcPr>
            <w:tcW w:w="1138" w:type="dxa"/>
            <w:tcBorders>
              <w:top w:val="nil"/>
              <w:left w:val="nil"/>
              <w:bottom w:val="single" w:sz="4" w:space="0" w:color="auto"/>
              <w:right w:val="single" w:sz="4" w:space="0" w:color="auto"/>
            </w:tcBorders>
            <w:shd w:val="clear" w:color="auto" w:fill="auto"/>
            <w:noWrap/>
            <w:vAlign w:val="bottom"/>
            <w:hideMark/>
          </w:tcPr>
          <w:p w14:paraId="13A51E6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3,60</w:t>
            </w:r>
          </w:p>
        </w:tc>
        <w:tc>
          <w:tcPr>
            <w:tcW w:w="1138" w:type="dxa"/>
            <w:tcBorders>
              <w:top w:val="nil"/>
              <w:left w:val="nil"/>
              <w:bottom w:val="single" w:sz="4" w:space="0" w:color="auto"/>
              <w:right w:val="single" w:sz="4" w:space="0" w:color="auto"/>
            </w:tcBorders>
            <w:shd w:val="clear" w:color="auto" w:fill="auto"/>
            <w:noWrap/>
            <w:vAlign w:val="bottom"/>
            <w:hideMark/>
          </w:tcPr>
          <w:p w14:paraId="408BAC9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5,15</w:t>
            </w:r>
          </w:p>
        </w:tc>
        <w:tc>
          <w:tcPr>
            <w:tcW w:w="1138" w:type="dxa"/>
            <w:tcBorders>
              <w:top w:val="nil"/>
              <w:left w:val="nil"/>
              <w:bottom w:val="single" w:sz="4" w:space="0" w:color="auto"/>
              <w:right w:val="single" w:sz="4" w:space="0" w:color="auto"/>
            </w:tcBorders>
            <w:shd w:val="clear" w:color="auto" w:fill="auto"/>
            <w:noWrap/>
            <w:vAlign w:val="bottom"/>
            <w:hideMark/>
          </w:tcPr>
          <w:p w14:paraId="4968AA3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5,63</w:t>
            </w:r>
          </w:p>
        </w:tc>
        <w:tc>
          <w:tcPr>
            <w:tcW w:w="1138" w:type="dxa"/>
            <w:tcBorders>
              <w:top w:val="nil"/>
              <w:left w:val="nil"/>
              <w:bottom w:val="single" w:sz="4" w:space="0" w:color="auto"/>
              <w:right w:val="single" w:sz="4" w:space="0" w:color="auto"/>
            </w:tcBorders>
            <w:shd w:val="clear" w:color="auto" w:fill="auto"/>
            <w:noWrap/>
            <w:vAlign w:val="bottom"/>
            <w:hideMark/>
          </w:tcPr>
          <w:p w14:paraId="4F56006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5,47</w:t>
            </w:r>
          </w:p>
        </w:tc>
        <w:tc>
          <w:tcPr>
            <w:tcW w:w="1138" w:type="dxa"/>
            <w:tcBorders>
              <w:top w:val="nil"/>
              <w:left w:val="nil"/>
              <w:bottom w:val="single" w:sz="4" w:space="0" w:color="auto"/>
              <w:right w:val="single" w:sz="4" w:space="0" w:color="auto"/>
            </w:tcBorders>
            <w:shd w:val="clear" w:color="auto" w:fill="auto"/>
            <w:noWrap/>
            <w:vAlign w:val="bottom"/>
            <w:hideMark/>
          </w:tcPr>
          <w:p w14:paraId="3159564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5,68</w:t>
            </w:r>
          </w:p>
        </w:tc>
      </w:tr>
      <w:tr w:rsidR="00BF12D5" w:rsidRPr="00BD0223" w14:paraId="7AC17492"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A0C604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NUPORANGA</w:t>
            </w:r>
          </w:p>
        </w:tc>
        <w:tc>
          <w:tcPr>
            <w:tcW w:w="1138" w:type="dxa"/>
            <w:tcBorders>
              <w:top w:val="nil"/>
              <w:left w:val="nil"/>
              <w:bottom w:val="single" w:sz="4" w:space="0" w:color="auto"/>
              <w:right w:val="single" w:sz="4" w:space="0" w:color="auto"/>
            </w:tcBorders>
            <w:shd w:val="clear" w:color="auto" w:fill="auto"/>
            <w:noWrap/>
            <w:vAlign w:val="bottom"/>
            <w:hideMark/>
          </w:tcPr>
          <w:p w14:paraId="07D6385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0,65</w:t>
            </w:r>
          </w:p>
        </w:tc>
        <w:tc>
          <w:tcPr>
            <w:tcW w:w="1138" w:type="dxa"/>
            <w:tcBorders>
              <w:top w:val="nil"/>
              <w:left w:val="nil"/>
              <w:bottom w:val="single" w:sz="4" w:space="0" w:color="auto"/>
              <w:right w:val="single" w:sz="4" w:space="0" w:color="auto"/>
            </w:tcBorders>
            <w:shd w:val="clear" w:color="auto" w:fill="auto"/>
            <w:noWrap/>
            <w:vAlign w:val="bottom"/>
            <w:hideMark/>
          </w:tcPr>
          <w:p w14:paraId="403B61E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0,82</w:t>
            </w:r>
          </w:p>
        </w:tc>
        <w:tc>
          <w:tcPr>
            <w:tcW w:w="1138" w:type="dxa"/>
            <w:tcBorders>
              <w:top w:val="nil"/>
              <w:left w:val="nil"/>
              <w:bottom w:val="single" w:sz="4" w:space="0" w:color="auto"/>
              <w:right w:val="single" w:sz="4" w:space="0" w:color="auto"/>
            </w:tcBorders>
            <w:shd w:val="clear" w:color="auto" w:fill="auto"/>
            <w:noWrap/>
            <w:vAlign w:val="bottom"/>
            <w:hideMark/>
          </w:tcPr>
          <w:p w14:paraId="4128AD8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0,77</w:t>
            </w:r>
          </w:p>
        </w:tc>
        <w:tc>
          <w:tcPr>
            <w:tcW w:w="1138" w:type="dxa"/>
            <w:tcBorders>
              <w:top w:val="nil"/>
              <w:left w:val="nil"/>
              <w:bottom w:val="single" w:sz="4" w:space="0" w:color="auto"/>
              <w:right w:val="single" w:sz="4" w:space="0" w:color="auto"/>
            </w:tcBorders>
            <w:shd w:val="clear" w:color="auto" w:fill="auto"/>
            <w:noWrap/>
            <w:vAlign w:val="bottom"/>
            <w:hideMark/>
          </w:tcPr>
          <w:p w14:paraId="50959AC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0,68</w:t>
            </w:r>
          </w:p>
        </w:tc>
        <w:tc>
          <w:tcPr>
            <w:tcW w:w="1138" w:type="dxa"/>
            <w:tcBorders>
              <w:top w:val="nil"/>
              <w:left w:val="nil"/>
              <w:bottom w:val="single" w:sz="4" w:space="0" w:color="auto"/>
              <w:right w:val="single" w:sz="4" w:space="0" w:color="auto"/>
            </w:tcBorders>
            <w:shd w:val="clear" w:color="auto" w:fill="auto"/>
            <w:noWrap/>
            <w:vAlign w:val="bottom"/>
            <w:hideMark/>
          </w:tcPr>
          <w:p w14:paraId="165FF83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0,78</w:t>
            </w:r>
          </w:p>
        </w:tc>
      </w:tr>
      <w:tr w:rsidR="00BF12D5" w:rsidRPr="00BD0223" w14:paraId="73B8EFEA"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AA2002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OLIMPIA</w:t>
            </w:r>
          </w:p>
        </w:tc>
        <w:tc>
          <w:tcPr>
            <w:tcW w:w="1138" w:type="dxa"/>
            <w:tcBorders>
              <w:top w:val="nil"/>
              <w:left w:val="nil"/>
              <w:bottom w:val="single" w:sz="4" w:space="0" w:color="auto"/>
              <w:right w:val="single" w:sz="4" w:space="0" w:color="auto"/>
            </w:tcBorders>
            <w:shd w:val="clear" w:color="auto" w:fill="auto"/>
            <w:noWrap/>
            <w:vAlign w:val="bottom"/>
            <w:hideMark/>
          </w:tcPr>
          <w:p w14:paraId="63EC761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6,36</w:t>
            </w:r>
          </w:p>
        </w:tc>
        <w:tc>
          <w:tcPr>
            <w:tcW w:w="1138" w:type="dxa"/>
            <w:tcBorders>
              <w:top w:val="nil"/>
              <w:left w:val="nil"/>
              <w:bottom w:val="single" w:sz="4" w:space="0" w:color="auto"/>
              <w:right w:val="single" w:sz="4" w:space="0" w:color="auto"/>
            </w:tcBorders>
            <w:shd w:val="clear" w:color="auto" w:fill="auto"/>
            <w:noWrap/>
            <w:vAlign w:val="bottom"/>
            <w:hideMark/>
          </w:tcPr>
          <w:p w14:paraId="017A2FD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9,02</w:t>
            </w:r>
          </w:p>
        </w:tc>
        <w:tc>
          <w:tcPr>
            <w:tcW w:w="1138" w:type="dxa"/>
            <w:tcBorders>
              <w:top w:val="nil"/>
              <w:left w:val="nil"/>
              <w:bottom w:val="single" w:sz="4" w:space="0" w:color="auto"/>
              <w:right w:val="single" w:sz="4" w:space="0" w:color="auto"/>
            </w:tcBorders>
            <w:shd w:val="clear" w:color="auto" w:fill="auto"/>
            <w:noWrap/>
            <w:vAlign w:val="bottom"/>
            <w:hideMark/>
          </w:tcPr>
          <w:p w14:paraId="478AE1E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10,03</w:t>
            </w:r>
          </w:p>
        </w:tc>
        <w:tc>
          <w:tcPr>
            <w:tcW w:w="1138" w:type="dxa"/>
            <w:tcBorders>
              <w:top w:val="nil"/>
              <w:left w:val="nil"/>
              <w:bottom w:val="single" w:sz="4" w:space="0" w:color="auto"/>
              <w:right w:val="single" w:sz="4" w:space="0" w:color="auto"/>
            </w:tcBorders>
            <w:shd w:val="clear" w:color="auto" w:fill="auto"/>
            <w:noWrap/>
            <w:vAlign w:val="bottom"/>
            <w:hideMark/>
          </w:tcPr>
          <w:p w14:paraId="3609A36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10,28</w:t>
            </w:r>
          </w:p>
        </w:tc>
        <w:tc>
          <w:tcPr>
            <w:tcW w:w="1138" w:type="dxa"/>
            <w:tcBorders>
              <w:top w:val="nil"/>
              <w:left w:val="nil"/>
              <w:bottom w:val="single" w:sz="4" w:space="0" w:color="auto"/>
              <w:right w:val="single" w:sz="4" w:space="0" w:color="auto"/>
            </w:tcBorders>
            <w:shd w:val="clear" w:color="auto" w:fill="auto"/>
            <w:noWrap/>
            <w:vAlign w:val="bottom"/>
            <w:hideMark/>
          </w:tcPr>
          <w:p w14:paraId="2ACF749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11,28</w:t>
            </w:r>
          </w:p>
        </w:tc>
      </w:tr>
      <w:tr w:rsidR="00BF12D5" w:rsidRPr="00BD0223" w14:paraId="0181485C"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8D8D82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ONDA VERDE</w:t>
            </w:r>
          </w:p>
        </w:tc>
        <w:tc>
          <w:tcPr>
            <w:tcW w:w="1138" w:type="dxa"/>
            <w:tcBorders>
              <w:top w:val="nil"/>
              <w:left w:val="nil"/>
              <w:bottom w:val="single" w:sz="4" w:space="0" w:color="auto"/>
              <w:right w:val="single" w:sz="4" w:space="0" w:color="auto"/>
            </w:tcBorders>
            <w:shd w:val="clear" w:color="auto" w:fill="auto"/>
            <w:noWrap/>
            <w:vAlign w:val="bottom"/>
            <w:hideMark/>
          </w:tcPr>
          <w:p w14:paraId="51E8F24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1,97</w:t>
            </w:r>
          </w:p>
        </w:tc>
        <w:tc>
          <w:tcPr>
            <w:tcW w:w="1138" w:type="dxa"/>
            <w:tcBorders>
              <w:top w:val="nil"/>
              <w:left w:val="nil"/>
              <w:bottom w:val="single" w:sz="4" w:space="0" w:color="auto"/>
              <w:right w:val="single" w:sz="4" w:space="0" w:color="auto"/>
            </w:tcBorders>
            <w:shd w:val="clear" w:color="auto" w:fill="auto"/>
            <w:noWrap/>
            <w:vAlign w:val="bottom"/>
            <w:hideMark/>
          </w:tcPr>
          <w:p w14:paraId="70A2C09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3,14</w:t>
            </w:r>
          </w:p>
        </w:tc>
        <w:tc>
          <w:tcPr>
            <w:tcW w:w="1138" w:type="dxa"/>
            <w:tcBorders>
              <w:top w:val="nil"/>
              <w:left w:val="nil"/>
              <w:bottom w:val="single" w:sz="4" w:space="0" w:color="auto"/>
              <w:right w:val="single" w:sz="4" w:space="0" w:color="auto"/>
            </w:tcBorders>
            <w:shd w:val="clear" w:color="auto" w:fill="auto"/>
            <w:noWrap/>
            <w:vAlign w:val="bottom"/>
            <w:hideMark/>
          </w:tcPr>
          <w:p w14:paraId="2EC443C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3,44</w:t>
            </w:r>
          </w:p>
        </w:tc>
        <w:tc>
          <w:tcPr>
            <w:tcW w:w="1138" w:type="dxa"/>
            <w:tcBorders>
              <w:top w:val="nil"/>
              <w:left w:val="nil"/>
              <w:bottom w:val="single" w:sz="4" w:space="0" w:color="auto"/>
              <w:right w:val="single" w:sz="4" w:space="0" w:color="auto"/>
            </w:tcBorders>
            <w:shd w:val="clear" w:color="auto" w:fill="auto"/>
            <w:noWrap/>
            <w:vAlign w:val="bottom"/>
            <w:hideMark/>
          </w:tcPr>
          <w:p w14:paraId="3A6986D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2,80</w:t>
            </w:r>
          </w:p>
        </w:tc>
        <w:tc>
          <w:tcPr>
            <w:tcW w:w="1138" w:type="dxa"/>
            <w:tcBorders>
              <w:top w:val="nil"/>
              <w:left w:val="nil"/>
              <w:bottom w:val="single" w:sz="4" w:space="0" w:color="auto"/>
              <w:right w:val="single" w:sz="4" w:space="0" w:color="auto"/>
            </w:tcBorders>
            <w:shd w:val="clear" w:color="auto" w:fill="auto"/>
            <w:noWrap/>
            <w:vAlign w:val="bottom"/>
            <w:hideMark/>
          </w:tcPr>
          <w:p w14:paraId="7D675DA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2,66</w:t>
            </w:r>
          </w:p>
        </w:tc>
      </w:tr>
      <w:tr w:rsidR="00BF12D5" w:rsidRPr="00BD0223" w14:paraId="3A19198D"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57C19FC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ORINDIUVA</w:t>
            </w:r>
          </w:p>
        </w:tc>
        <w:tc>
          <w:tcPr>
            <w:tcW w:w="1138" w:type="dxa"/>
            <w:tcBorders>
              <w:top w:val="nil"/>
              <w:left w:val="nil"/>
              <w:bottom w:val="single" w:sz="4" w:space="0" w:color="auto"/>
              <w:right w:val="single" w:sz="4" w:space="0" w:color="auto"/>
            </w:tcBorders>
            <w:shd w:val="clear" w:color="auto" w:fill="auto"/>
            <w:noWrap/>
            <w:vAlign w:val="bottom"/>
            <w:hideMark/>
          </w:tcPr>
          <w:p w14:paraId="3A1C660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0,33</w:t>
            </w:r>
          </w:p>
        </w:tc>
        <w:tc>
          <w:tcPr>
            <w:tcW w:w="1138" w:type="dxa"/>
            <w:tcBorders>
              <w:top w:val="nil"/>
              <w:left w:val="nil"/>
              <w:bottom w:val="single" w:sz="4" w:space="0" w:color="auto"/>
              <w:right w:val="single" w:sz="4" w:space="0" w:color="auto"/>
            </w:tcBorders>
            <w:shd w:val="clear" w:color="auto" w:fill="auto"/>
            <w:noWrap/>
            <w:vAlign w:val="bottom"/>
            <w:hideMark/>
          </w:tcPr>
          <w:p w14:paraId="6E82BE5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0,48</w:t>
            </w:r>
          </w:p>
        </w:tc>
        <w:tc>
          <w:tcPr>
            <w:tcW w:w="1138" w:type="dxa"/>
            <w:tcBorders>
              <w:top w:val="nil"/>
              <w:left w:val="nil"/>
              <w:bottom w:val="single" w:sz="4" w:space="0" w:color="auto"/>
              <w:right w:val="single" w:sz="4" w:space="0" w:color="auto"/>
            </w:tcBorders>
            <w:shd w:val="clear" w:color="auto" w:fill="auto"/>
            <w:noWrap/>
            <w:vAlign w:val="bottom"/>
            <w:hideMark/>
          </w:tcPr>
          <w:p w14:paraId="28CDA28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0,65</w:t>
            </w:r>
          </w:p>
        </w:tc>
        <w:tc>
          <w:tcPr>
            <w:tcW w:w="1138" w:type="dxa"/>
            <w:tcBorders>
              <w:top w:val="nil"/>
              <w:left w:val="nil"/>
              <w:bottom w:val="single" w:sz="4" w:space="0" w:color="auto"/>
              <w:right w:val="single" w:sz="4" w:space="0" w:color="auto"/>
            </w:tcBorders>
            <w:shd w:val="clear" w:color="auto" w:fill="auto"/>
            <w:noWrap/>
            <w:vAlign w:val="bottom"/>
            <w:hideMark/>
          </w:tcPr>
          <w:p w14:paraId="73E08CB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0,70</w:t>
            </w:r>
          </w:p>
        </w:tc>
        <w:tc>
          <w:tcPr>
            <w:tcW w:w="1138" w:type="dxa"/>
            <w:tcBorders>
              <w:top w:val="nil"/>
              <w:left w:val="nil"/>
              <w:bottom w:val="single" w:sz="4" w:space="0" w:color="auto"/>
              <w:right w:val="single" w:sz="4" w:space="0" w:color="auto"/>
            </w:tcBorders>
            <w:shd w:val="clear" w:color="auto" w:fill="auto"/>
            <w:noWrap/>
            <w:vAlign w:val="bottom"/>
            <w:hideMark/>
          </w:tcPr>
          <w:p w14:paraId="08838F3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0,72</w:t>
            </w:r>
          </w:p>
        </w:tc>
      </w:tr>
      <w:tr w:rsidR="00BF12D5" w:rsidRPr="00BD0223" w14:paraId="17DFA99D"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FF60C6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ORLANDIA</w:t>
            </w:r>
          </w:p>
        </w:tc>
        <w:tc>
          <w:tcPr>
            <w:tcW w:w="1138" w:type="dxa"/>
            <w:tcBorders>
              <w:top w:val="nil"/>
              <w:left w:val="nil"/>
              <w:bottom w:val="single" w:sz="4" w:space="0" w:color="auto"/>
              <w:right w:val="single" w:sz="4" w:space="0" w:color="auto"/>
            </w:tcBorders>
            <w:shd w:val="clear" w:color="auto" w:fill="auto"/>
            <w:noWrap/>
            <w:vAlign w:val="bottom"/>
            <w:hideMark/>
          </w:tcPr>
          <w:p w14:paraId="4D462DD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7,02</w:t>
            </w:r>
          </w:p>
        </w:tc>
        <w:tc>
          <w:tcPr>
            <w:tcW w:w="1138" w:type="dxa"/>
            <w:tcBorders>
              <w:top w:val="nil"/>
              <w:left w:val="nil"/>
              <w:bottom w:val="single" w:sz="4" w:space="0" w:color="auto"/>
              <w:right w:val="single" w:sz="4" w:space="0" w:color="auto"/>
            </w:tcBorders>
            <w:shd w:val="clear" w:color="auto" w:fill="auto"/>
            <w:noWrap/>
            <w:vAlign w:val="bottom"/>
            <w:hideMark/>
          </w:tcPr>
          <w:p w14:paraId="1858B4D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9,23</w:t>
            </w:r>
          </w:p>
        </w:tc>
        <w:tc>
          <w:tcPr>
            <w:tcW w:w="1138" w:type="dxa"/>
            <w:tcBorders>
              <w:top w:val="nil"/>
              <w:left w:val="nil"/>
              <w:bottom w:val="single" w:sz="4" w:space="0" w:color="auto"/>
              <w:right w:val="single" w:sz="4" w:space="0" w:color="auto"/>
            </w:tcBorders>
            <w:shd w:val="clear" w:color="auto" w:fill="auto"/>
            <w:noWrap/>
            <w:vAlign w:val="bottom"/>
            <w:hideMark/>
          </w:tcPr>
          <w:p w14:paraId="1E1F91D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9,28</w:t>
            </w:r>
          </w:p>
        </w:tc>
        <w:tc>
          <w:tcPr>
            <w:tcW w:w="1138" w:type="dxa"/>
            <w:tcBorders>
              <w:top w:val="nil"/>
              <w:left w:val="nil"/>
              <w:bottom w:val="single" w:sz="4" w:space="0" w:color="auto"/>
              <w:right w:val="single" w:sz="4" w:space="0" w:color="auto"/>
            </w:tcBorders>
            <w:shd w:val="clear" w:color="auto" w:fill="auto"/>
            <w:noWrap/>
            <w:vAlign w:val="bottom"/>
            <w:hideMark/>
          </w:tcPr>
          <w:p w14:paraId="3C2B0C9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8,32</w:t>
            </w:r>
          </w:p>
        </w:tc>
        <w:tc>
          <w:tcPr>
            <w:tcW w:w="1138" w:type="dxa"/>
            <w:tcBorders>
              <w:top w:val="nil"/>
              <w:left w:val="nil"/>
              <w:bottom w:val="single" w:sz="4" w:space="0" w:color="auto"/>
              <w:right w:val="single" w:sz="4" w:space="0" w:color="auto"/>
            </w:tcBorders>
            <w:shd w:val="clear" w:color="auto" w:fill="auto"/>
            <w:noWrap/>
            <w:vAlign w:val="bottom"/>
            <w:hideMark/>
          </w:tcPr>
          <w:p w14:paraId="5A8E159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8,96</w:t>
            </w:r>
          </w:p>
        </w:tc>
      </w:tr>
      <w:tr w:rsidR="00BF12D5" w:rsidRPr="00BD0223" w14:paraId="6066749A"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A7A986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OUROESTE</w:t>
            </w:r>
          </w:p>
        </w:tc>
        <w:tc>
          <w:tcPr>
            <w:tcW w:w="1138" w:type="dxa"/>
            <w:tcBorders>
              <w:top w:val="nil"/>
              <w:left w:val="nil"/>
              <w:bottom w:val="single" w:sz="4" w:space="0" w:color="auto"/>
              <w:right w:val="single" w:sz="4" w:space="0" w:color="auto"/>
            </w:tcBorders>
            <w:shd w:val="clear" w:color="auto" w:fill="auto"/>
            <w:noWrap/>
            <w:vAlign w:val="bottom"/>
            <w:hideMark/>
          </w:tcPr>
          <w:p w14:paraId="4C35228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1,49</w:t>
            </w:r>
          </w:p>
        </w:tc>
        <w:tc>
          <w:tcPr>
            <w:tcW w:w="1138" w:type="dxa"/>
            <w:tcBorders>
              <w:top w:val="nil"/>
              <w:left w:val="nil"/>
              <w:bottom w:val="single" w:sz="4" w:space="0" w:color="auto"/>
              <w:right w:val="single" w:sz="4" w:space="0" w:color="auto"/>
            </w:tcBorders>
            <w:shd w:val="clear" w:color="auto" w:fill="auto"/>
            <w:noWrap/>
            <w:vAlign w:val="bottom"/>
            <w:hideMark/>
          </w:tcPr>
          <w:p w14:paraId="2D7B363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2,13</w:t>
            </w:r>
          </w:p>
        </w:tc>
        <w:tc>
          <w:tcPr>
            <w:tcW w:w="1138" w:type="dxa"/>
            <w:tcBorders>
              <w:top w:val="nil"/>
              <w:left w:val="nil"/>
              <w:bottom w:val="single" w:sz="4" w:space="0" w:color="auto"/>
              <w:right w:val="single" w:sz="4" w:space="0" w:color="auto"/>
            </w:tcBorders>
            <w:shd w:val="clear" w:color="auto" w:fill="auto"/>
            <w:noWrap/>
            <w:vAlign w:val="bottom"/>
            <w:hideMark/>
          </w:tcPr>
          <w:p w14:paraId="6ADACDC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2,60</w:t>
            </w:r>
          </w:p>
        </w:tc>
        <w:tc>
          <w:tcPr>
            <w:tcW w:w="1138" w:type="dxa"/>
            <w:tcBorders>
              <w:top w:val="nil"/>
              <w:left w:val="nil"/>
              <w:bottom w:val="single" w:sz="4" w:space="0" w:color="auto"/>
              <w:right w:val="single" w:sz="4" w:space="0" w:color="auto"/>
            </w:tcBorders>
            <w:shd w:val="clear" w:color="auto" w:fill="auto"/>
            <w:noWrap/>
            <w:vAlign w:val="bottom"/>
            <w:hideMark/>
          </w:tcPr>
          <w:p w14:paraId="6714BB7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2,68</w:t>
            </w:r>
          </w:p>
        </w:tc>
        <w:tc>
          <w:tcPr>
            <w:tcW w:w="1138" w:type="dxa"/>
            <w:tcBorders>
              <w:top w:val="nil"/>
              <w:left w:val="nil"/>
              <w:bottom w:val="single" w:sz="4" w:space="0" w:color="auto"/>
              <w:right w:val="single" w:sz="4" w:space="0" w:color="auto"/>
            </w:tcBorders>
            <w:shd w:val="clear" w:color="auto" w:fill="auto"/>
            <w:noWrap/>
            <w:vAlign w:val="bottom"/>
            <w:hideMark/>
          </w:tcPr>
          <w:p w14:paraId="2169517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2,91</w:t>
            </w:r>
          </w:p>
        </w:tc>
      </w:tr>
      <w:tr w:rsidR="00BF12D5" w:rsidRPr="00BD0223" w14:paraId="2D3455BF"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5594314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PALESTINA</w:t>
            </w:r>
          </w:p>
        </w:tc>
        <w:tc>
          <w:tcPr>
            <w:tcW w:w="1138" w:type="dxa"/>
            <w:tcBorders>
              <w:top w:val="nil"/>
              <w:left w:val="nil"/>
              <w:bottom w:val="single" w:sz="4" w:space="0" w:color="auto"/>
              <w:right w:val="single" w:sz="4" w:space="0" w:color="auto"/>
            </w:tcBorders>
            <w:shd w:val="clear" w:color="auto" w:fill="auto"/>
            <w:noWrap/>
            <w:vAlign w:val="bottom"/>
            <w:hideMark/>
          </w:tcPr>
          <w:p w14:paraId="3132676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0,70</w:t>
            </w:r>
          </w:p>
        </w:tc>
        <w:tc>
          <w:tcPr>
            <w:tcW w:w="1138" w:type="dxa"/>
            <w:tcBorders>
              <w:top w:val="nil"/>
              <w:left w:val="nil"/>
              <w:bottom w:val="single" w:sz="4" w:space="0" w:color="auto"/>
              <w:right w:val="single" w:sz="4" w:space="0" w:color="auto"/>
            </w:tcBorders>
            <w:shd w:val="clear" w:color="auto" w:fill="auto"/>
            <w:noWrap/>
            <w:vAlign w:val="bottom"/>
            <w:hideMark/>
          </w:tcPr>
          <w:p w14:paraId="75B4A2C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2,36</w:t>
            </w:r>
          </w:p>
        </w:tc>
        <w:tc>
          <w:tcPr>
            <w:tcW w:w="1138" w:type="dxa"/>
            <w:tcBorders>
              <w:top w:val="nil"/>
              <w:left w:val="nil"/>
              <w:bottom w:val="single" w:sz="4" w:space="0" w:color="auto"/>
              <w:right w:val="single" w:sz="4" w:space="0" w:color="auto"/>
            </w:tcBorders>
            <w:shd w:val="clear" w:color="auto" w:fill="auto"/>
            <w:noWrap/>
            <w:vAlign w:val="bottom"/>
            <w:hideMark/>
          </w:tcPr>
          <w:p w14:paraId="2DD531B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1,16</w:t>
            </w:r>
          </w:p>
        </w:tc>
        <w:tc>
          <w:tcPr>
            <w:tcW w:w="1138" w:type="dxa"/>
            <w:tcBorders>
              <w:top w:val="nil"/>
              <w:left w:val="nil"/>
              <w:bottom w:val="single" w:sz="4" w:space="0" w:color="auto"/>
              <w:right w:val="single" w:sz="4" w:space="0" w:color="auto"/>
            </w:tcBorders>
            <w:shd w:val="clear" w:color="auto" w:fill="auto"/>
            <w:noWrap/>
            <w:vAlign w:val="bottom"/>
            <w:hideMark/>
          </w:tcPr>
          <w:p w14:paraId="66E009C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1,24</w:t>
            </w:r>
          </w:p>
        </w:tc>
        <w:tc>
          <w:tcPr>
            <w:tcW w:w="1138" w:type="dxa"/>
            <w:tcBorders>
              <w:top w:val="nil"/>
              <w:left w:val="nil"/>
              <w:bottom w:val="single" w:sz="4" w:space="0" w:color="auto"/>
              <w:right w:val="single" w:sz="4" w:space="0" w:color="auto"/>
            </w:tcBorders>
            <w:shd w:val="clear" w:color="auto" w:fill="auto"/>
            <w:noWrap/>
            <w:vAlign w:val="bottom"/>
            <w:hideMark/>
          </w:tcPr>
          <w:p w14:paraId="3BE3CCC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1,26</w:t>
            </w:r>
          </w:p>
        </w:tc>
      </w:tr>
      <w:tr w:rsidR="00BF12D5" w:rsidRPr="00BD0223" w14:paraId="36ACBEDC"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4BCA5D9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PALMARES PAULISTA</w:t>
            </w:r>
          </w:p>
        </w:tc>
        <w:tc>
          <w:tcPr>
            <w:tcW w:w="1138" w:type="dxa"/>
            <w:tcBorders>
              <w:top w:val="nil"/>
              <w:left w:val="nil"/>
              <w:bottom w:val="single" w:sz="4" w:space="0" w:color="auto"/>
              <w:right w:val="single" w:sz="4" w:space="0" w:color="auto"/>
            </w:tcBorders>
            <w:shd w:val="clear" w:color="auto" w:fill="auto"/>
            <w:noWrap/>
            <w:vAlign w:val="bottom"/>
            <w:hideMark/>
          </w:tcPr>
          <w:p w14:paraId="2D758EE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0,27</w:t>
            </w:r>
          </w:p>
        </w:tc>
        <w:tc>
          <w:tcPr>
            <w:tcW w:w="1138" w:type="dxa"/>
            <w:tcBorders>
              <w:top w:val="nil"/>
              <w:left w:val="nil"/>
              <w:bottom w:val="single" w:sz="4" w:space="0" w:color="auto"/>
              <w:right w:val="single" w:sz="4" w:space="0" w:color="auto"/>
            </w:tcBorders>
            <w:shd w:val="clear" w:color="auto" w:fill="auto"/>
            <w:noWrap/>
            <w:vAlign w:val="bottom"/>
            <w:hideMark/>
          </w:tcPr>
          <w:p w14:paraId="11F8D37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0,35</w:t>
            </w:r>
          </w:p>
        </w:tc>
        <w:tc>
          <w:tcPr>
            <w:tcW w:w="1138" w:type="dxa"/>
            <w:tcBorders>
              <w:top w:val="nil"/>
              <w:left w:val="nil"/>
              <w:bottom w:val="single" w:sz="4" w:space="0" w:color="auto"/>
              <w:right w:val="single" w:sz="4" w:space="0" w:color="auto"/>
            </w:tcBorders>
            <w:shd w:val="clear" w:color="auto" w:fill="auto"/>
            <w:noWrap/>
            <w:vAlign w:val="bottom"/>
            <w:hideMark/>
          </w:tcPr>
          <w:p w14:paraId="11D667D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0,45</w:t>
            </w:r>
          </w:p>
        </w:tc>
        <w:tc>
          <w:tcPr>
            <w:tcW w:w="1138" w:type="dxa"/>
            <w:tcBorders>
              <w:top w:val="nil"/>
              <w:left w:val="nil"/>
              <w:bottom w:val="single" w:sz="4" w:space="0" w:color="auto"/>
              <w:right w:val="single" w:sz="4" w:space="0" w:color="auto"/>
            </w:tcBorders>
            <w:shd w:val="clear" w:color="auto" w:fill="auto"/>
            <w:noWrap/>
            <w:vAlign w:val="bottom"/>
            <w:hideMark/>
          </w:tcPr>
          <w:p w14:paraId="695B29A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0,45</w:t>
            </w:r>
          </w:p>
        </w:tc>
        <w:tc>
          <w:tcPr>
            <w:tcW w:w="1138" w:type="dxa"/>
            <w:tcBorders>
              <w:top w:val="nil"/>
              <w:left w:val="nil"/>
              <w:bottom w:val="single" w:sz="4" w:space="0" w:color="auto"/>
              <w:right w:val="single" w:sz="4" w:space="0" w:color="auto"/>
            </w:tcBorders>
            <w:shd w:val="clear" w:color="auto" w:fill="auto"/>
            <w:noWrap/>
            <w:vAlign w:val="bottom"/>
            <w:hideMark/>
          </w:tcPr>
          <w:p w14:paraId="6959D77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0,44</w:t>
            </w:r>
          </w:p>
        </w:tc>
      </w:tr>
      <w:tr w:rsidR="00BF12D5" w:rsidRPr="00BD0223" w14:paraId="4CABE8C2"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C22DFB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PALMEIRA D'OESTE</w:t>
            </w:r>
          </w:p>
        </w:tc>
        <w:tc>
          <w:tcPr>
            <w:tcW w:w="1138" w:type="dxa"/>
            <w:tcBorders>
              <w:top w:val="nil"/>
              <w:left w:val="nil"/>
              <w:bottom w:val="single" w:sz="4" w:space="0" w:color="auto"/>
              <w:right w:val="single" w:sz="4" w:space="0" w:color="auto"/>
            </w:tcBorders>
            <w:shd w:val="clear" w:color="auto" w:fill="auto"/>
            <w:noWrap/>
            <w:vAlign w:val="bottom"/>
            <w:hideMark/>
          </w:tcPr>
          <w:p w14:paraId="00ECD7C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1,02</w:t>
            </w:r>
          </w:p>
        </w:tc>
        <w:tc>
          <w:tcPr>
            <w:tcW w:w="1138" w:type="dxa"/>
            <w:tcBorders>
              <w:top w:val="nil"/>
              <w:left w:val="nil"/>
              <w:bottom w:val="single" w:sz="4" w:space="0" w:color="auto"/>
              <w:right w:val="single" w:sz="4" w:space="0" w:color="auto"/>
            </w:tcBorders>
            <w:shd w:val="clear" w:color="auto" w:fill="auto"/>
            <w:noWrap/>
            <w:vAlign w:val="bottom"/>
            <w:hideMark/>
          </w:tcPr>
          <w:p w14:paraId="191FC46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1,35</w:t>
            </w:r>
          </w:p>
        </w:tc>
        <w:tc>
          <w:tcPr>
            <w:tcW w:w="1138" w:type="dxa"/>
            <w:tcBorders>
              <w:top w:val="nil"/>
              <w:left w:val="nil"/>
              <w:bottom w:val="single" w:sz="4" w:space="0" w:color="auto"/>
              <w:right w:val="single" w:sz="4" w:space="0" w:color="auto"/>
            </w:tcBorders>
            <w:shd w:val="clear" w:color="auto" w:fill="auto"/>
            <w:noWrap/>
            <w:vAlign w:val="bottom"/>
            <w:hideMark/>
          </w:tcPr>
          <w:p w14:paraId="72BDFFE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1,53</w:t>
            </w:r>
          </w:p>
        </w:tc>
        <w:tc>
          <w:tcPr>
            <w:tcW w:w="1138" w:type="dxa"/>
            <w:tcBorders>
              <w:top w:val="nil"/>
              <w:left w:val="nil"/>
              <w:bottom w:val="single" w:sz="4" w:space="0" w:color="auto"/>
              <w:right w:val="single" w:sz="4" w:space="0" w:color="auto"/>
            </w:tcBorders>
            <w:shd w:val="clear" w:color="auto" w:fill="auto"/>
            <w:noWrap/>
            <w:vAlign w:val="bottom"/>
            <w:hideMark/>
          </w:tcPr>
          <w:p w14:paraId="7E0F228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1,58</w:t>
            </w:r>
          </w:p>
        </w:tc>
        <w:tc>
          <w:tcPr>
            <w:tcW w:w="1138" w:type="dxa"/>
            <w:tcBorders>
              <w:top w:val="nil"/>
              <w:left w:val="nil"/>
              <w:bottom w:val="single" w:sz="4" w:space="0" w:color="auto"/>
              <w:right w:val="single" w:sz="4" w:space="0" w:color="auto"/>
            </w:tcBorders>
            <w:shd w:val="clear" w:color="auto" w:fill="auto"/>
            <w:noWrap/>
            <w:vAlign w:val="bottom"/>
            <w:hideMark/>
          </w:tcPr>
          <w:p w14:paraId="25ABD8E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1,70</w:t>
            </w:r>
          </w:p>
        </w:tc>
      </w:tr>
      <w:tr w:rsidR="00BF12D5" w:rsidRPr="00BD0223" w14:paraId="2F605140"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A0D3D1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PARAISO</w:t>
            </w:r>
          </w:p>
        </w:tc>
        <w:tc>
          <w:tcPr>
            <w:tcW w:w="1138" w:type="dxa"/>
            <w:tcBorders>
              <w:top w:val="nil"/>
              <w:left w:val="nil"/>
              <w:bottom w:val="single" w:sz="4" w:space="0" w:color="auto"/>
              <w:right w:val="single" w:sz="4" w:space="0" w:color="auto"/>
            </w:tcBorders>
            <w:shd w:val="clear" w:color="auto" w:fill="auto"/>
            <w:noWrap/>
            <w:vAlign w:val="bottom"/>
            <w:hideMark/>
          </w:tcPr>
          <w:p w14:paraId="68ED29F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0,32</w:t>
            </w:r>
          </w:p>
        </w:tc>
        <w:tc>
          <w:tcPr>
            <w:tcW w:w="1138" w:type="dxa"/>
            <w:tcBorders>
              <w:top w:val="nil"/>
              <w:left w:val="nil"/>
              <w:bottom w:val="single" w:sz="4" w:space="0" w:color="auto"/>
              <w:right w:val="single" w:sz="4" w:space="0" w:color="auto"/>
            </w:tcBorders>
            <w:shd w:val="clear" w:color="auto" w:fill="auto"/>
            <w:noWrap/>
            <w:vAlign w:val="bottom"/>
            <w:hideMark/>
          </w:tcPr>
          <w:p w14:paraId="6D6FD2C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0,44</w:t>
            </w:r>
          </w:p>
        </w:tc>
        <w:tc>
          <w:tcPr>
            <w:tcW w:w="1138" w:type="dxa"/>
            <w:tcBorders>
              <w:top w:val="nil"/>
              <w:left w:val="nil"/>
              <w:bottom w:val="single" w:sz="4" w:space="0" w:color="auto"/>
              <w:right w:val="single" w:sz="4" w:space="0" w:color="auto"/>
            </w:tcBorders>
            <w:shd w:val="clear" w:color="auto" w:fill="auto"/>
            <w:noWrap/>
            <w:vAlign w:val="bottom"/>
            <w:hideMark/>
          </w:tcPr>
          <w:p w14:paraId="75F510C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0,45</w:t>
            </w:r>
          </w:p>
        </w:tc>
        <w:tc>
          <w:tcPr>
            <w:tcW w:w="1138" w:type="dxa"/>
            <w:tcBorders>
              <w:top w:val="nil"/>
              <w:left w:val="nil"/>
              <w:bottom w:val="single" w:sz="4" w:space="0" w:color="auto"/>
              <w:right w:val="single" w:sz="4" w:space="0" w:color="auto"/>
            </w:tcBorders>
            <w:shd w:val="clear" w:color="auto" w:fill="auto"/>
            <w:noWrap/>
            <w:vAlign w:val="bottom"/>
            <w:hideMark/>
          </w:tcPr>
          <w:p w14:paraId="5591740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0,44</w:t>
            </w:r>
          </w:p>
        </w:tc>
        <w:tc>
          <w:tcPr>
            <w:tcW w:w="1138" w:type="dxa"/>
            <w:tcBorders>
              <w:top w:val="nil"/>
              <w:left w:val="nil"/>
              <w:bottom w:val="single" w:sz="4" w:space="0" w:color="auto"/>
              <w:right w:val="single" w:sz="4" w:space="0" w:color="auto"/>
            </w:tcBorders>
            <w:shd w:val="clear" w:color="auto" w:fill="auto"/>
            <w:noWrap/>
            <w:vAlign w:val="bottom"/>
            <w:hideMark/>
          </w:tcPr>
          <w:p w14:paraId="481D841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0,48</w:t>
            </w:r>
          </w:p>
        </w:tc>
      </w:tr>
      <w:tr w:rsidR="00BF12D5" w:rsidRPr="00BD0223" w14:paraId="0EE5C02B"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D19CC4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PARANAPUA</w:t>
            </w:r>
          </w:p>
        </w:tc>
        <w:tc>
          <w:tcPr>
            <w:tcW w:w="1138" w:type="dxa"/>
            <w:tcBorders>
              <w:top w:val="nil"/>
              <w:left w:val="nil"/>
              <w:bottom w:val="single" w:sz="4" w:space="0" w:color="auto"/>
              <w:right w:val="single" w:sz="4" w:space="0" w:color="auto"/>
            </w:tcBorders>
            <w:shd w:val="clear" w:color="auto" w:fill="auto"/>
            <w:noWrap/>
            <w:vAlign w:val="bottom"/>
            <w:hideMark/>
          </w:tcPr>
          <w:p w14:paraId="01BDC8D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0,30</w:t>
            </w:r>
          </w:p>
        </w:tc>
        <w:tc>
          <w:tcPr>
            <w:tcW w:w="1138" w:type="dxa"/>
            <w:tcBorders>
              <w:top w:val="nil"/>
              <w:left w:val="nil"/>
              <w:bottom w:val="single" w:sz="4" w:space="0" w:color="auto"/>
              <w:right w:val="single" w:sz="4" w:space="0" w:color="auto"/>
            </w:tcBorders>
            <w:shd w:val="clear" w:color="auto" w:fill="auto"/>
            <w:noWrap/>
            <w:vAlign w:val="bottom"/>
            <w:hideMark/>
          </w:tcPr>
          <w:p w14:paraId="68CD75F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0,44</w:t>
            </w:r>
          </w:p>
        </w:tc>
        <w:tc>
          <w:tcPr>
            <w:tcW w:w="1138" w:type="dxa"/>
            <w:tcBorders>
              <w:top w:val="nil"/>
              <w:left w:val="nil"/>
              <w:bottom w:val="single" w:sz="4" w:space="0" w:color="auto"/>
              <w:right w:val="single" w:sz="4" w:space="0" w:color="auto"/>
            </w:tcBorders>
            <w:shd w:val="clear" w:color="auto" w:fill="auto"/>
            <w:noWrap/>
            <w:vAlign w:val="bottom"/>
            <w:hideMark/>
          </w:tcPr>
          <w:p w14:paraId="2D32F9C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0,65</w:t>
            </w:r>
          </w:p>
        </w:tc>
        <w:tc>
          <w:tcPr>
            <w:tcW w:w="1138" w:type="dxa"/>
            <w:tcBorders>
              <w:top w:val="nil"/>
              <w:left w:val="nil"/>
              <w:bottom w:val="single" w:sz="4" w:space="0" w:color="auto"/>
              <w:right w:val="single" w:sz="4" w:space="0" w:color="auto"/>
            </w:tcBorders>
            <w:shd w:val="clear" w:color="auto" w:fill="auto"/>
            <w:noWrap/>
            <w:vAlign w:val="bottom"/>
            <w:hideMark/>
          </w:tcPr>
          <w:p w14:paraId="17A5BDA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0,67</w:t>
            </w:r>
          </w:p>
        </w:tc>
        <w:tc>
          <w:tcPr>
            <w:tcW w:w="1138" w:type="dxa"/>
            <w:tcBorders>
              <w:top w:val="nil"/>
              <w:left w:val="nil"/>
              <w:bottom w:val="single" w:sz="4" w:space="0" w:color="auto"/>
              <w:right w:val="single" w:sz="4" w:space="0" w:color="auto"/>
            </w:tcBorders>
            <w:shd w:val="clear" w:color="auto" w:fill="auto"/>
            <w:noWrap/>
            <w:vAlign w:val="bottom"/>
            <w:hideMark/>
          </w:tcPr>
          <w:p w14:paraId="4C69B8D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0,65</w:t>
            </w:r>
          </w:p>
        </w:tc>
      </w:tr>
      <w:tr w:rsidR="00BF12D5" w:rsidRPr="00BD0223" w14:paraId="16861332"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F09E8D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PARISI</w:t>
            </w:r>
          </w:p>
        </w:tc>
        <w:tc>
          <w:tcPr>
            <w:tcW w:w="1138" w:type="dxa"/>
            <w:tcBorders>
              <w:top w:val="nil"/>
              <w:left w:val="nil"/>
              <w:bottom w:val="single" w:sz="4" w:space="0" w:color="auto"/>
              <w:right w:val="single" w:sz="4" w:space="0" w:color="auto"/>
            </w:tcBorders>
            <w:shd w:val="clear" w:color="auto" w:fill="auto"/>
            <w:noWrap/>
            <w:vAlign w:val="bottom"/>
            <w:hideMark/>
          </w:tcPr>
          <w:p w14:paraId="5A367B4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0,10</w:t>
            </w:r>
          </w:p>
        </w:tc>
        <w:tc>
          <w:tcPr>
            <w:tcW w:w="1138" w:type="dxa"/>
            <w:tcBorders>
              <w:top w:val="nil"/>
              <w:left w:val="nil"/>
              <w:bottom w:val="single" w:sz="4" w:space="0" w:color="auto"/>
              <w:right w:val="single" w:sz="4" w:space="0" w:color="auto"/>
            </w:tcBorders>
            <w:shd w:val="clear" w:color="auto" w:fill="auto"/>
            <w:noWrap/>
            <w:vAlign w:val="bottom"/>
            <w:hideMark/>
          </w:tcPr>
          <w:p w14:paraId="7724910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0,15</w:t>
            </w:r>
          </w:p>
        </w:tc>
        <w:tc>
          <w:tcPr>
            <w:tcW w:w="1138" w:type="dxa"/>
            <w:tcBorders>
              <w:top w:val="nil"/>
              <w:left w:val="nil"/>
              <w:bottom w:val="single" w:sz="4" w:space="0" w:color="auto"/>
              <w:right w:val="single" w:sz="4" w:space="0" w:color="auto"/>
            </w:tcBorders>
            <w:shd w:val="clear" w:color="auto" w:fill="auto"/>
            <w:noWrap/>
            <w:vAlign w:val="bottom"/>
            <w:hideMark/>
          </w:tcPr>
          <w:p w14:paraId="50DCE73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0,17</w:t>
            </w:r>
          </w:p>
        </w:tc>
        <w:tc>
          <w:tcPr>
            <w:tcW w:w="1138" w:type="dxa"/>
            <w:tcBorders>
              <w:top w:val="nil"/>
              <w:left w:val="nil"/>
              <w:bottom w:val="single" w:sz="4" w:space="0" w:color="auto"/>
              <w:right w:val="single" w:sz="4" w:space="0" w:color="auto"/>
            </w:tcBorders>
            <w:shd w:val="clear" w:color="auto" w:fill="auto"/>
            <w:noWrap/>
            <w:vAlign w:val="bottom"/>
            <w:hideMark/>
          </w:tcPr>
          <w:p w14:paraId="459F77B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0,17</w:t>
            </w:r>
          </w:p>
        </w:tc>
        <w:tc>
          <w:tcPr>
            <w:tcW w:w="1138" w:type="dxa"/>
            <w:tcBorders>
              <w:top w:val="nil"/>
              <w:left w:val="nil"/>
              <w:bottom w:val="single" w:sz="4" w:space="0" w:color="auto"/>
              <w:right w:val="single" w:sz="4" w:space="0" w:color="auto"/>
            </w:tcBorders>
            <w:shd w:val="clear" w:color="auto" w:fill="auto"/>
            <w:noWrap/>
            <w:vAlign w:val="bottom"/>
            <w:hideMark/>
          </w:tcPr>
          <w:p w14:paraId="11C03A3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0,17</w:t>
            </w:r>
          </w:p>
        </w:tc>
      </w:tr>
      <w:tr w:rsidR="00BF12D5" w:rsidRPr="00BD0223" w14:paraId="185B793A"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09B160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PATROCINIO PAULISTA</w:t>
            </w:r>
          </w:p>
        </w:tc>
        <w:tc>
          <w:tcPr>
            <w:tcW w:w="1138" w:type="dxa"/>
            <w:tcBorders>
              <w:top w:val="nil"/>
              <w:left w:val="nil"/>
              <w:bottom w:val="single" w:sz="4" w:space="0" w:color="auto"/>
              <w:right w:val="single" w:sz="4" w:space="0" w:color="auto"/>
            </w:tcBorders>
            <w:shd w:val="clear" w:color="auto" w:fill="auto"/>
            <w:noWrap/>
            <w:vAlign w:val="bottom"/>
            <w:hideMark/>
          </w:tcPr>
          <w:p w14:paraId="48A881C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1,25</w:t>
            </w:r>
          </w:p>
        </w:tc>
        <w:tc>
          <w:tcPr>
            <w:tcW w:w="1138" w:type="dxa"/>
            <w:tcBorders>
              <w:top w:val="nil"/>
              <w:left w:val="nil"/>
              <w:bottom w:val="single" w:sz="4" w:space="0" w:color="auto"/>
              <w:right w:val="single" w:sz="4" w:space="0" w:color="auto"/>
            </w:tcBorders>
            <w:shd w:val="clear" w:color="auto" w:fill="auto"/>
            <w:noWrap/>
            <w:vAlign w:val="bottom"/>
            <w:hideMark/>
          </w:tcPr>
          <w:p w14:paraId="03877F7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2,21</w:t>
            </w:r>
          </w:p>
        </w:tc>
        <w:tc>
          <w:tcPr>
            <w:tcW w:w="1138" w:type="dxa"/>
            <w:tcBorders>
              <w:top w:val="nil"/>
              <w:left w:val="nil"/>
              <w:bottom w:val="single" w:sz="4" w:space="0" w:color="auto"/>
              <w:right w:val="single" w:sz="4" w:space="0" w:color="auto"/>
            </w:tcBorders>
            <w:shd w:val="clear" w:color="auto" w:fill="auto"/>
            <w:noWrap/>
            <w:vAlign w:val="bottom"/>
            <w:hideMark/>
          </w:tcPr>
          <w:p w14:paraId="0031DFB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2,39</w:t>
            </w:r>
          </w:p>
        </w:tc>
        <w:tc>
          <w:tcPr>
            <w:tcW w:w="1138" w:type="dxa"/>
            <w:tcBorders>
              <w:top w:val="nil"/>
              <w:left w:val="nil"/>
              <w:bottom w:val="single" w:sz="4" w:space="0" w:color="auto"/>
              <w:right w:val="single" w:sz="4" w:space="0" w:color="auto"/>
            </w:tcBorders>
            <w:shd w:val="clear" w:color="auto" w:fill="auto"/>
            <w:noWrap/>
            <w:vAlign w:val="bottom"/>
            <w:hideMark/>
          </w:tcPr>
          <w:p w14:paraId="145FF6A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2,41</w:t>
            </w:r>
          </w:p>
        </w:tc>
        <w:tc>
          <w:tcPr>
            <w:tcW w:w="1138" w:type="dxa"/>
            <w:tcBorders>
              <w:top w:val="nil"/>
              <w:left w:val="nil"/>
              <w:bottom w:val="single" w:sz="4" w:space="0" w:color="auto"/>
              <w:right w:val="single" w:sz="4" w:space="0" w:color="auto"/>
            </w:tcBorders>
            <w:shd w:val="clear" w:color="auto" w:fill="auto"/>
            <w:noWrap/>
            <w:vAlign w:val="bottom"/>
            <w:hideMark/>
          </w:tcPr>
          <w:p w14:paraId="40870F1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2,63</w:t>
            </w:r>
          </w:p>
        </w:tc>
      </w:tr>
      <w:tr w:rsidR="00BF12D5" w:rsidRPr="00BD0223" w14:paraId="2A6DC762"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84659C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PAULO DE FARIA</w:t>
            </w:r>
          </w:p>
        </w:tc>
        <w:tc>
          <w:tcPr>
            <w:tcW w:w="1138" w:type="dxa"/>
            <w:tcBorders>
              <w:top w:val="nil"/>
              <w:left w:val="nil"/>
              <w:bottom w:val="single" w:sz="4" w:space="0" w:color="auto"/>
              <w:right w:val="single" w:sz="4" w:space="0" w:color="auto"/>
            </w:tcBorders>
            <w:shd w:val="clear" w:color="auto" w:fill="auto"/>
            <w:noWrap/>
            <w:vAlign w:val="bottom"/>
            <w:hideMark/>
          </w:tcPr>
          <w:p w14:paraId="0DEEC12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0,68</w:t>
            </w:r>
          </w:p>
        </w:tc>
        <w:tc>
          <w:tcPr>
            <w:tcW w:w="1138" w:type="dxa"/>
            <w:tcBorders>
              <w:top w:val="nil"/>
              <w:left w:val="nil"/>
              <w:bottom w:val="single" w:sz="4" w:space="0" w:color="auto"/>
              <w:right w:val="single" w:sz="4" w:space="0" w:color="auto"/>
            </w:tcBorders>
            <w:shd w:val="clear" w:color="auto" w:fill="auto"/>
            <w:noWrap/>
            <w:vAlign w:val="bottom"/>
            <w:hideMark/>
          </w:tcPr>
          <w:p w14:paraId="1B74757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0,93</w:t>
            </w:r>
          </w:p>
        </w:tc>
        <w:tc>
          <w:tcPr>
            <w:tcW w:w="1138" w:type="dxa"/>
            <w:tcBorders>
              <w:top w:val="nil"/>
              <w:left w:val="nil"/>
              <w:bottom w:val="single" w:sz="4" w:space="0" w:color="auto"/>
              <w:right w:val="single" w:sz="4" w:space="0" w:color="auto"/>
            </w:tcBorders>
            <w:shd w:val="clear" w:color="auto" w:fill="auto"/>
            <w:noWrap/>
            <w:vAlign w:val="bottom"/>
            <w:hideMark/>
          </w:tcPr>
          <w:p w14:paraId="5DCB4BF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1,12</w:t>
            </w:r>
          </w:p>
        </w:tc>
        <w:tc>
          <w:tcPr>
            <w:tcW w:w="1138" w:type="dxa"/>
            <w:tcBorders>
              <w:top w:val="nil"/>
              <w:left w:val="nil"/>
              <w:bottom w:val="single" w:sz="4" w:space="0" w:color="auto"/>
              <w:right w:val="single" w:sz="4" w:space="0" w:color="auto"/>
            </w:tcBorders>
            <w:shd w:val="clear" w:color="auto" w:fill="auto"/>
            <w:noWrap/>
            <w:vAlign w:val="bottom"/>
            <w:hideMark/>
          </w:tcPr>
          <w:p w14:paraId="5B2D441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1,12</w:t>
            </w:r>
          </w:p>
        </w:tc>
        <w:tc>
          <w:tcPr>
            <w:tcW w:w="1138" w:type="dxa"/>
            <w:tcBorders>
              <w:top w:val="nil"/>
              <w:left w:val="nil"/>
              <w:bottom w:val="single" w:sz="4" w:space="0" w:color="auto"/>
              <w:right w:val="single" w:sz="4" w:space="0" w:color="auto"/>
            </w:tcBorders>
            <w:shd w:val="clear" w:color="auto" w:fill="auto"/>
            <w:noWrap/>
            <w:vAlign w:val="bottom"/>
            <w:hideMark/>
          </w:tcPr>
          <w:p w14:paraId="729A745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1,18</w:t>
            </w:r>
          </w:p>
        </w:tc>
      </w:tr>
      <w:tr w:rsidR="00BF12D5" w:rsidRPr="00BD0223" w14:paraId="12E86E82"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5086C0A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PEDRANOPOLIS</w:t>
            </w:r>
          </w:p>
        </w:tc>
        <w:tc>
          <w:tcPr>
            <w:tcW w:w="1138" w:type="dxa"/>
            <w:tcBorders>
              <w:top w:val="nil"/>
              <w:left w:val="nil"/>
              <w:bottom w:val="single" w:sz="4" w:space="0" w:color="auto"/>
              <w:right w:val="single" w:sz="4" w:space="0" w:color="auto"/>
            </w:tcBorders>
            <w:shd w:val="clear" w:color="auto" w:fill="auto"/>
            <w:noWrap/>
            <w:vAlign w:val="bottom"/>
            <w:hideMark/>
          </w:tcPr>
          <w:p w14:paraId="5C99E6D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0,17</w:t>
            </w:r>
          </w:p>
        </w:tc>
        <w:tc>
          <w:tcPr>
            <w:tcW w:w="1138" w:type="dxa"/>
            <w:tcBorders>
              <w:top w:val="nil"/>
              <w:left w:val="nil"/>
              <w:bottom w:val="single" w:sz="4" w:space="0" w:color="auto"/>
              <w:right w:val="single" w:sz="4" w:space="0" w:color="auto"/>
            </w:tcBorders>
            <w:shd w:val="clear" w:color="auto" w:fill="auto"/>
            <w:noWrap/>
            <w:vAlign w:val="bottom"/>
            <w:hideMark/>
          </w:tcPr>
          <w:p w14:paraId="173A937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0,22</w:t>
            </w:r>
          </w:p>
        </w:tc>
        <w:tc>
          <w:tcPr>
            <w:tcW w:w="1138" w:type="dxa"/>
            <w:tcBorders>
              <w:top w:val="nil"/>
              <w:left w:val="nil"/>
              <w:bottom w:val="single" w:sz="4" w:space="0" w:color="auto"/>
              <w:right w:val="single" w:sz="4" w:space="0" w:color="auto"/>
            </w:tcBorders>
            <w:shd w:val="clear" w:color="auto" w:fill="auto"/>
            <w:noWrap/>
            <w:vAlign w:val="bottom"/>
            <w:hideMark/>
          </w:tcPr>
          <w:p w14:paraId="3D37F44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0,27</w:t>
            </w:r>
          </w:p>
        </w:tc>
        <w:tc>
          <w:tcPr>
            <w:tcW w:w="1138" w:type="dxa"/>
            <w:tcBorders>
              <w:top w:val="nil"/>
              <w:left w:val="nil"/>
              <w:bottom w:val="single" w:sz="4" w:space="0" w:color="auto"/>
              <w:right w:val="single" w:sz="4" w:space="0" w:color="auto"/>
            </w:tcBorders>
            <w:shd w:val="clear" w:color="auto" w:fill="auto"/>
            <w:noWrap/>
            <w:vAlign w:val="bottom"/>
            <w:hideMark/>
          </w:tcPr>
          <w:p w14:paraId="26A31C8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0,27</w:t>
            </w:r>
          </w:p>
        </w:tc>
        <w:tc>
          <w:tcPr>
            <w:tcW w:w="1138" w:type="dxa"/>
            <w:tcBorders>
              <w:top w:val="nil"/>
              <w:left w:val="nil"/>
              <w:bottom w:val="single" w:sz="4" w:space="0" w:color="auto"/>
              <w:right w:val="single" w:sz="4" w:space="0" w:color="auto"/>
            </w:tcBorders>
            <w:shd w:val="clear" w:color="auto" w:fill="auto"/>
            <w:noWrap/>
            <w:vAlign w:val="bottom"/>
            <w:hideMark/>
          </w:tcPr>
          <w:p w14:paraId="5A8A9E5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0,26</w:t>
            </w:r>
          </w:p>
        </w:tc>
      </w:tr>
      <w:tr w:rsidR="00BF12D5" w:rsidRPr="00BD0223" w14:paraId="257277D2"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9E425F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PEDREGULHO</w:t>
            </w:r>
          </w:p>
        </w:tc>
        <w:tc>
          <w:tcPr>
            <w:tcW w:w="1138" w:type="dxa"/>
            <w:tcBorders>
              <w:top w:val="nil"/>
              <w:left w:val="nil"/>
              <w:bottom w:val="single" w:sz="4" w:space="0" w:color="auto"/>
              <w:right w:val="single" w:sz="4" w:space="0" w:color="auto"/>
            </w:tcBorders>
            <w:shd w:val="clear" w:color="auto" w:fill="auto"/>
            <w:noWrap/>
            <w:vAlign w:val="bottom"/>
            <w:hideMark/>
          </w:tcPr>
          <w:p w14:paraId="4091BCD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1,13</w:t>
            </w:r>
          </w:p>
        </w:tc>
        <w:tc>
          <w:tcPr>
            <w:tcW w:w="1138" w:type="dxa"/>
            <w:tcBorders>
              <w:top w:val="nil"/>
              <w:left w:val="nil"/>
              <w:bottom w:val="single" w:sz="4" w:space="0" w:color="auto"/>
              <w:right w:val="single" w:sz="4" w:space="0" w:color="auto"/>
            </w:tcBorders>
            <w:shd w:val="clear" w:color="auto" w:fill="auto"/>
            <w:noWrap/>
            <w:vAlign w:val="bottom"/>
            <w:hideMark/>
          </w:tcPr>
          <w:p w14:paraId="32074A6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1,53</w:t>
            </w:r>
          </w:p>
        </w:tc>
        <w:tc>
          <w:tcPr>
            <w:tcW w:w="1138" w:type="dxa"/>
            <w:tcBorders>
              <w:top w:val="nil"/>
              <w:left w:val="nil"/>
              <w:bottom w:val="single" w:sz="4" w:space="0" w:color="auto"/>
              <w:right w:val="single" w:sz="4" w:space="0" w:color="auto"/>
            </w:tcBorders>
            <w:shd w:val="clear" w:color="auto" w:fill="auto"/>
            <w:noWrap/>
            <w:vAlign w:val="bottom"/>
            <w:hideMark/>
          </w:tcPr>
          <w:p w14:paraId="5CBEC66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1,69</w:t>
            </w:r>
          </w:p>
        </w:tc>
        <w:tc>
          <w:tcPr>
            <w:tcW w:w="1138" w:type="dxa"/>
            <w:tcBorders>
              <w:top w:val="nil"/>
              <w:left w:val="nil"/>
              <w:bottom w:val="single" w:sz="4" w:space="0" w:color="auto"/>
              <w:right w:val="single" w:sz="4" w:space="0" w:color="auto"/>
            </w:tcBorders>
            <w:shd w:val="clear" w:color="auto" w:fill="auto"/>
            <w:noWrap/>
            <w:vAlign w:val="bottom"/>
            <w:hideMark/>
          </w:tcPr>
          <w:p w14:paraId="1DCF68D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1,59</w:t>
            </w:r>
          </w:p>
        </w:tc>
        <w:tc>
          <w:tcPr>
            <w:tcW w:w="1138" w:type="dxa"/>
            <w:tcBorders>
              <w:top w:val="nil"/>
              <w:left w:val="nil"/>
              <w:bottom w:val="single" w:sz="4" w:space="0" w:color="auto"/>
              <w:right w:val="single" w:sz="4" w:space="0" w:color="auto"/>
            </w:tcBorders>
            <w:shd w:val="clear" w:color="auto" w:fill="auto"/>
            <w:noWrap/>
            <w:vAlign w:val="bottom"/>
            <w:hideMark/>
          </w:tcPr>
          <w:p w14:paraId="38F4E14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1,94</w:t>
            </w:r>
          </w:p>
        </w:tc>
      </w:tr>
      <w:tr w:rsidR="00BF12D5" w:rsidRPr="00BD0223" w14:paraId="6747BAA0"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36B7AC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PINDORAMA</w:t>
            </w:r>
          </w:p>
        </w:tc>
        <w:tc>
          <w:tcPr>
            <w:tcW w:w="1138" w:type="dxa"/>
            <w:tcBorders>
              <w:top w:val="nil"/>
              <w:left w:val="nil"/>
              <w:bottom w:val="single" w:sz="4" w:space="0" w:color="auto"/>
              <w:right w:val="single" w:sz="4" w:space="0" w:color="auto"/>
            </w:tcBorders>
            <w:shd w:val="clear" w:color="auto" w:fill="auto"/>
            <w:noWrap/>
            <w:vAlign w:val="bottom"/>
            <w:hideMark/>
          </w:tcPr>
          <w:p w14:paraId="3D51BC5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1,38</w:t>
            </w:r>
          </w:p>
        </w:tc>
        <w:tc>
          <w:tcPr>
            <w:tcW w:w="1138" w:type="dxa"/>
            <w:tcBorders>
              <w:top w:val="nil"/>
              <w:left w:val="nil"/>
              <w:bottom w:val="single" w:sz="4" w:space="0" w:color="auto"/>
              <w:right w:val="single" w:sz="4" w:space="0" w:color="auto"/>
            </w:tcBorders>
            <w:shd w:val="clear" w:color="auto" w:fill="auto"/>
            <w:noWrap/>
            <w:vAlign w:val="bottom"/>
            <w:hideMark/>
          </w:tcPr>
          <w:p w14:paraId="03B3619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2,01</w:t>
            </w:r>
          </w:p>
        </w:tc>
        <w:tc>
          <w:tcPr>
            <w:tcW w:w="1138" w:type="dxa"/>
            <w:tcBorders>
              <w:top w:val="nil"/>
              <w:left w:val="nil"/>
              <w:bottom w:val="single" w:sz="4" w:space="0" w:color="auto"/>
              <w:right w:val="single" w:sz="4" w:space="0" w:color="auto"/>
            </w:tcBorders>
            <w:shd w:val="clear" w:color="auto" w:fill="auto"/>
            <w:noWrap/>
            <w:vAlign w:val="bottom"/>
            <w:hideMark/>
          </w:tcPr>
          <w:p w14:paraId="13B3039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2,31</w:t>
            </w:r>
          </w:p>
        </w:tc>
        <w:tc>
          <w:tcPr>
            <w:tcW w:w="1138" w:type="dxa"/>
            <w:tcBorders>
              <w:top w:val="nil"/>
              <w:left w:val="nil"/>
              <w:bottom w:val="single" w:sz="4" w:space="0" w:color="auto"/>
              <w:right w:val="single" w:sz="4" w:space="0" w:color="auto"/>
            </w:tcBorders>
            <w:shd w:val="clear" w:color="auto" w:fill="auto"/>
            <w:noWrap/>
            <w:vAlign w:val="bottom"/>
            <w:hideMark/>
          </w:tcPr>
          <w:p w14:paraId="559CB03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2,20</w:t>
            </w:r>
          </w:p>
        </w:tc>
        <w:tc>
          <w:tcPr>
            <w:tcW w:w="1138" w:type="dxa"/>
            <w:tcBorders>
              <w:top w:val="nil"/>
              <w:left w:val="nil"/>
              <w:bottom w:val="single" w:sz="4" w:space="0" w:color="auto"/>
              <w:right w:val="single" w:sz="4" w:space="0" w:color="auto"/>
            </w:tcBorders>
            <w:shd w:val="clear" w:color="auto" w:fill="auto"/>
            <w:noWrap/>
            <w:vAlign w:val="bottom"/>
            <w:hideMark/>
          </w:tcPr>
          <w:p w14:paraId="7721D07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2,22</w:t>
            </w:r>
          </w:p>
        </w:tc>
      </w:tr>
      <w:tr w:rsidR="00BF12D5" w:rsidRPr="00BD0223" w14:paraId="3A37C615"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45CF71F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PIRANGI</w:t>
            </w:r>
          </w:p>
        </w:tc>
        <w:tc>
          <w:tcPr>
            <w:tcW w:w="1138" w:type="dxa"/>
            <w:tcBorders>
              <w:top w:val="nil"/>
              <w:left w:val="nil"/>
              <w:bottom w:val="single" w:sz="4" w:space="0" w:color="auto"/>
              <w:right w:val="single" w:sz="4" w:space="0" w:color="auto"/>
            </w:tcBorders>
            <w:shd w:val="clear" w:color="auto" w:fill="auto"/>
            <w:noWrap/>
            <w:vAlign w:val="bottom"/>
            <w:hideMark/>
          </w:tcPr>
          <w:p w14:paraId="425371B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0,85</w:t>
            </w:r>
          </w:p>
        </w:tc>
        <w:tc>
          <w:tcPr>
            <w:tcW w:w="1138" w:type="dxa"/>
            <w:tcBorders>
              <w:top w:val="nil"/>
              <w:left w:val="nil"/>
              <w:bottom w:val="single" w:sz="4" w:space="0" w:color="auto"/>
              <w:right w:val="single" w:sz="4" w:space="0" w:color="auto"/>
            </w:tcBorders>
            <w:shd w:val="clear" w:color="auto" w:fill="auto"/>
            <w:noWrap/>
            <w:vAlign w:val="bottom"/>
            <w:hideMark/>
          </w:tcPr>
          <w:p w14:paraId="163E255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1,30</w:t>
            </w:r>
          </w:p>
        </w:tc>
        <w:tc>
          <w:tcPr>
            <w:tcW w:w="1138" w:type="dxa"/>
            <w:tcBorders>
              <w:top w:val="nil"/>
              <w:left w:val="nil"/>
              <w:bottom w:val="single" w:sz="4" w:space="0" w:color="auto"/>
              <w:right w:val="single" w:sz="4" w:space="0" w:color="auto"/>
            </w:tcBorders>
            <w:shd w:val="clear" w:color="auto" w:fill="auto"/>
            <w:noWrap/>
            <w:vAlign w:val="bottom"/>
            <w:hideMark/>
          </w:tcPr>
          <w:p w14:paraId="692A51D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1,37</w:t>
            </w:r>
          </w:p>
        </w:tc>
        <w:tc>
          <w:tcPr>
            <w:tcW w:w="1138" w:type="dxa"/>
            <w:tcBorders>
              <w:top w:val="nil"/>
              <w:left w:val="nil"/>
              <w:bottom w:val="single" w:sz="4" w:space="0" w:color="auto"/>
              <w:right w:val="single" w:sz="4" w:space="0" w:color="auto"/>
            </w:tcBorders>
            <w:shd w:val="clear" w:color="auto" w:fill="auto"/>
            <w:noWrap/>
            <w:vAlign w:val="bottom"/>
            <w:hideMark/>
          </w:tcPr>
          <w:p w14:paraId="1793896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1,26</w:t>
            </w:r>
          </w:p>
        </w:tc>
        <w:tc>
          <w:tcPr>
            <w:tcW w:w="1138" w:type="dxa"/>
            <w:tcBorders>
              <w:top w:val="nil"/>
              <w:left w:val="nil"/>
              <w:bottom w:val="single" w:sz="4" w:space="0" w:color="auto"/>
              <w:right w:val="single" w:sz="4" w:space="0" w:color="auto"/>
            </w:tcBorders>
            <w:shd w:val="clear" w:color="auto" w:fill="auto"/>
            <w:noWrap/>
            <w:vAlign w:val="bottom"/>
            <w:hideMark/>
          </w:tcPr>
          <w:p w14:paraId="120A8FB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1,48</w:t>
            </w:r>
          </w:p>
        </w:tc>
      </w:tr>
      <w:tr w:rsidR="00BF12D5" w:rsidRPr="00BD0223" w14:paraId="51104B66"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8B6D75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PITANGUEIRAS</w:t>
            </w:r>
          </w:p>
        </w:tc>
        <w:tc>
          <w:tcPr>
            <w:tcW w:w="1138" w:type="dxa"/>
            <w:tcBorders>
              <w:top w:val="nil"/>
              <w:left w:val="nil"/>
              <w:bottom w:val="single" w:sz="4" w:space="0" w:color="auto"/>
              <w:right w:val="single" w:sz="4" w:space="0" w:color="auto"/>
            </w:tcBorders>
            <w:shd w:val="clear" w:color="auto" w:fill="auto"/>
            <w:noWrap/>
            <w:vAlign w:val="bottom"/>
            <w:hideMark/>
          </w:tcPr>
          <w:p w14:paraId="6970EC6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2,01</w:t>
            </w:r>
          </w:p>
        </w:tc>
        <w:tc>
          <w:tcPr>
            <w:tcW w:w="1138" w:type="dxa"/>
            <w:tcBorders>
              <w:top w:val="nil"/>
              <w:left w:val="nil"/>
              <w:bottom w:val="single" w:sz="4" w:space="0" w:color="auto"/>
              <w:right w:val="single" w:sz="4" w:space="0" w:color="auto"/>
            </w:tcBorders>
            <w:shd w:val="clear" w:color="auto" w:fill="auto"/>
            <w:noWrap/>
            <w:vAlign w:val="bottom"/>
            <w:hideMark/>
          </w:tcPr>
          <w:p w14:paraId="2C2A925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2,33</w:t>
            </w:r>
          </w:p>
        </w:tc>
        <w:tc>
          <w:tcPr>
            <w:tcW w:w="1138" w:type="dxa"/>
            <w:tcBorders>
              <w:top w:val="nil"/>
              <w:left w:val="nil"/>
              <w:bottom w:val="single" w:sz="4" w:space="0" w:color="auto"/>
              <w:right w:val="single" w:sz="4" w:space="0" w:color="auto"/>
            </w:tcBorders>
            <w:shd w:val="clear" w:color="auto" w:fill="auto"/>
            <w:noWrap/>
            <w:vAlign w:val="bottom"/>
            <w:hideMark/>
          </w:tcPr>
          <w:p w14:paraId="783D332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2,46</w:t>
            </w:r>
          </w:p>
        </w:tc>
        <w:tc>
          <w:tcPr>
            <w:tcW w:w="1138" w:type="dxa"/>
            <w:tcBorders>
              <w:top w:val="nil"/>
              <w:left w:val="nil"/>
              <w:bottom w:val="single" w:sz="4" w:space="0" w:color="auto"/>
              <w:right w:val="single" w:sz="4" w:space="0" w:color="auto"/>
            </w:tcBorders>
            <w:shd w:val="clear" w:color="auto" w:fill="auto"/>
            <w:noWrap/>
            <w:vAlign w:val="bottom"/>
            <w:hideMark/>
          </w:tcPr>
          <w:p w14:paraId="5EDF47D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3,16</w:t>
            </w:r>
          </w:p>
        </w:tc>
        <w:tc>
          <w:tcPr>
            <w:tcW w:w="1138" w:type="dxa"/>
            <w:tcBorders>
              <w:top w:val="nil"/>
              <w:left w:val="nil"/>
              <w:bottom w:val="single" w:sz="4" w:space="0" w:color="auto"/>
              <w:right w:val="single" w:sz="4" w:space="0" w:color="auto"/>
            </w:tcBorders>
            <w:shd w:val="clear" w:color="auto" w:fill="auto"/>
            <w:noWrap/>
            <w:vAlign w:val="bottom"/>
            <w:hideMark/>
          </w:tcPr>
          <w:p w14:paraId="36D2D3B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3,20</w:t>
            </w:r>
          </w:p>
        </w:tc>
      </w:tr>
      <w:tr w:rsidR="00BF12D5" w:rsidRPr="00BD0223" w14:paraId="653D3C4E"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9296BE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POLONI</w:t>
            </w:r>
          </w:p>
        </w:tc>
        <w:tc>
          <w:tcPr>
            <w:tcW w:w="1138" w:type="dxa"/>
            <w:tcBorders>
              <w:top w:val="nil"/>
              <w:left w:val="nil"/>
              <w:bottom w:val="single" w:sz="4" w:space="0" w:color="auto"/>
              <w:right w:val="single" w:sz="4" w:space="0" w:color="auto"/>
            </w:tcBorders>
            <w:shd w:val="clear" w:color="auto" w:fill="auto"/>
            <w:noWrap/>
            <w:vAlign w:val="bottom"/>
            <w:hideMark/>
          </w:tcPr>
          <w:p w14:paraId="451E8E8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0,49</w:t>
            </w:r>
          </w:p>
        </w:tc>
        <w:tc>
          <w:tcPr>
            <w:tcW w:w="1138" w:type="dxa"/>
            <w:tcBorders>
              <w:top w:val="nil"/>
              <w:left w:val="nil"/>
              <w:bottom w:val="single" w:sz="4" w:space="0" w:color="auto"/>
              <w:right w:val="single" w:sz="4" w:space="0" w:color="auto"/>
            </w:tcBorders>
            <w:shd w:val="clear" w:color="auto" w:fill="auto"/>
            <w:noWrap/>
            <w:vAlign w:val="bottom"/>
            <w:hideMark/>
          </w:tcPr>
          <w:p w14:paraId="404EE80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0,66</w:t>
            </w:r>
          </w:p>
        </w:tc>
        <w:tc>
          <w:tcPr>
            <w:tcW w:w="1138" w:type="dxa"/>
            <w:tcBorders>
              <w:top w:val="nil"/>
              <w:left w:val="nil"/>
              <w:bottom w:val="single" w:sz="4" w:space="0" w:color="auto"/>
              <w:right w:val="single" w:sz="4" w:space="0" w:color="auto"/>
            </w:tcBorders>
            <w:shd w:val="clear" w:color="auto" w:fill="auto"/>
            <w:noWrap/>
            <w:vAlign w:val="bottom"/>
            <w:hideMark/>
          </w:tcPr>
          <w:p w14:paraId="2E28083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0,82</w:t>
            </w:r>
          </w:p>
        </w:tc>
        <w:tc>
          <w:tcPr>
            <w:tcW w:w="1138" w:type="dxa"/>
            <w:tcBorders>
              <w:top w:val="nil"/>
              <w:left w:val="nil"/>
              <w:bottom w:val="single" w:sz="4" w:space="0" w:color="auto"/>
              <w:right w:val="single" w:sz="4" w:space="0" w:color="auto"/>
            </w:tcBorders>
            <w:shd w:val="clear" w:color="auto" w:fill="auto"/>
            <w:noWrap/>
            <w:vAlign w:val="bottom"/>
            <w:hideMark/>
          </w:tcPr>
          <w:p w14:paraId="50D1191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0,95</w:t>
            </w:r>
          </w:p>
        </w:tc>
        <w:tc>
          <w:tcPr>
            <w:tcW w:w="1138" w:type="dxa"/>
            <w:tcBorders>
              <w:top w:val="nil"/>
              <w:left w:val="nil"/>
              <w:bottom w:val="single" w:sz="4" w:space="0" w:color="auto"/>
              <w:right w:val="single" w:sz="4" w:space="0" w:color="auto"/>
            </w:tcBorders>
            <w:shd w:val="clear" w:color="auto" w:fill="auto"/>
            <w:noWrap/>
            <w:vAlign w:val="bottom"/>
            <w:hideMark/>
          </w:tcPr>
          <w:p w14:paraId="00BCC77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0,98</w:t>
            </w:r>
          </w:p>
        </w:tc>
      </w:tr>
      <w:tr w:rsidR="00BF12D5" w:rsidRPr="00BD0223" w14:paraId="689D0A54"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93F63E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PONTAL</w:t>
            </w:r>
          </w:p>
        </w:tc>
        <w:tc>
          <w:tcPr>
            <w:tcW w:w="1138" w:type="dxa"/>
            <w:tcBorders>
              <w:top w:val="nil"/>
              <w:left w:val="nil"/>
              <w:bottom w:val="single" w:sz="4" w:space="0" w:color="auto"/>
              <w:right w:val="single" w:sz="4" w:space="0" w:color="auto"/>
            </w:tcBorders>
            <w:shd w:val="clear" w:color="auto" w:fill="auto"/>
            <w:noWrap/>
            <w:vAlign w:val="bottom"/>
            <w:hideMark/>
          </w:tcPr>
          <w:p w14:paraId="0FE7E1D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1,99</w:t>
            </w:r>
          </w:p>
        </w:tc>
        <w:tc>
          <w:tcPr>
            <w:tcW w:w="1138" w:type="dxa"/>
            <w:tcBorders>
              <w:top w:val="nil"/>
              <w:left w:val="nil"/>
              <w:bottom w:val="single" w:sz="4" w:space="0" w:color="auto"/>
              <w:right w:val="single" w:sz="4" w:space="0" w:color="auto"/>
            </w:tcBorders>
            <w:shd w:val="clear" w:color="auto" w:fill="auto"/>
            <w:noWrap/>
            <w:vAlign w:val="bottom"/>
            <w:hideMark/>
          </w:tcPr>
          <w:p w14:paraId="4DCEED8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2,55</w:t>
            </w:r>
          </w:p>
        </w:tc>
        <w:tc>
          <w:tcPr>
            <w:tcW w:w="1138" w:type="dxa"/>
            <w:tcBorders>
              <w:top w:val="nil"/>
              <w:left w:val="nil"/>
              <w:bottom w:val="single" w:sz="4" w:space="0" w:color="auto"/>
              <w:right w:val="single" w:sz="4" w:space="0" w:color="auto"/>
            </w:tcBorders>
            <w:shd w:val="clear" w:color="auto" w:fill="auto"/>
            <w:noWrap/>
            <w:vAlign w:val="bottom"/>
            <w:hideMark/>
          </w:tcPr>
          <w:p w14:paraId="167C709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2,72</w:t>
            </w:r>
          </w:p>
        </w:tc>
        <w:tc>
          <w:tcPr>
            <w:tcW w:w="1138" w:type="dxa"/>
            <w:tcBorders>
              <w:top w:val="nil"/>
              <w:left w:val="nil"/>
              <w:bottom w:val="single" w:sz="4" w:space="0" w:color="auto"/>
              <w:right w:val="single" w:sz="4" w:space="0" w:color="auto"/>
            </w:tcBorders>
            <w:shd w:val="clear" w:color="auto" w:fill="auto"/>
            <w:noWrap/>
            <w:vAlign w:val="bottom"/>
            <w:hideMark/>
          </w:tcPr>
          <w:p w14:paraId="3EF87BC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2,94</w:t>
            </w:r>
          </w:p>
        </w:tc>
        <w:tc>
          <w:tcPr>
            <w:tcW w:w="1138" w:type="dxa"/>
            <w:tcBorders>
              <w:top w:val="nil"/>
              <w:left w:val="nil"/>
              <w:bottom w:val="single" w:sz="4" w:space="0" w:color="auto"/>
              <w:right w:val="single" w:sz="4" w:space="0" w:color="auto"/>
            </w:tcBorders>
            <w:shd w:val="clear" w:color="auto" w:fill="auto"/>
            <w:noWrap/>
            <w:vAlign w:val="bottom"/>
            <w:hideMark/>
          </w:tcPr>
          <w:p w14:paraId="5DB0F46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2,86</w:t>
            </w:r>
          </w:p>
        </w:tc>
      </w:tr>
      <w:tr w:rsidR="00BF12D5" w:rsidRPr="00BD0223" w14:paraId="5969EF5A"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BA21C7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PONTES GESTAL</w:t>
            </w:r>
          </w:p>
        </w:tc>
        <w:tc>
          <w:tcPr>
            <w:tcW w:w="1138" w:type="dxa"/>
            <w:tcBorders>
              <w:top w:val="nil"/>
              <w:left w:val="nil"/>
              <w:bottom w:val="single" w:sz="4" w:space="0" w:color="auto"/>
              <w:right w:val="single" w:sz="4" w:space="0" w:color="auto"/>
            </w:tcBorders>
            <w:shd w:val="clear" w:color="auto" w:fill="auto"/>
            <w:noWrap/>
            <w:vAlign w:val="bottom"/>
            <w:hideMark/>
          </w:tcPr>
          <w:p w14:paraId="452B0D4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0,16</w:t>
            </w:r>
          </w:p>
        </w:tc>
        <w:tc>
          <w:tcPr>
            <w:tcW w:w="1138" w:type="dxa"/>
            <w:tcBorders>
              <w:top w:val="nil"/>
              <w:left w:val="nil"/>
              <w:bottom w:val="single" w:sz="4" w:space="0" w:color="auto"/>
              <w:right w:val="single" w:sz="4" w:space="0" w:color="auto"/>
            </w:tcBorders>
            <w:shd w:val="clear" w:color="auto" w:fill="auto"/>
            <w:noWrap/>
            <w:vAlign w:val="bottom"/>
            <w:hideMark/>
          </w:tcPr>
          <w:p w14:paraId="1FA8FCA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0,24</w:t>
            </w:r>
          </w:p>
        </w:tc>
        <w:tc>
          <w:tcPr>
            <w:tcW w:w="1138" w:type="dxa"/>
            <w:tcBorders>
              <w:top w:val="nil"/>
              <w:left w:val="nil"/>
              <w:bottom w:val="single" w:sz="4" w:space="0" w:color="auto"/>
              <w:right w:val="single" w:sz="4" w:space="0" w:color="auto"/>
            </w:tcBorders>
            <w:shd w:val="clear" w:color="auto" w:fill="auto"/>
            <w:noWrap/>
            <w:vAlign w:val="bottom"/>
            <w:hideMark/>
          </w:tcPr>
          <w:p w14:paraId="30F0DA9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0,29</w:t>
            </w:r>
          </w:p>
        </w:tc>
        <w:tc>
          <w:tcPr>
            <w:tcW w:w="1138" w:type="dxa"/>
            <w:tcBorders>
              <w:top w:val="nil"/>
              <w:left w:val="nil"/>
              <w:bottom w:val="single" w:sz="4" w:space="0" w:color="auto"/>
              <w:right w:val="single" w:sz="4" w:space="0" w:color="auto"/>
            </w:tcBorders>
            <w:shd w:val="clear" w:color="auto" w:fill="auto"/>
            <w:noWrap/>
            <w:vAlign w:val="bottom"/>
            <w:hideMark/>
          </w:tcPr>
          <w:p w14:paraId="22FFE4B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0,30</w:t>
            </w:r>
          </w:p>
        </w:tc>
        <w:tc>
          <w:tcPr>
            <w:tcW w:w="1138" w:type="dxa"/>
            <w:tcBorders>
              <w:top w:val="nil"/>
              <w:left w:val="nil"/>
              <w:bottom w:val="single" w:sz="4" w:space="0" w:color="auto"/>
              <w:right w:val="single" w:sz="4" w:space="0" w:color="auto"/>
            </w:tcBorders>
            <w:shd w:val="clear" w:color="auto" w:fill="auto"/>
            <w:noWrap/>
            <w:vAlign w:val="bottom"/>
            <w:hideMark/>
          </w:tcPr>
          <w:p w14:paraId="4DF55FD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0,30</w:t>
            </w:r>
          </w:p>
        </w:tc>
      </w:tr>
      <w:tr w:rsidR="00BF12D5" w:rsidRPr="00BD0223" w14:paraId="3F98AD17"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5010376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POPULINA</w:t>
            </w:r>
          </w:p>
        </w:tc>
        <w:tc>
          <w:tcPr>
            <w:tcW w:w="1138" w:type="dxa"/>
            <w:tcBorders>
              <w:top w:val="nil"/>
              <w:left w:val="nil"/>
              <w:bottom w:val="single" w:sz="4" w:space="0" w:color="auto"/>
              <w:right w:val="single" w:sz="4" w:space="0" w:color="auto"/>
            </w:tcBorders>
            <w:shd w:val="clear" w:color="auto" w:fill="auto"/>
            <w:noWrap/>
            <w:vAlign w:val="bottom"/>
            <w:hideMark/>
          </w:tcPr>
          <w:p w14:paraId="192A068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0,38</w:t>
            </w:r>
          </w:p>
        </w:tc>
        <w:tc>
          <w:tcPr>
            <w:tcW w:w="1138" w:type="dxa"/>
            <w:tcBorders>
              <w:top w:val="nil"/>
              <w:left w:val="nil"/>
              <w:bottom w:val="single" w:sz="4" w:space="0" w:color="auto"/>
              <w:right w:val="single" w:sz="4" w:space="0" w:color="auto"/>
            </w:tcBorders>
            <w:shd w:val="clear" w:color="auto" w:fill="auto"/>
            <w:noWrap/>
            <w:vAlign w:val="bottom"/>
            <w:hideMark/>
          </w:tcPr>
          <w:p w14:paraId="7C48D43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0,47</w:t>
            </w:r>
          </w:p>
        </w:tc>
        <w:tc>
          <w:tcPr>
            <w:tcW w:w="1138" w:type="dxa"/>
            <w:tcBorders>
              <w:top w:val="nil"/>
              <w:left w:val="nil"/>
              <w:bottom w:val="single" w:sz="4" w:space="0" w:color="auto"/>
              <w:right w:val="single" w:sz="4" w:space="0" w:color="auto"/>
            </w:tcBorders>
            <w:shd w:val="clear" w:color="auto" w:fill="auto"/>
            <w:noWrap/>
            <w:vAlign w:val="bottom"/>
            <w:hideMark/>
          </w:tcPr>
          <w:p w14:paraId="110208C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0,56</w:t>
            </w:r>
          </w:p>
        </w:tc>
        <w:tc>
          <w:tcPr>
            <w:tcW w:w="1138" w:type="dxa"/>
            <w:tcBorders>
              <w:top w:val="nil"/>
              <w:left w:val="nil"/>
              <w:bottom w:val="single" w:sz="4" w:space="0" w:color="auto"/>
              <w:right w:val="single" w:sz="4" w:space="0" w:color="auto"/>
            </w:tcBorders>
            <w:shd w:val="clear" w:color="auto" w:fill="auto"/>
            <w:noWrap/>
            <w:vAlign w:val="bottom"/>
            <w:hideMark/>
          </w:tcPr>
          <w:p w14:paraId="1617F9E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0,54</w:t>
            </w:r>
          </w:p>
        </w:tc>
        <w:tc>
          <w:tcPr>
            <w:tcW w:w="1138" w:type="dxa"/>
            <w:tcBorders>
              <w:top w:val="nil"/>
              <w:left w:val="nil"/>
              <w:bottom w:val="single" w:sz="4" w:space="0" w:color="auto"/>
              <w:right w:val="single" w:sz="4" w:space="0" w:color="auto"/>
            </w:tcBorders>
            <w:shd w:val="clear" w:color="auto" w:fill="auto"/>
            <w:noWrap/>
            <w:vAlign w:val="bottom"/>
            <w:hideMark/>
          </w:tcPr>
          <w:p w14:paraId="30DA3E6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0,53</w:t>
            </w:r>
          </w:p>
        </w:tc>
      </w:tr>
      <w:tr w:rsidR="00BF12D5" w:rsidRPr="00BD0223" w14:paraId="3A3D32F8"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5F35239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POTIRENDABA</w:t>
            </w:r>
          </w:p>
        </w:tc>
        <w:tc>
          <w:tcPr>
            <w:tcW w:w="1138" w:type="dxa"/>
            <w:tcBorders>
              <w:top w:val="nil"/>
              <w:left w:val="nil"/>
              <w:bottom w:val="single" w:sz="4" w:space="0" w:color="auto"/>
              <w:right w:val="single" w:sz="4" w:space="0" w:color="auto"/>
            </w:tcBorders>
            <w:shd w:val="clear" w:color="auto" w:fill="auto"/>
            <w:noWrap/>
            <w:vAlign w:val="bottom"/>
            <w:hideMark/>
          </w:tcPr>
          <w:p w14:paraId="14A4638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1,79</w:t>
            </w:r>
          </w:p>
        </w:tc>
        <w:tc>
          <w:tcPr>
            <w:tcW w:w="1138" w:type="dxa"/>
            <w:tcBorders>
              <w:top w:val="nil"/>
              <w:left w:val="nil"/>
              <w:bottom w:val="single" w:sz="4" w:space="0" w:color="auto"/>
              <w:right w:val="single" w:sz="4" w:space="0" w:color="auto"/>
            </w:tcBorders>
            <w:shd w:val="clear" w:color="auto" w:fill="auto"/>
            <w:noWrap/>
            <w:vAlign w:val="bottom"/>
            <w:hideMark/>
          </w:tcPr>
          <w:p w14:paraId="018BFB6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2,44</w:t>
            </w:r>
          </w:p>
        </w:tc>
        <w:tc>
          <w:tcPr>
            <w:tcW w:w="1138" w:type="dxa"/>
            <w:tcBorders>
              <w:top w:val="nil"/>
              <w:left w:val="nil"/>
              <w:bottom w:val="single" w:sz="4" w:space="0" w:color="auto"/>
              <w:right w:val="single" w:sz="4" w:space="0" w:color="auto"/>
            </w:tcBorders>
            <w:shd w:val="clear" w:color="auto" w:fill="auto"/>
            <w:noWrap/>
            <w:vAlign w:val="bottom"/>
            <w:hideMark/>
          </w:tcPr>
          <w:p w14:paraId="7239715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3,01</w:t>
            </w:r>
          </w:p>
        </w:tc>
        <w:tc>
          <w:tcPr>
            <w:tcW w:w="1138" w:type="dxa"/>
            <w:tcBorders>
              <w:top w:val="nil"/>
              <w:left w:val="nil"/>
              <w:bottom w:val="single" w:sz="4" w:space="0" w:color="auto"/>
              <w:right w:val="single" w:sz="4" w:space="0" w:color="auto"/>
            </w:tcBorders>
            <w:shd w:val="clear" w:color="auto" w:fill="auto"/>
            <w:noWrap/>
            <w:vAlign w:val="bottom"/>
            <w:hideMark/>
          </w:tcPr>
          <w:p w14:paraId="20BD1FC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2,98</w:t>
            </w:r>
          </w:p>
        </w:tc>
        <w:tc>
          <w:tcPr>
            <w:tcW w:w="1138" w:type="dxa"/>
            <w:tcBorders>
              <w:top w:val="nil"/>
              <w:left w:val="nil"/>
              <w:bottom w:val="single" w:sz="4" w:space="0" w:color="auto"/>
              <w:right w:val="single" w:sz="4" w:space="0" w:color="auto"/>
            </w:tcBorders>
            <w:shd w:val="clear" w:color="auto" w:fill="auto"/>
            <w:noWrap/>
            <w:vAlign w:val="bottom"/>
            <w:hideMark/>
          </w:tcPr>
          <w:p w14:paraId="1278AAC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2,99</w:t>
            </w:r>
          </w:p>
        </w:tc>
      </w:tr>
      <w:tr w:rsidR="00BF12D5" w:rsidRPr="00BD0223" w14:paraId="0BBD3131"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58D92C4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PRADOPOLIS</w:t>
            </w:r>
          </w:p>
        </w:tc>
        <w:tc>
          <w:tcPr>
            <w:tcW w:w="1138" w:type="dxa"/>
            <w:tcBorders>
              <w:top w:val="nil"/>
              <w:left w:val="nil"/>
              <w:bottom w:val="single" w:sz="4" w:space="0" w:color="auto"/>
              <w:right w:val="single" w:sz="4" w:space="0" w:color="auto"/>
            </w:tcBorders>
            <w:shd w:val="clear" w:color="auto" w:fill="auto"/>
            <w:noWrap/>
            <w:vAlign w:val="bottom"/>
            <w:hideMark/>
          </w:tcPr>
          <w:p w14:paraId="1E84BE5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1,34</w:t>
            </w:r>
          </w:p>
        </w:tc>
        <w:tc>
          <w:tcPr>
            <w:tcW w:w="1138" w:type="dxa"/>
            <w:tcBorders>
              <w:top w:val="nil"/>
              <w:left w:val="nil"/>
              <w:bottom w:val="single" w:sz="4" w:space="0" w:color="auto"/>
              <w:right w:val="single" w:sz="4" w:space="0" w:color="auto"/>
            </w:tcBorders>
            <w:shd w:val="clear" w:color="auto" w:fill="auto"/>
            <w:noWrap/>
            <w:vAlign w:val="bottom"/>
            <w:hideMark/>
          </w:tcPr>
          <w:p w14:paraId="6586F6E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1,98</w:t>
            </w:r>
          </w:p>
        </w:tc>
        <w:tc>
          <w:tcPr>
            <w:tcW w:w="1138" w:type="dxa"/>
            <w:tcBorders>
              <w:top w:val="nil"/>
              <w:left w:val="nil"/>
              <w:bottom w:val="single" w:sz="4" w:space="0" w:color="auto"/>
              <w:right w:val="single" w:sz="4" w:space="0" w:color="auto"/>
            </w:tcBorders>
            <w:shd w:val="clear" w:color="auto" w:fill="auto"/>
            <w:noWrap/>
            <w:vAlign w:val="bottom"/>
            <w:hideMark/>
          </w:tcPr>
          <w:p w14:paraId="05BBF4D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2,29</w:t>
            </w:r>
          </w:p>
        </w:tc>
        <w:tc>
          <w:tcPr>
            <w:tcW w:w="1138" w:type="dxa"/>
            <w:tcBorders>
              <w:top w:val="nil"/>
              <w:left w:val="nil"/>
              <w:bottom w:val="single" w:sz="4" w:space="0" w:color="auto"/>
              <w:right w:val="single" w:sz="4" w:space="0" w:color="auto"/>
            </w:tcBorders>
            <w:shd w:val="clear" w:color="auto" w:fill="auto"/>
            <w:noWrap/>
            <w:vAlign w:val="bottom"/>
            <w:hideMark/>
          </w:tcPr>
          <w:p w14:paraId="16AB75B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2,39</w:t>
            </w:r>
          </w:p>
        </w:tc>
        <w:tc>
          <w:tcPr>
            <w:tcW w:w="1138" w:type="dxa"/>
            <w:tcBorders>
              <w:top w:val="nil"/>
              <w:left w:val="nil"/>
              <w:bottom w:val="single" w:sz="4" w:space="0" w:color="auto"/>
              <w:right w:val="single" w:sz="4" w:space="0" w:color="auto"/>
            </w:tcBorders>
            <w:shd w:val="clear" w:color="auto" w:fill="auto"/>
            <w:noWrap/>
            <w:vAlign w:val="bottom"/>
            <w:hideMark/>
          </w:tcPr>
          <w:p w14:paraId="4ACF3F5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2,57</w:t>
            </w:r>
          </w:p>
        </w:tc>
      </w:tr>
      <w:tr w:rsidR="00BF12D5" w:rsidRPr="00BD0223" w14:paraId="5065EB74"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414D6B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RIBEIRAO CORRENTE</w:t>
            </w:r>
          </w:p>
        </w:tc>
        <w:tc>
          <w:tcPr>
            <w:tcW w:w="1138" w:type="dxa"/>
            <w:tcBorders>
              <w:top w:val="nil"/>
              <w:left w:val="nil"/>
              <w:bottom w:val="single" w:sz="4" w:space="0" w:color="auto"/>
              <w:right w:val="single" w:sz="4" w:space="0" w:color="auto"/>
            </w:tcBorders>
            <w:shd w:val="clear" w:color="auto" w:fill="auto"/>
            <w:noWrap/>
            <w:vAlign w:val="bottom"/>
            <w:hideMark/>
          </w:tcPr>
          <w:p w14:paraId="5E7D902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0,33</w:t>
            </w:r>
          </w:p>
        </w:tc>
        <w:tc>
          <w:tcPr>
            <w:tcW w:w="1138" w:type="dxa"/>
            <w:tcBorders>
              <w:top w:val="nil"/>
              <w:left w:val="nil"/>
              <w:bottom w:val="single" w:sz="4" w:space="0" w:color="auto"/>
              <w:right w:val="single" w:sz="4" w:space="0" w:color="auto"/>
            </w:tcBorders>
            <w:shd w:val="clear" w:color="auto" w:fill="auto"/>
            <w:noWrap/>
            <w:vAlign w:val="bottom"/>
            <w:hideMark/>
          </w:tcPr>
          <w:p w14:paraId="121117F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0,37</w:t>
            </w:r>
          </w:p>
        </w:tc>
        <w:tc>
          <w:tcPr>
            <w:tcW w:w="1138" w:type="dxa"/>
            <w:tcBorders>
              <w:top w:val="nil"/>
              <w:left w:val="nil"/>
              <w:bottom w:val="single" w:sz="4" w:space="0" w:color="auto"/>
              <w:right w:val="single" w:sz="4" w:space="0" w:color="auto"/>
            </w:tcBorders>
            <w:shd w:val="clear" w:color="auto" w:fill="auto"/>
            <w:noWrap/>
            <w:vAlign w:val="bottom"/>
            <w:hideMark/>
          </w:tcPr>
          <w:p w14:paraId="34D2389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0,39</w:t>
            </w:r>
          </w:p>
        </w:tc>
        <w:tc>
          <w:tcPr>
            <w:tcW w:w="1138" w:type="dxa"/>
            <w:tcBorders>
              <w:top w:val="nil"/>
              <w:left w:val="nil"/>
              <w:bottom w:val="single" w:sz="4" w:space="0" w:color="auto"/>
              <w:right w:val="single" w:sz="4" w:space="0" w:color="auto"/>
            </w:tcBorders>
            <w:shd w:val="clear" w:color="auto" w:fill="auto"/>
            <w:noWrap/>
            <w:vAlign w:val="bottom"/>
            <w:hideMark/>
          </w:tcPr>
          <w:p w14:paraId="7FD230C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0,41</w:t>
            </w:r>
          </w:p>
        </w:tc>
        <w:tc>
          <w:tcPr>
            <w:tcW w:w="1138" w:type="dxa"/>
            <w:tcBorders>
              <w:top w:val="nil"/>
              <w:left w:val="nil"/>
              <w:bottom w:val="single" w:sz="4" w:space="0" w:color="auto"/>
              <w:right w:val="single" w:sz="4" w:space="0" w:color="auto"/>
            </w:tcBorders>
            <w:shd w:val="clear" w:color="auto" w:fill="auto"/>
            <w:noWrap/>
            <w:vAlign w:val="bottom"/>
            <w:hideMark/>
          </w:tcPr>
          <w:p w14:paraId="3DA725E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0,45</w:t>
            </w:r>
          </w:p>
        </w:tc>
      </w:tr>
      <w:tr w:rsidR="00BF12D5" w:rsidRPr="00BD0223" w14:paraId="6CF54BEB"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106A77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RIBEIRAO PRETO</w:t>
            </w:r>
          </w:p>
        </w:tc>
        <w:tc>
          <w:tcPr>
            <w:tcW w:w="1138" w:type="dxa"/>
            <w:tcBorders>
              <w:top w:val="nil"/>
              <w:left w:val="nil"/>
              <w:bottom w:val="single" w:sz="4" w:space="0" w:color="auto"/>
              <w:right w:val="single" w:sz="4" w:space="0" w:color="auto"/>
            </w:tcBorders>
            <w:shd w:val="clear" w:color="auto" w:fill="auto"/>
            <w:noWrap/>
            <w:vAlign w:val="bottom"/>
            <w:hideMark/>
          </w:tcPr>
          <w:p w14:paraId="27546B4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116,36</w:t>
            </w:r>
          </w:p>
        </w:tc>
        <w:tc>
          <w:tcPr>
            <w:tcW w:w="1138" w:type="dxa"/>
            <w:tcBorders>
              <w:top w:val="nil"/>
              <w:left w:val="nil"/>
              <w:bottom w:val="single" w:sz="4" w:space="0" w:color="auto"/>
              <w:right w:val="single" w:sz="4" w:space="0" w:color="auto"/>
            </w:tcBorders>
            <w:shd w:val="clear" w:color="auto" w:fill="auto"/>
            <w:noWrap/>
            <w:vAlign w:val="bottom"/>
            <w:hideMark/>
          </w:tcPr>
          <w:p w14:paraId="6CA39EC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173,31</w:t>
            </w:r>
          </w:p>
        </w:tc>
        <w:tc>
          <w:tcPr>
            <w:tcW w:w="1138" w:type="dxa"/>
            <w:tcBorders>
              <w:top w:val="nil"/>
              <w:left w:val="nil"/>
              <w:bottom w:val="single" w:sz="4" w:space="0" w:color="auto"/>
              <w:right w:val="single" w:sz="4" w:space="0" w:color="auto"/>
            </w:tcBorders>
            <w:shd w:val="clear" w:color="auto" w:fill="auto"/>
            <w:noWrap/>
            <w:vAlign w:val="bottom"/>
            <w:hideMark/>
          </w:tcPr>
          <w:p w14:paraId="5C0E8C3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195,99</w:t>
            </w:r>
          </w:p>
        </w:tc>
        <w:tc>
          <w:tcPr>
            <w:tcW w:w="1138" w:type="dxa"/>
            <w:tcBorders>
              <w:top w:val="nil"/>
              <w:left w:val="nil"/>
              <w:bottom w:val="single" w:sz="4" w:space="0" w:color="auto"/>
              <w:right w:val="single" w:sz="4" w:space="0" w:color="auto"/>
            </w:tcBorders>
            <w:shd w:val="clear" w:color="auto" w:fill="auto"/>
            <w:noWrap/>
            <w:vAlign w:val="bottom"/>
            <w:hideMark/>
          </w:tcPr>
          <w:p w14:paraId="3526BB2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194,90</w:t>
            </w:r>
          </w:p>
        </w:tc>
        <w:tc>
          <w:tcPr>
            <w:tcW w:w="1138" w:type="dxa"/>
            <w:tcBorders>
              <w:top w:val="nil"/>
              <w:left w:val="nil"/>
              <w:bottom w:val="single" w:sz="4" w:space="0" w:color="auto"/>
              <w:right w:val="single" w:sz="4" w:space="0" w:color="auto"/>
            </w:tcBorders>
            <w:shd w:val="clear" w:color="auto" w:fill="auto"/>
            <w:noWrap/>
            <w:vAlign w:val="bottom"/>
            <w:hideMark/>
          </w:tcPr>
          <w:p w14:paraId="29E5B8F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203,77</w:t>
            </w:r>
          </w:p>
        </w:tc>
      </w:tr>
      <w:tr w:rsidR="00BF12D5" w:rsidRPr="00BD0223" w14:paraId="5BC9B2CE"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96E6A1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RIFAINA</w:t>
            </w:r>
          </w:p>
        </w:tc>
        <w:tc>
          <w:tcPr>
            <w:tcW w:w="1138" w:type="dxa"/>
            <w:tcBorders>
              <w:top w:val="nil"/>
              <w:left w:val="nil"/>
              <w:bottom w:val="single" w:sz="4" w:space="0" w:color="auto"/>
              <w:right w:val="single" w:sz="4" w:space="0" w:color="auto"/>
            </w:tcBorders>
            <w:shd w:val="clear" w:color="auto" w:fill="auto"/>
            <w:noWrap/>
            <w:vAlign w:val="bottom"/>
            <w:hideMark/>
          </w:tcPr>
          <w:p w14:paraId="3BE7ACA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0,48</w:t>
            </w:r>
          </w:p>
        </w:tc>
        <w:tc>
          <w:tcPr>
            <w:tcW w:w="1138" w:type="dxa"/>
            <w:tcBorders>
              <w:top w:val="nil"/>
              <w:left w:val="nil"/>
              <w:bottom w:val="single" w:sz="4" w:space="0" w:color="auto"/>
              <w:right w:val="single" w:sz="4" w:space="0" w:color="auto"/>
            </w:tcBorders>
            <w:shd w:val="clear" w:color="auto" w:fill="auto"/>
            <w:noWrap/>
            <w:vAlign w:val="bottom"/>
            <w:hideMark/>
          </w:tcPr>
          <w:p w14:paraId="41D8198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0,65</w:t>
            </w:r>
          </w:p>
        </w:tc>
        <w:tc>
          <w:tcPr>
            <w:tcW w:w="1138" w:type="dxa"/>
            <w:tcBorders>
              <w:top w:val="nil"/>
              <w:left w:val="nil"/>
              <w:bottom w:val="single" w:sz="4" w:space="0" w:color="auto"/>
              <w:right w:val="single" w:sz="4" w:space="0" w:color="auto"/>
            </w:tcBorders>
            <w:shd w:val="clear" w:color="auto" w:fill="auto"/>
            <w:noWrap/>
            <w:vAlign w:val="bottom"/>
            <w:hideMark/>
          </w:tcPr>
          <w:p w14:paraId="1A59129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0,86</w:t>
            </w:r>
          </w:p>
        </w:tc>
        <w:tc>
          <w:tcPr>
            <w:tcW w:w="1138" w:type="dxa"/>
            <w:tcBorders>
              <w:top w:val="nil"/>
              <w:left w:val="nil"/>
              <w:bottom w:val="single" w:sz="4" w:space="0" w:color="auto"/>
              <w:right w:val="single" w:sz="4" w:space="0" w:color="auto"/>
            </w:tcBorders>
            <w:shd w:val="clear" w:color="auto" w:fill="auto"/>
            <w:noWrap/>
            <w:vAlign w:val="bottom"/>
            <w:hideMark/>
          </w:tcPr>
          <w:p w14:paraId="662BC31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0,65</w:t>
            </w:r>
          </w:p>
        </w:tc>
        <w:tc>
          <w:tcPr>
            <w:tcW w:w="1138" w:type="dxa"/>
            <w:tcBorders>
              <w:top w:val="nil"/>
              <w:left w:val="nil"/>
              <w:bottom w:val="single" w:sz="4" w:space="0" w:color="auto"/>
              <w:right w:val="single" w:sz="4" w:space="0" w:color="auto"/>
            </w:tcBorders>
            <w:shd w:val="clear" w:color="auto" w:fill="auto"/>
            <w:noWrap/>
            <w:vAlign w:val="bottom"/>
            <w:hideMark/>
          </w:tcPr>
          <w:p w14:paraId="37E809B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0,98</w:t>
            </w:r>
          </w:p>
        </w:tc>
      </w:tr>
      <w:tr w:rsidR="00BF12D5" w:rsidRPr="00BD0223" w14:paraId="63BBE39B"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3DD764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RIOLANDIA</w:t>
            </w:r>
          </w:p>
        </w:tc>
        <w:tc>
          <w:tcPr>
            <w:tcW w:w="1138" w:type="dxa"/>
            <w:tcBorders>
              <w:top w:val="nil"/>
              <w:left w:val="nil"/>
              <w:bottom w:val="single" w:sz="4" w:space="0" w:color="auto"/>
              <w:right w:val="single" w:sz="4" w:space="0" w:color="auto"/>
            </w:tcBorders>
            <w:shd w:val="clear" w:color="auto" w:fill="auto"/>
            <w:noWrap/>
            <w:vAlign w:val="bottom"/>
            <w:hideMark/>
          </w:tcPr>
          <w:p w14:paraId="421076A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0,54</w:t>
            </w:r>
          </w:p>
        </w:tc>
        <w:tc>
          <w:tcPr>
            <w:tcW w:w="1138" w:type="dxa"/>
            <w:tcBorders>
              <w:top w:val="nil"/>
              <w:left w:val="nil"/>
              <w:bottom w:val="single" w:sz="4" w:space="0" w:color="auto"/>
              <w:right w:val="single" w:sz="4" w:space="0" w:color="auto"/>
            </w:tcBorders>
            <w:shd w:val="clear" w:color="auto" w:fill="auto"/>
            <w:noWrap/>
            <w:vAlign w:val="bottom"/>
            <w:hideMark/>
          </w:tcPr>
          <w:p w14:paraId="0CA41F1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0,86</w:t>
            </w:r>
          </w:p>
        </w:tc>
        <w:tc>
          <w:tcPr>
            <w:tcW w:w="1138" w:type="dxa"/>
            <w:tcBorders>
              <w:top w:val="nil"/>
              <w:left w:val="nil"/>
              <w:bottom w:val="single" w:sz="4" w:space="0" w:color="auto"/>
              <w:right w:val="single" w:sz="4" w:space="0" w:color="auto"/>
            </w:tcBorders>
            <w:shd w:val="clear" w:color="auto" w:fill="auto"/>
            <w:noWrap/>
            <w:vAlign w:val="bottom"/>
            <w:hideMark/>
          </w:tcPr>
          <w:p w14:paraId="0F48661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1,07</w:t>
            </w:r>
          </w:p>
        </w:tc>
        <w:tc>
          <w:tcPr>
            <w:tcW w:w="1138" w:type="dxa"/>
            <w:tcBorders>
              <w:top w:val="nil"/>
              <w:left w:val="nil"/>
              <w:bottom w:val="single" w:sz="4" w:space="0" w:color="auto"/>
              <w:right w:val="single" w:sz="4" w:space="0" w:color="auto"/>
            </w:tcBorders>
            <w:shd w:val="clear" w:color="auto" w:fill="auto"/>
            <w:noWrap/>
            <w:vAlign w:val="bottom"/>
            <w:hideMark/>
          </w:tcPr>
          <w:p w14:paraId="6781E39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1,11</w:t>
            </w:r>
          </w:p>
        </w:tc>
        <w:tc>
          <w:tcPr>
            <w:tcW w:w="1138" w:type="dxa"/>
            <w:tcBorders>
              <w:top w:val="nil"/>
              <w:left w:val="nil"/>
              <w:bottom w:val="single" w:sz="4" w:space="0" w:color="auto"/>
              <w:right w:val="single" w:sz="4" w:space="0" w:color="auto"/>
            </w:tcBorders>
            <w:shd w:val="clear" w:color="auto" w:fill="auto"/>
            <w:noWrap/>
            <w:vAlign w:val="bottom"/>
            <w:hideMark/>
          </w:tcPr>
          <w:p w14:paraId="7D05D4A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1,13</w:t>
            </w:r>
          </w:p>
        </w:tc>
      </w:tr>
      <w:tr w:rsidR="00BF12D5" w:rsidRPr="00BD0223" w14:paraId="0D36AF27"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A17A28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RUBINEIA</w:t>
            </w:r>
          </w:p>
        </w:tc>
        <w:tc>
          <w:tcPr>
            <w:tcW w:w="1138" w:type="dxa"/>
            <w:tcBorders>
              <w:top w:val="nil"/>
              <w:left w:val="nil"/>
              <w:bottom w:val="single" w:sz="4" w:space="0" w:color="auto"/>
              <w:right w:val="single" w:sz="4" w:space="0" w:color="auto"/>
            </w:tcBorders>
            <w:shd w:val="clear" w:color="auto" w:fill="auto"/>
            <w:noWrap/>
            <w:vAlign w:val="bottom"/>
            <w:hideMark/>
          </w:tcPr>
          <w:p w14:paraId="37C2DA2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0,30</w:t>
            </w:r>
          </w:p>
        </w:tc>
        <w:tc>
          <w:tcPr>
            <w:tcW w:w="1138" w:type="dxa"/>
            <w:tcBorders>
              <w:top w:val="nil"/>
              <w:left w:val="nil"/>
              <w:bottom w:val="single" w:sz="4" w:space="0" w:color="auto"/>
              <w:right w:val="single" w:sz="4" w:space="0" w:color="auto"/>
            </w:tcBorders>
            <w:shd w:val="clear" w:color="auto" w:fill="auto"/>
            <w:noWrap/>
            <w:vAlign w:val="bottom"/>
            <w:hideMark/>
          </w:tcPr>
          <w:p w14:paraId="4936E99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0,37</w:t>
            </w:r>
          </w:p>
        </w:tc>
        <w:tc>
          <w:tcPr>
            <w:tcW w:w="1138" w:type="dxa"/>
            <w:tcBorders>
              <w:top w:val="nil"/>
              <w:left w:val="nil"/>
              <w:bottom w:val="single" w:sz="4" w:space="0" w:color="auto"/>
              <w:right w:val="single" w:sz="4" w:space="0" w:color="auto"/>
            </w:tcBorders>
            <w:shd w:val="clear" w:color="auto" w:fill="auto"/>
            <w:noWrap/>
            <w:vAlign w:val="bottom"/>
            <w:hideMark/>
          </w:tcPr>
          <w:p w14:paraId="5AAC629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0,39</w:t>
            </w:r>
          </w:p>
        </w:tc>
        <w:tc>
          <w:tcPr>
            <w:tcW w:w="1138" w:type="dxa"/>
            <w:tcBorders>
              <w:top w:val="nil"/>
              <w:left w:val="nil"/>
              <w:bottom w:val="single" w:sz="4" w:space="0" w:color="auto"/>
              <w:right w:val="single" w:sz="4" w:space="0" w:color="auto"/>
            </w:tcBorders>
            <w:shd w:val="clear" w:color="auto" w:fill="auto"/>
            <w:noWrap/>
            <w:vAlign w:val="bottom"/>
            <w:hideMark/>
          </w:tcPr>
          <w:p w14:paraId="224FADD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0,47</w:t>
            </w:r>
          </w:p>
        </w:tc>
        <w:tc>
          <w:tcPr>
            <w:tcW w:w="1138" w:type="dxa"/>
            <w:tcBorders>
              <w:top w:val="nil"/>
              <w:left w:val="nil"/>
              <w:bottom w:val="single" w:sz="4" w:space="0" w:color="auto"/>
              <w:right w:val="single" w:sz="4" w:space="0" w:color="auto"/>
            </w:tcBorders>
            <w:shd w:val="clear" w:color="auto" w:fill="auto"/>
            <w:noWrap/>
            <w:vAlign w:val="bottom"/>
            <w:hideMark/>
          </w:tcPr>
          <w:p w14:paraId="65CD39F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0,45</w:t>
            </w:r>
          </w:p>
        </w:tc>
      </w:tr>
      <w:tr w:rsidR="00BF12D5" w:rsidRPr="00BD0223" w14:paraId="43B85BBC"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5EA118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SALES</w:t>
            </w:r>
          </w:p>
        </w:tc>
        <w:tc>
          <w:tcPr>
            <w:tcW w:w="1138" w:type="dxa"/>
            <w:tcBorders>
              <w:top w:val="nil"/>
              <w:left w:val="nil"/>
              <w:bottom w:val="single" w:sz="4" w:space="0" w:color="auto"/>
              <w:right w:val="single" w:sz="4" w:space="0" w:color="auto"/>
            </w:tcBorders>
            <w:shd w:val="clear" w:color="auto" w:fill="auto"/>
            <w:noWrap/>
            <w:vAlign w:val="bottom"/>
            <w:hideMark/>
          </w:tcPr>
          <w:p w14:paraId="7FAF683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0,48</w:t>
            </w:r>
          </w:p>
        </w:tc>
        <w:tc>
          <w:tcPr>
            <w:tcW w:w="1138" w:type="dxa"/>
            <w:tcBorders>
              <w:top w:val="nil"/>
              <w:left w:val="nil"/>
              <w:bottom w:val="single" w:sz="4" w:space="0" w:color="auto"/>
              <w:right w:val="single" w:sz="4" w:space="0" w:color="auto"/>
            </w:tcBorders>
            <w:shd w:val="clear" w:color="auto" w:fill="auto"/>
            <w:noWrap/>
            <w:vAlign w:val="bottom"/>
            <w:hideMark/>
          </w:tcPr>
          <w:p w14:paraId="073F0A9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0,76</w:t>
            </w:r>
          </w:p>
        </w:tc>
        <w:tc>
          <w:tcPr>
            <w:tcW w:w="1138" w:type="dxa"/>
            <w:tcBorders>
              <w:top w:val="nil"/>
              <w:left w:val="nil"/>
              <w:bottom w:val="single" w:sz="4" w:space="0" w:color="auto"/>
              <w:right w:val="single" w:sz="4" w:space="0" w:color="auto"/>
            </w:tcBorders>
            <w:shd w:val="clear" w:color="auto" w:fill="auto"/>
            <w:noWrap/>
            <w:vAlign w:val="bottom"/>
            <w:hideMark/>
          </w:tcPr>
          <w:p w14:paraId="1884E97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0,97</w:t>
            </w:r>
          </w:p>
        </w:tc>
        <w:tc>
          <w:tcPr>
            <w:tcW w:w="1138" w:type="dxa"/>
            <w:tcBorders>
              <w:top w:val="nil"/>
              <w:left w:val="nil"/>
              <w:bottom w:val="single" w:sz="4" w:space="0" w:color="auto"/>
              <w:right w:val="single" w:sz="4" w:space="0" w:color="auto"/>
            </w:tcBorders>
            <w:shd w:val="clear" w:color="auto" w:fill="auto"/>
            <w:noWrap/>
            <w:vAlign w:val="bottom"/>
            <w:hideMark/>
          </w:tcPr>
          <w:p w14:paraId="3DFE3C9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1,09</w:t>
            </w:r>
          </w:p>
        </w:tc>
        <w:tc>
          <w:tcPr>
            <w:tcW w:w="1138" w:type="dxa"/>
            <w:tcBorders>
              <w:top w:val="nil"/>
              <w:left w:val="nil"/>
              <w:bottom w:val="single" w:sz="4" w:space="0" w:color="auto"/>
              <w:right w:val="single" w:sz="4" w:space="0" w:color="auto"/>
            </w:tcBorders>
            <w:shd w:val="clear" w:color="auto" w:fill="auto"/>
            <w:noWrap/>
            <w:vAlign w:val="bottom"/>
            <w:hideMark/>
          </w:tcPr>
          <w:p w14:paraId="5D6696E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1,07</w:t>
            </w:r>
          </w:p>
        </w:tc>
      </w:tr>
      <w:tr w:rsidR="00BF12D5" w:rsidRPr="00BD0223" w14:paraId="2E376889"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2A4152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SALES OLIVEIRA</w:t>
            </w:r>
          </w:p>
        </w:tc>
        <w:tc>
          <w:tcPr>
            <w:tcW w:w="1138" w:type="dxa"/>
            <w:tcBorders>
              <w:top w:val="nil"/>
              <w:left w:val="nil"/>
              <w:bottom w:val="single" w:sz="4" w:space="0" w:color="auto"/>
              <w:right w:val="single" w:sz="4" w:space="0" w:color="auto"/>
            </w:tcBorders>
            <w:shd w:val="clear" w:color="auto" w:fill="auto"/>
            <w:noWrap/>
            <w:vAlign w:val="bottom"/>
            <w:hideMark/>
          </w:tcPr>
          <w:p w14:paraId="3BCBB16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1,29</w:t>
            </w:r>
          </w:p>
        </w:tc>
        <w:tc>
          <w:tcPr>
            <w:tcW w:w="1138" w:type="dxa"/>
            <w:tcBorders>
              <w:top w:val="nil"/>
              <w:left w:val="nil"/>
              <w:bottom w:val="single" w:sz="4" w:space="0" w:color="auto"/>
              <w:right w:val="single" w:sz="4" w:space="0" w:color="auto"/>
            </w:tcBorders>
            <w:shd w:val="clear" w:color="auto" w:fill="auto"/>
            <w:noWrap/>
            <w:vAlign w:val="bottom"/>
            <w:hideMark/>
          </w:tcPr>
          <w:p w14:paraId="1060FC5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1,79</w:t>
            </w:r>
          </w:p>
        </w:tc>
        <w:tc>
          <w:tcPr>
            <w:tcW w:w="1138" w:type="dxa"/>
            <w:tcBorders>
              <w:top w:val="nil"/>
              <w:left w:val="nil"/>
              <w:bottom w:val="single" w:sz="4" w:space="0" w:color="auto"/>
              <w:right w:val="single" w:sz="4" w:space="0" w:color="auto"/>
            </w:tcBorders>
            <w:shd w:val="clear" w:color="auto" w:fill="auto"/>
            <w:noWrap/>
            <w:vAlign w:val="bottom"/>
            <w:hideMark/>
          </w:tcPr>
          <w:p w14:paraId="73BDFD4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2,37</w:t>
            </w:r>
          </w:p>
        </w:tc>
        <w:tc>
          <w:tcPr>
            <w:tcW w:w="1138" w:type="dxa"/>
            <w:tcBorders>
              <w:top w:val="nil"/>
              <w:left w:val="nil"/>
              <w:bottom w:val="single" w:sz="4" w:space="0" w:color="auto"/>
              <w:right w:val="single" w:sz="4" w:space="0" w:color="auto"/>
            </w:tcBorders>
            <w:shd w:val="clear" w:color="auto" w:fill="auto"/>
            <w:noWrap/>
            <w:vAlign w:val="bottom"/>
            <w:hideMark/>
          </w:tcPr>
          <w:p w14:paraId="5AAAA54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3,22</w:t>
            </w:r>
          </w:p>
        </w:tc>
        <w:tc>
          <w:tcPr>
            <w:tcW w:w="1138" w:type="dxa"/>
            <w:tcBorders>
              <w:top w:val="nil"/>
              <w:left w:val="nil"/>
              <w:bottom w:val="single" w:sz="4" w:space="0" w:color="auto"/>
              <w:right w:val="single" w:sz="4" w:space="0" w:color="auto"/>
            </w:tcBorders>
            <w:shd w:val="clear" w:color="auto" w:fill="auto"/>
            <w:noWrap/>
            <w:vAlign w:val="bottom"/>
            <w:hideMark/>
          </w:tcPr>
          <w:p w14:paraId="5F933A7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4,83</w:t>
            </w:r>
          </w:p>
        </w:tc>
      </w:tr>
      <w:tr w:rsidR="00BF12D5" w:rsidRPr="00BD0223" w14:paraId="46DD4505"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EB2202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SANTA ADELIA</w:t>
            </w:r>
          </w:p>
        </w:tc>
        <w:tc>
          <w:tcPr>
            <w:tcW w:w="1138" w:type="dxa"/>
            <w:tcBorders>
              <w:top w:val="nil"/>
              <w:left w:val="nil"/>
              <w:bottom w:val="single" w:sz="4" w:space="0" w:color="auto"/>
              <w:right w:val="single" w:sz="4" w:space="0" w:color="auto"/>
            </w:tcBorders>
            <w:shd w:val="clear" w:color="auto" w:fill="auto"/>
            <w:noWrap/>
            <w:vAlign w:val="bottom"/>
            <w:hideMark/>
          </w:tcPr>
          <w:p w14:paraId="3288E7A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1,83</w:t>
            </w:r>
          </w:p>
        </w:tc>
        <w:tc>
          <w:tcPr>
            <w:tcW w:w="1138" w:type="dxa"/>
            <w:tcBorders>
              <w:top w:val="nil"/>
              <w:left w:val="nil"/>
              <w:bottom w:val="single" w:sz="4" w:space="0" w:color="auto"/>
              <w:right w:val="single" w:sz="4" w:space="0" w:color="auto"/>
            </w:tcBorders>
            <w:shd w:val="clear" w:color="auto" w:fill="auto"/>
            <w:noWrap/>
            <w:vAlign w:val="bottom"/>
            <w:hideMark/>
          </w:tcPr>
          <w:p w14:paraId="492B462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2,40</w:t>
            </w:r>
          </w:p>
        </w:tc>
        <w:tc>
          <w:tcPr>
            <w:tcW w:w="1138" w:type="dxa"/>
            <w:tcBorders>
              <w:top w:val="nil"/>
              <w:left w:val="nil"/>
              <w:bottom w:val="single" w:sz="4" w:space="0" w:color="auto"/>
              <w:right w:val="single" w:sz="4" w:space="0" w:color="auto"/>
            </w:tcBorders>
            <w:shd w:val="clear" w:color="auto" w:fill="auto"/>
            <w:noWrap/>
            <w:vAlign w:val="bottom"/>
            <w:hideMark/>
          </w:tcPr>
          <w:p w14:paraId="1C2E721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2,74</w:t>
            </w:r>
          </w:p>
        </w:tc>
        <w:tc>
          <w:tcPr>
            <w:tcW w:w="1138" w:type="dxa"/>
            <w:tcBorders>
              <w:top w:val="nil"/>
              <w:left w:val="nil"/>
              <w:bottom w:val="single" w:sz="4" w:space="0" w:color="auto"/>
              <w:right w:val="single" w:sz="4" w:space="0" w:color="auto"/>
            </w:tcBorders>
            <w:shd w:val="clear" w:color="auto" w:fill="auto"/>
            <w:noWrap/>
            <w:vAlign w:val="bottom"/>
            <w:hideMark/>
          </w:tcPr>
          <w:p w14:paraId="3CDC0A9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2,77</w:t>
            </w:r>
          </w:p>
        </w:tc>
        <w:tc>
          <w:tcPr>
            <w:tcW w:w="1138" w:type="dxa"/>
            <w:tcBorders>
              <w:top w:val="nil"/>
              <w:left w:val="nil"/>
              <w:bottom w:val="single" w:sz="4" w:space="0" w:color="auto"/>
              <w:right w:val="single" w:sz="4" w:space="0" w:color="auto"/>
            </w:tcBorders>
            <w:shd w:val="clear" w:color="auto" w:fill="auto"/>
            <w:noWrap/>
            <w:vAlign w:val="bottom"/>
            <w:hideMark/>
          </w:tcPr>
          <w:p w14:paraId="608E1C3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2,92</w:t>
            </w:r>
          </w:p>
        </w:tc>
      </w:tr>
      <w:tr w:rsidR="00BF12D5" w:rsidRPr="00BD0223" w14:paraId="2E051A25"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1AD9EE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SANTA ALBERTINA</w:t>
            </w:r>
          </w:p>
        </w:tc>
        <w:tc>
          <w:tcPr>
            <w:tcW w:w="1138" w:type="dxa"/>
            <w:tcBorders>
              <w:top w:val="nil"/>
              <w:left w:val="nil"/>
              <w:bottom w:val="single" w:sz="4" w:space="0" w:color="auto"/>
              <w:right w:val="single" w:sz="4" w:space="0" w:color="auto"/>
            </w:tcBorders>
            <w:shd w:val="clear" w:color="auto" w:fill="auto"/>
            <w:noWrap/>
            <w:vAlign w:val="bottom"/>
            <w:hideMark/>
          </w:tcPr>
          <w:p w14:paraId="6CB5750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0,57</w:t>
            </w:r>
          </w:p>
        </w:tc>
        <w:tc>
          <w:tcPr>
            <w:tcW w:w="1138" w:type="dxa"/>
            <w:tcBorders>
              <w:top w:val="nil"/>
              <w:left w:val="nil"/>
              <w:bottom w:val="single" w:sz="4" w:space="0" w:color="auto"/>
              <w:right w:val="single" w:sz="4" w:space="0" w:color="auto"/>
            </w:tcBorders>
            <w:shd w:val="clear" w:color="auto" w:fill="auto"/>
            <w:noWrap/>
            <w:vAlign w:val="bottom"/>
            <w:hideMark/>
          </w:tcPr>
          <w:p w14:paraId="0856A1F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0,76</w:t>
            </w:r>
          </w:p>
        </w:tc>
        <w:tc>
          <w:tcPr>
            <w:tcW w:w="1138" w:type="dxa"/>
            <w:tcBorders>
              <w:top w:val="nil"/>
              <w:left w:val="nil"/>
              <w:bottom w:val="single" w:sz="4" w:space="0" w:color="auto"/>
              <w:right w:val="single" w:sz="4" w:space="0" w:color="auto"/>
            </w:tcBorders>
            <w:shd w:val="clear" w:color="auto" w:fill="auto"/>
            <w:noWrap/>
            <w:vAlign w:val="bottom"/>
            <w:hideMark/>
          </w:tcPr>
          <w:p w14:paraId="7E8FA10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0,87</w:t>
            </w:r>
          </w:p>
        </w:tc>
        <w:tc>
          <w:tcPr>
            <w:tcW w:w="1138" w:type="dxa"/>
            <w:tcBorders>
              <w:top w:val="nil"/>
              <w:left w:val="nil"/>
              <w:bottom w:val="single" w:sz="4" w:space="0" w:color="auto"/>
              <w:right w:val="single" w:sz="4" w:space="0" w:color="auto"/>
            </w:tcBorders>
            <w:shd w:val="clear" w:color="auto" w:fill="auto"/>
            <w:noWrap/>
            <w:vAlign w:val="bottom"/>
            <w:hideMark/>
          </w:tcPr>
          <w:p w14:paraId="672224E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0,90</w:t>
            </w:r>
          </w:p>
        </w:tc>
        <w:tc>
          <w:tcPr>
            <w:tcW w:w="1138" w:type="dxa"/>
            <w:tcBorders>
              <w:top w:val="nil"/>
              <w:left w:val="nil"/>
              <w:bottom w:val="single" w:sz="4" w:space="0" w:color="auto"/>
              <w:right w:val="single" w:sz="4" w:space="0" w:color="auto"/>
            </w:tcBorders>
            <w:shd w:val="clear" w:color="auto" w:fill="auto"/>
            <w:noWrap/>
            <w:vAlign w:val="bottom"/>
            <w:hideMark/>
          </w:tcPr>
          <w:p w14:paraId="23EF4A6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0,92</w:t>
            </w:r>
          </w:p>
        </w:tc>
      </w:tr>
      <w:tr w:rsidR="00BF12D5" w:rsidRPr="00BD0223" w14:paraId="7FE6474F"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4C8CC0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SANTA CLARA D'OESTE</w:t>
            </w:r>
          </w:p>
        </w:tc>
        <w:tc>
          <w:tcPr>
            <w:tcW w:w="1138" w:type="dxa"/>
            <w:tcBorders>
              <w:top w:val="nil"/>
              <w:left w:val="nil"/>
              <w:bottom w:val="single" w:sz="4" w:space="0" w:color="auto"/>
              <w:right w:val="single" w:sz="4" w:space="0" w:color="auto"/>
            </w:tcBorders>
            <w:shd w:val="clear" w:color="auto" w:fill="auto"/>
            <w:noWrap/>
            <w:vAlign w:val="bottom"/>
            <w:hideMark/>
          </w:tcPr>
          <w:p w14:paraId="76488A3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0,17</w:t>
            </w:r>
          </w:p>
        </w:tc>
        <w:tc>
          <w:tcPr>
            <w:tcW w:w="1138" w:type="dxa"/>
            <w:tcBorders>
              <w:top w:val="nil"/>
              <w:left w:val="nil"/>
              <w:bottom w:val="single" w:sz="4" w:space="0" w:color="auto"/>
              <w:right w:val="single" w:sz="4" w:space="0" w:color="auto"/>
            </w:tcBorders>
            <w:shd w:val="clear" w:color="auto" w:fill="auto"/>
            <w:noWrap/>
            <w:vAlign w:val="bottom"/>
            <w:hideMark/>
          </w:tcPr>
          <w:p w14:paraId="57EBB0C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0,23</w:t>
            </w:r>
          </w:p>
        </w:tc>
        <w:tc>
          <w:tcPr>
            <w:tcW w:w="1138" w:type="dxa"/>
            <w:tcBorders>
              <w:top w:val="nil"/>
              <w:left w:val="nil"/>
              <w:bottom w:val="single" w:sz="4" w:space="0" w:color="auto"/>
              <w:right w:val="single" w:sz="4" w:space="0" w:color="auto"/>
            </w:tcBorders>
            <w:shd w:val="clear" w:color="auto" w:fill="auto"/>
            <w:noWrap/>
            <w:vAlign w:val="bottom"/>
            <w:hideMark/>
          </w:tcPr>
          <w:p w14:paraId="07EAB1A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0,28</w:t>
            </w:r>
          </w:p>
        </w:tc>
        <w:tc>
          <w:tcPr>
            <w:tcW w:w="1138" w:type="dxa"/>
            <w:tcBorders>
              <w:top w:val="nil"/>
              <w:left w:val="nil"/>
              <w:bottom w:val="single" w:sz="4" w:space="0" w:color="auto"/>
              <w:right w:val="single" w:sz="4" w:space="0" w:color="auto"/>
            </w:tcBorders>
            <w:shd w:val="clear" w:color="auto" w:fill="auto"/>
            <w:noWrap/>
            <w:vAlign w:val="bottom"/>
            <w:hideMark/>
          </w:tcPr>
          <w:p w14:paraId="51AEB70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0,27</w:t>
            </w:r>
          </w:p>
        </w:tc>
        <w:tc>
          <w:tcPr>
            <w:tcW w:w="1138" w:type="dxa"/>
            <w:tcBorders>
              <w:top w:val="nil"/>
              <w:left w:val="nil"/>
              <w:bottom w:val="single" w:sz="4" w:space="0" w:color="auto"/>
              <w:right w:val="single" w:sz="4" w:space="0" w:color="auto"/>
            </w:tcBorders>
            <w:shd w:val="clear" w:color="auto" w:fill="auto"/>
            <w:noWrap/>
            <w:vAlign w:val="bottom"/>
            <w:hideMark/>
          </w:tcPr>
          <w:p w14:paraId="36AF589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0,31</w:t>
            </w:r>
          </w:p>
        </w:tc>
      </w:tr>
      <w:tr w:rsidR="00BF12D5" w:rsidRPr="00BD0223" w14:paraId="542EAC83"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404A933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SANTA CRUZ DA ESPERANCA</w:t>
            </w:r>
          </w:p>
        </w:tc>
        <w:tc>
          <w:tcPr>
            <w:tcW w:w="1138" w:type="dxa"/>
            <w:tcBorders>
              <w:top w:val="nil"/>
              <w:left w:val="nil"/>
              <w:bottom w:val="single" w:sz="4" w:space="0" w:color="auto"/>
              <w:right w:val="single" w:sz="4" w:space="0" w:color="auto"/>
            </w:tcBorders>
            <w:shd w:val="clear" w:color="auto" w:fill="auto"/>
            <w:noWrap/>
            <w:vAlign w:val="bottom"/>
            <w:hideMark/>
          </w:tcPr>
          <w:p w14:paraId="07FE860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0,20</w:t>
            </w:r>
          </w:p>
        </w:tc>
        <w:tc>
          <w:tcPr>
            <w:tcW w:w="1138" w:type="dxa"/>
            <w:tcBorders>
              <w:top w:val="nil"/>
              <w:left w:val="nil"/>
              <w:bottom w:val="single" w:sz="4" w:space="0" w:color="auto"/>
              <w:right w:val="single" w:sz="4" w:space="0" w:color="auto"/>
            </w:tcBorders>
            <w:shd w:val="clear" w:color="auto" w:fill="auto"/>
            <w:noWrap/>
            <w:vAlign w:val="bottom"/>
            <w:hideMark/>
          </w:tcPr>
          <w:p w14:paraId="4A68038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0,39</w:t>
            </w:r>
          </w:p>
        </w:tc>
        <w:tc>
          <w:tcPr>
            <w:tcW w:w="1138" w:type="dxa"/>
            <w:tcBorders>
              <w:top w:val="nil"/>
              <w:left w:val="nil"/>
              <w:bottom w:val="single" w:sz="4" w:space="0" w:color="auto"/>
              <w:right w:val="single" w:sz="4" w:space="0" w:color="auto"/>
            </w:tcBorders>
            <w:shd w:val="clear" w:color="auto" w:fill="auto"/>
            <w:noWrap/>
            <w:vAlign w:val="bottom"/>
            <w:hideMark/>
          </w:tcPr>
          <w:p w14:paraId="135CDF4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0,64</w:t>
            </w:r>
          </w:p>
        </w:tc>
        <w:tc>
          <w:tcPr>
            <w:tcW w:w="1138" w:type="dxa"/>
            <w:tcBorders>
              <w:top w:val="nil"/>
              <w:left w:val="nil"/>
              <w:bottom w:val="single" w:sz="4" w:space="0" w:color="auto"/>
              <w:right w:val="single" w:sz="4" w:space="0" w:color="auto"/>
            </w:tcBorders>
            <w:shd w:val="clear" w:color="auto" w:fill="auto"/>
            <w:noWrap/>
            <w:vAlign w:val="bottom"/>
            <w:hideMark/>
          </w:tcPr>
          <w:p w14:paraId="6CEDD92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0,71</w:t>
            </w:r>
          </w:p>
        </w:tc>
        <w:tc>
          <w:tcPr>
            <w:tcW w:w="1138" w:type="dxa"/>
            <w:tcBorders>
              <w:top w:val="nil"/>
              <w:left w:val="nil"/>
              <w:bottom w:val="single" w:sz="4" w:space="0" w:color="auto"/>
              <w:right w:val="single" w:sz="4" w:space="0" w:color="auto"/>
            </w:tcBorders>
            <w:shd w:val="clear" w:color="auto" w:fill="auto"/>
            <w:noWrap/>
            <w:vAlign w:val="bottom"/>
            <w:hideMark/>
          </w:tcPr>
          <w:p w14:paraId="7BB1199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0,76</w:t>
            </w:r>
          </w:p>
        </w:tc>
      </w:tr>
      <w:tr w:rsidR="00BF12D5" w:rsidRPr="00BD0223" w14:paraId="439E762F"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1D9CF98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SANTA ERNESTINA</w:t>
            </w:r>
          </w:p>
        </w:tc>
        <w:tc>
          <w:tcPr>
            <w:tcW w:w="1138" w:type="dxa"/>
            <w:tcBorders>
              <w:top w:val="nil"/>
              <w:left w:val="nil"/>
              <w:bottom w:val="single" w:sz="4" w:space="0" w:color="auto"/>
              <w:right w:val="single" w:sz="4" w:space="0" w:color="auto"/>
            </w:tcBorders>
            <w:shd w:val="clear" w:color="auto" w:fill="auto"/>
            <w:noWrap/>
            <w:vAlign w:val="bottom"/>
            <w:hideMark/>
          </w:tcPr>
          <w:p w14:paraId="2A1D850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0,25</w:t>
            </w:r>
          </w:p>
        </w:tc>
        <w:tc>
          <w:tcPr>
            <w:tcW w:w="1138" w:type="dxa"/>
            <w:tcBorders>
              <w:top w:val="nil"/>
              <w:left w:val="nil"/>
              <w:bottom w:val="single" w:sz="4" w:space="0" w:color="auto"/>
              <w:right w:val="single" w:sz="4" w:space="0" w:color="auto"/>
            </w:tcBorders>
            <w:shd w:val="clear" w:color="auto" w:fill="auto"/>
            <w:noWrap/>
            <w:vAlign w:val="bottom"/>
            <w:hideMark/>
          </w:tcPr>
          <w:p w14:paraId="49849D2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0,36</w:t>
            </w:r>
          </w:p>
        </w:tc>
        <w:tc>
          <w:tcPr>
            <w:tcW w:w="1138" w:type="dxa"/>
            <w:tcBorders>
              <w:top w:val="nil"/>
              <w:left w:val="nil"/>
              <w:bottom w:val="single" w:sz="4" w:space="0" w:color="auto"/>
              <w:right w:val="single" w:sz="4" w:space="0" w:color="auto"/>
            </w:tcBorders>
            <w:shd w:val="clear" w:color="auto" w:fill="auto"/>
            <w:noWrap/>
            <w:vAlign w:val="bottom"/>
            <w:hideMark/>
          </w:tcPr>
          <w:p w14:paraId="7F8EC66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0,63</w:t>
            </w:r>
          </w:p>
        </w:tc>
        <w:tc>
          <w:tcPr>
            <w:tcW w:w="1138" w:type="dxa"/>
            <w:tcBorders>
              <w:top w:val="nil"/>
              <w:left w:val="nil"/>
              <w:bottom w:val="single" w:sz="4" w:space="0" w:color="auto"/>
              <w:right w:val="single" w:sz="4" w:space="0" w:color="auto"/>
            </w:tcBorders>
            <w:shd w:val="clear" w:color="auto" w:fill="auto"/>
            <w:noWrap/>
            <w:vAlign w:val="bottom"/>
            <w:hideMark/>
          </w:tcPr>
          <w:p w14:paraId="235F1FD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0,77</w:t>
            </w:r>
          </w:p>
        </w:tc>
        <w:tc>
          <w:tcPr>
            <w:tcW w:w="1138" w:type="dxa"/>
            <w:tcBorders>
              <w:top w:val="nil"/>
              <w:left w:val="nil"/>
              <w:bottom w:val="single" w:sz="4" w:space="0" w:color="auto"/>
              <w:right w:val="single" w:sz="4" w:space="0" w:color="auto"/>
            </w:tcBorders>
            <w:shd w:val="clear" w:color="auto" w:fill="auto"/>
            <w:noWrap/>
            <w:vAlign w:val="bottom"/>
            <w:hideMark/>
          </w:tcPr>
          <w:p w14:paraId="13551F4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0,72</w:t>
            </w:r>
          </w:p>
        </w:tc>
      </w:tr>
      <w:tr w:rsidR="00BF12D5" w:rsidRPr="00BD0223" w14:paraId="75680FB2"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128BF2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SANTA ROSA DE VITERBO</w:t>
            </w:r>
          </w:p>
        </w:tc>
        <w:tc>
          <w:tcPr>
            <w:tcW w:w="1138" w:type="dxa"/>
            <w:tcBorders>
              <w:top w:val="nil"/>
              <w:left w:val="nil"/>
              <w:bottom w:val="single" w:sz="4" w:space="0" w:color="auto"/>
              <w:right w:val="single" w:sz="4" w:space="0" w:color="auto"/>
            </w:tcBorders>
            <w:shd w:val="clear" w:color="auto" w:fill="auto"/>
            <w:noWrap/>
            <w:vAlign w:val="bottom"/>
            <w:hideMark/>
          </w:tcPr>
          <w:p w14:paraId="033AA32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3,20</w:t>
            </w:r>
          </w:p>
        </w:tc>
        <w:tc>
          <w:tcPr>
            <w:tcW w:w="1138" w:type="dxa"/>
            <w:tcBorders>
              <w:top w:val="nil"/>
              <w:left w:val="nil"/>
              <w:bottom w:val="single" w:sz="4" w:space="0" w:color="auto"/>
              <w:right w:val="single" w:sz="4" w:space="0" w:color="auto"/>
            </w:tcBorders>
            <w:shd w:val="clear" w:color="auto" w:fill="auto"/>
            <w:noWrap/>
            <w:vAlign w:val="bottom"/>
            <w:hideMark/>
          </w:tcPr>
          <w:p w14:paraId="7B91AA1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4,05</w:t>
            </w:r>
          </w:p>
        </w:tc>
        <w:tc>
          <w:tcPr>
            <w:tcW w:w="1138" w:type="dxa"/>
            <w:tcBorders>
              <w:top w:val="nil"/>
              <w:left w:val="nil"/>
              <w:bottom w:val="single" w:sz="4" w:space="0" w:color="auto"/>
              <w:right w:val="single" w:sz="4" w:space="0" w:color="auto"/>
            </w:tcBorders>
            <w:shd w:val="clear" w:color="auto" w:fill="auto"/>
            <w:noWrap/>
            <w:vAlign w:val="bottom"/>
            <w:hideMark/>
          </w:tcPr>
          <w:p w14:paraId="1E36300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4,55</w:t>
            </w:r>
          </w:p>
        </w:tc>
        <w:tc>
          <w:tcPr>
            <w:tcW w:w="1138" w:type="dxa"/>
            <w:tcBorders>
              <w:top w:val="nil"/>
              <w:left w:val="nil"/>
              <w:bottom w:val="single" w:sz="4" w:space="0" w:color="auto"/>
              <w:right w:val="single" w:sz="4" w:space="0" w:color="auto"/>
            </w:tcBorders>
            <w:shd w:val="clear" w:color="auto" w:fill="auto"/>
            <w:noWrap/>
            <w:vAlign w:val="bottom"/>
            <w:hideMark/>
          </w:tcPr>
          <w:p w14:paraId="1FDD9C5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4,62</w:t>
            </w:r>
          </w:p>
        </w:tc>
        <w:tc>
          <w:tcPr>
            <w:tcW w:w="1138" w:type="dxa"/>
            <w:tcBorders>
              <w:top w:val="nil"/>
              <w:left w:val="nil"/>
              <w:bottom w:val="single" w:sz="4" w:space="0" w:color="auto"/>
              <w:right w:val="single" w:sz="4" w:space="0" w:color="auto"/>
            </w:tcBorders>
            <w:shd w:val="clear" w:color="auto" w:fill="auto"/>
            <w:noWrap/>
            <w:vAlign w:val="bottom"/>
            <w:hideMark/>
          </w:tcPr>
          <w:p w14:paraId="13C4867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4,67</w:t>
            </w:r>
          </w:p>
        </w:tc>
      </w:tr>
      <w:tr w:rsidR="00BF12D5" w:rsidRPr="00BD0223" w14:paraId="5EEA535E"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42F18E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SANTA SALETE</w:t>
            </w:r>
          </w:p>
        </w:tc>
        <w:tc>
          <w:tcPr>
            <w:tcW w:w="1138" w:type="dxa"/>
            <w:tcBorders>
              <w:top w:val="nil"/>
              <w:left w:val="nil"/>
              <w:bottom w:val="single" w:sz="4" w:space="0" w:color="auto"/>
              <w:right w:val="single" w:sz="4" w:space="0" w:color="auto"/>
            </w:tcBorders>
            <w:shd w:val="clear" w:color="auto" w:fill="auto"/>
            <w:noWrap/>
            <w:vAlign w:val="bottom"/>
            <w:hideMark/>
          </w:tcPr>
          <w:p w14:paraId="0DDB058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0,10</w:t>
            </w:r>
          </w:p>
        </w:tc>
        <w:tc>
          <w:tcPr>
            <w:tcW w:w="1138" w:type="dxa"/>
            <w:tcBorders>
              <w:top w:val="nil"/>
              <w:left w:val="nil"/>
              <w:bottom w:val="single" w:sz="4" w:space="0" w:color="auto"/>
              <w:right w:val="single" w:sz="4" w:space="0" w:color="auto"/>
            </w:tcBorders>
            <w:shd w:val="clear" w:color="auto" w:fill="auto"/>
            <w:noWrap/>
            <w:vAlign w:val="bottom"/>
            <w:hideMark/>
          </w:tcPr>
          <w:p w14:paraId="266EC01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0,13</w:t>
            </w:r>
          </w:p>
        </w:tc>
        <w:tc>
          <w:tcPr>
            <w:tcW w:w="1138" w:type="dxa"/>
            <w:tcBorders>
              <w:top w:val="nil"/>
              <w:left w:val="nil"/>
              <w:bottom w:val="single" w:sz="4" w:space="0" w:color="auto"/>
              <w:right w:val="single" w:sz="4" w:space="0" w:color="auto"/>
            </w:tcBorders>
            <w:shd w:val="clear" w:color="auto" w:fill="auto"/>
            <w:noWrap/>
            <w:vAlign w:val="bottom"/>
            <w:hideMark/>
          </w:tcPr>
          <w:p w14:paraId="01CBFBD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0,15</w:t>
            </w:r>
          </w:p>
        </w:tc>
        <w:tc>
          <w:tcPr>
            <w:tcW w:w="1138" w:type="dxa"/>
            <w:tcBorders>
              <w:top w:val="nil"/>
              <w:left w:val="nil"/>
              <w:bottom w:val="single" w:sz="4" w:space="0" w:color="auto"/>
              <w:right w:val="single" w:sz="4" w:space="0" w:color="auto"/>
            </w:tcBorders>
            <w:shd w:val="clear" w:color="auto" w:fill="auto"/>
            <w:noWrap/>
            <w:vAlign w:val="bottom"/>
            <w:hideMark/>
          </w:tcPr>
          <w:p w14:paraId="098A080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0,18</w:t>
            </w:r>
          </w:p>
        </w:tc>
        <w:tc>
          <w:tcPr>
            <w:tcW w:w="1138" w:type="dxa"/>
            <w:tcBorders>
              <w:top w:val="nil"/>
              <w:left w:val="nil"/>
              <w:bottom w:val="single" w:sz="4" w:space="0" w:color="auto"/>
              <w:right w:val="single" w:sz="4" w:space="0" w:color="auto"/>
            </w:tcBorders>
            <w:shd w:val="clear" w:color="auto" w:fill="auto"/>
            <w:noWrap/>
            <w:vAlign w:val="bottom"/>
            <w:hideMark/>
          </w:tcPr>
          <w:p w14:paraId="0F62DDF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0,16</w:t>
            </w:r>
          </w:p>
        </w:tc>
      </w:tr>
      <w:tr w:rsidR="00BF12D5" w:rsidRPr="00BD0223" w14:paraId="60DE1941"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5E8D176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SANTANA DA PONTE PENSA</w:t>
            </w:r>
          </w:p>
        </w:tc>
        <w:tc>
          <w:tcPr>
            <w:tcW w:w="1138" w:type="dxa"/>
            <w:tcBorders>
              <w:top w:val="nil"/>
              <w:left w:val="nil"/>
              <w:bottom w:val="single" w:sz="4" w:space="0" w:color="auto"/>
              <w:right w:val="single" w:sz="4" w:space="0" w:color="auto"/>
            </w:tcBorders>
            <w:shd w:val="clear" w:color="auto" w:fill="auto"/>
            <w:noWrap/>
            <w:vAlign w:val="bottom"/>
            <w:hideMark/>
          </w:tcPr>
          <w:p w14:paraId="65C788E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0,13</w:t>
            </w:r>
          </w:p>
        </w:tc>
        <w:tc>
          <w:tcPr>
            <w:tcW w:w="1138" w:type="dxa"/>
            <w:tcBorders>
              <w:top w:val="nil"/>
              <w:left w:val="nil"/>
              <w:bottom w:val="single" w:sz="4" w:space="0" w:color="auto"/>
              <w:right w:val="single" w:sz="4" w:space="0" w:color="auto"/>
            </w:tcBorders>
            <w:shd w:val="clear" w:color="auto" w:fill="auto"/>
            <w:noWrap/>
            <w:vAlign w:val="bottom"/>
            <w:hideMark/>
          </w:tcPr>
          <w:p w14:paraId="32DC18D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0,18</w:t>
            </w:r>
          </w:p>
        </w:tc>
        <w:tc>
          <w:tcPr>
            <w:tcW w:w="1138" w:type="dxa"/>
            <w:tcBorders>
              <w:top w:val="nil"/>
              <w:left w:val="nil"/>
              <w:bottom w:val="single" w:sz="4" w:space="0" w:color="auto"/>
              <w:right w:val="single" w:sz="4" w:space="0" w:color="auto"/>
            </w:tcBorders>
            <w:shd w:val="clear" w:color="auto" w:fill="auto"/>
            <w:noWrap/>
            <w:vAlign w:val="bottom"/>
            <w:hideMark/>
          </w:tcPr>
          <w:p w14:paraId="40B2449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0,19</w:t>
            </w:r>
          </w:p>
        </w:tc>
        <w:tc>
          <w:tcPr>
            <w:tcW w:w="1138" w:type="dxa"/>
            <w:tcBorders>
              <w:top w:val="nil"/>
              <w:left w:val="nil"/>
              <w:bottom w:val="single" w:sz="4" w:space="0" w:color="auto"/>
              <w:right w:val="single" w:sz="4" w:space="0" w:color="auto"/>
            </w:tcBorders>
            <w:shd w:val="clear" w:color="auto" w:fill="auto"/>
            <w:noWrap/>
            <w:vAlign w:val="bottom"/>
            <w:hideMark/>
          </w:tcPr>
          <w:p w14:paraId="11FEA6E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0,22</w:t>
            </w:r>
          </w:p>
        </w:tc>
        <w:tc>
          <w:tcPr>
            <w:tcW w:w="1138" w:type="dxa"/>
            <w:tcBorders>
              <w:top w:val="nil"/>
              <w:left w:val="nil"/>
              <w:bottom w:val="single" w:sz="4" w:space="0" w:color="auto"/>
              <w:right w:val="single" w:sz="4" w:space="0" w:color="auto"/>
            </w:tcBorders>
            <w:shd w:val="clear" w:color="auto" w:fill="auto"/>
            <w:noWrap/>
            <w:vAlign w:val="bottom"/>
            <w:hideMark/>
          </w:tcPr>
          <w:p w14:paraId="7154E4E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0,21</w:t>
            </w:r>
          </w:p>
        </w:tc>
      </w:tr>
      <w:tr w:rsidR="00BF12D5" w:rsidRPr="00BD0223" w14:paraId="37A90C95"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437BBA6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SANTO ANTONIO DA ALEGRIA</w:t>
            </w:r>
          </w:p>
        </w:tc>
        <w:tc>
          <w:tcPr>
            <w:tcW w:w="1138" w:type="dxa"/>
            <w:tcBorders>
              <w:top w:val="nil"/>
              <w:left w:val="nil"/>
              <w:bottom w:val="single" w:sz="4" w:space="0" w:color="auto"/>
              <w:right w:val="single" w:sz="4" w:space="0" w:color="auto"/>
            </w:tcBorders>
            <w:shd w:val="clear" w:color="auto" w:fill="auto"/>
            <w:noWrap/>
            <w:vAlign w:val="bottom"/>
            <w:hideMark/>
          </w:tcPr>
          <w:p w14:paraId="7CAA57C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0,76</w:t>
            </w:r>
          </w:p>
        </w:tc>
        <w:tc>
          <w:tcPr>
            <w:tcW w:w="1138" w:type="dxa"/>
            <w:tcBorders>
              <w:top w:val="nil"/>
              <w:left w:val="nil"/>
              <w:bottom w:val="single" w:sz="4" w:space="0" w:color="auto"/>
              <w:right w:val="single" w:sz="4" w:space="0" w:color="auto"/>
            </w:tcBorders>
            <w:shd w:val="clear" w:color="auto" w:fill="auto"/>
            <w:noWrap/>
            <w:vAlign w:val="bottom"/>
            <w:hideMark/>
          </w:tcPr>
          <w:p w14:paraId="2DF5879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1,02</w:t>
            </w:r>
          </w:p>
        </w:tc>
        <w:tc>
          <w:tcPr>
            <w:tcW w:w="1138" w:type="dxa"/>
            <w:tcBorders>
              <w:top w:val="nil"/>
              <w:left w:val="nil"/>
              <w:bottom w:val="single" w:sz="4" w:space="0" w:color="auto"/>
              <w:right w:val="single" w:sz="4" w:space="0" w:color="auto"/>
            </w:tcBorders>
            <w:shd w:val="clear" w:color="auto" w:fill="auto"/>
            <w:noWrap/>
            <w:vAlign w:val="bottom"/>
            <w:hideMark/>
          </w:tcPr>
          <w:p w14:paraId="3F607FA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1,46</w:t>
            </w:r>
          </w:p>
        </w:tc>
        <w:tc>
          <w:tcPr>
            <w:tcW w:w="1138" w:type="dxa"/>
            <w:tcBorders>
              <w:top w:val="nil"/>
              <w:left w:val="nil"/>
              <w:bottom w:val="single" w:sz="4" w:space="0" w:color="auto"/>
              <w:right w:val="single" w:sz="4" w:space="0" w:color="auto"/>
            </w:tcBorders>
            <w:shd w:val="clear" w:color="auto" w:fill="auto"/>
            <w:noWrap/>
            <w:vAlign w:val="bottom"/>
            <w:hideMark/>
          </w:tcPr>
          <w:p w14:paraId="740E1FE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0,96</w:t>
            </w:r>
          </w:p>
        </w:tc>
        <w:tc>
          <w:tcPr>
            <w:tcW w:w="1138" w:type="dxa"/>
            <w:tcBorders>
              <w:top w:val="nil"/>
              <w:left w:val="nil"/>
              <w:bottom w:val="single" w:sz="4" w:space="0" w:color="auto"/>
              <w:right w:val="single" w:sz="4" w:space="0" w:color="auto"/>
            </w:tcBorders>
            <w:shd w:val="clear" w:color="auto" w:fill="auto"/>
            <w:noWrap/>
            <w:vAlign w:val="bottom"/>
            <w:hideMark/>
          </w:tcPr>
          <w:p w14:paraId="5CEAD2E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1,84</w:t>
            </w:r>
          </w:p>
        </w:tc>
      </w:tr>
      <w:tr w:rsidR="00BF12D5" w:rsidRPr="00BD0223" w14:paraId="4D3977A0"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B5479D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SAO FRANCISCO</w:t>
            </w:r>
          </w:p>
        </w:tc>
        <w:tc>
          <w:tcPr>
            <w:tcW w:w="1138" w:type="dxa"/>
            <w:tcBorders>
              <w:top w:val="nil"/>
              <w:left w:val="nil"/>
              <w:bottom w:val="single" w:sz="4" w:space="0" w:color="auto"/>
              <w:right w:val="single" w:sz="4" w:space="0" w:color="auto"/>
            </w:tcBorders>
            <w:shd w:val="clear" w:color="auto" w:fill="auto"/>
            <w:noWrap/>
            <w:vAlign w:val="bottom"/>
            <w:hideMark/>
          </w:tcPr>
          <w:p w14:paraId="22D3BC9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0,20</w:t>
            </w:r>
          </w:p>
        </w:tc>
        <w:tc>
          <w:tcPr>
            <w:tcW w:w="1138" w:type="dxa"/>
            <w:tcBorders>
              <w:top w:val="nil"/>
              <w:left w:val="nil"/>
              <w:bottom w:val="single" w:sz="4" w:space="0" w:color="auto"/>
              <w:right w:val="single" w:sz="4" w:space="0" w:color="auto"/>
            </w:tcBorders>
            <w:shd w:val="clear" w:color="auto" w:fill="auto"/>
            <w:noWrap/>
            <w:vAlign w:val="bottom"/>
            <w:hideMark/>
          </w:tcPr>
          <w:p w14:paraId="2FF60A2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0,26</w:t>
            </w:r>
          </w:p>
        </w:tc>
        <w:tc>
          <w:tcPr>
            <w:tcW w:w="1138" w:type="dxa"/>
            <w:tcBorders>
              <w:top w:val="nil"/>
              <w:left w:val="nil"/>
              <w:bottom w:val="single" w:sz="4" w:space="0" w:color="auto"/>
              <w:right w:val="single" w:sz="4" w:space="0" w:color="auto"/>
            </w:tcBorders>
            <w:shd w:val="clear" w:color="auto" w:fill="auto"/>
            <w:noWrap/>
            <w:vAlign w:val="bottom"/>
            <w:hideMark/>
          </w:tcPr>
          <w:p w14:paraId="0CF131B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0,31</w:t>
            </w:r>
          </w:p>
        </w:tc>
        <w:tc>
          <w:tcPr>
            <w:tcW w:w="1138" w:type="dxa"/>
            <w:tcBorders>
              <w:top w:val="nil"/>
              <w:left w:val="nil"/>
              <w:bottom w:val="single" w:sz="4" w:space="0" w:color="auto"/>
              <w:right w:val="single" w:sz="4" w:space="0" w:color="auto"/>
            </w:tcBorders>
            <w:shd w:val="clear" w:color="auto" w:fill="auto"/>
            <w:noWrap/>
            <w:vAlign w:val="bottom"/>
            <w:hideMark/>
          </w:tcPr>
          <w:p w14:paraId="1C0D43B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0,29</w:t>
            </w:r>
          </w:p>
        </w:tc>
        <w:tc>
          <w:tcPr>
            <w:tcW w:w="1138" w:type="dxa"/>
            <w:tcBorders>
              <w:top w:val="nil"/>
              <w:left w:val="nil"/>
              <w:bottom w:val="single" w:sz="4" w:space="0" w:color="auto"/>
              <w:right w:val="single" w:sz="4" w:space="0" w:color="auto"/>
            </w:tcBorders>
            <w:shd w:val="clear" w:color="auto" w:fill="auto"/>
            <w:noWrap/>
            <w:vAlign w:val="bottom"/>
            <w:hideMark/>
          </w:tcPr>
          <w:p w14:paraId="43EBEEE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0,30</w:t>
            </w:r>
          </w:p>
        </w:tc>
      </w:tr>
      <w:tr w:rsidR="00BF12D5" w:rsidRPr="00BD0223" w14:paraId="34A57A4C"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0AF0F3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SAO JOAO DE IRACEMA</w:t>
            </w:r>
          </w:p>
        </w:tc>
        <w:tc>
          <w:tcPr>
            <w:tcW w:w="1138" w:type="dxa"/>
            <w:tcBorders>
              <w:top w:val="nil"/>
              <w:left w:val="nil"/>
              <w:bottom w:val="single" w:sz="4" w:space="0" w:color="auto"/>
              <w:right w:val="single" w:sz="4" w:space="0" w:color="auto"/>
            </w:tcBorders>
            <w:shd w:val="clear" w:color="auto" w:fill="auto"/>
            <w:noWrap/>
            <w:vAlign w:val="bottom"/>
            <w:hideMark/>
          </w:tcPr>
          <w:p w14:paraId="46E68B0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0,05</w:t>
            </w:r>
          </w:p>
        </w:tc>
        <w:tc>
          <w:tcPr>
            <w:tcW w:w="1138" w:type="dxa"/>
            <w:tcBorders>
              <w:top w:val="nil"/>
              <w:left w:val="nil"/>
              <w:bottom w:val="single" w:sz="4" w:space="0" w:color="auto"/>
              <w:right w:val="single" w:sz="4" w:space="0" w:color="auto"/>
            </w:tcBorders>
            <w:shd w:val="clear" w:color="auto" w:fill="auto"/>
            <w:noWrap/>
            <w:vAlign w:val="bottom"/>
            <w:hideMark/>
          </w:tcPr>
          <w:p w14:paraId="156FE57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0,07</w:t>
            </w:r>
          </w:p>
        </w:tc>
        <w:tc>
          <w:tcPr>
            <w:tcW w:w="1138" w:type="dxa"/>
            <w:tcBorders>
              <w:top w:val="nil"/>
              <w:left w:val="nil"/>
              <w:bottom w:val="single" w:sz="4" w:space="0" w:color="auto"/>
              <w:right w:val="single" w:sz="4" w:space="0" w:color="auto"/>
            </w:tcBorders>
            <w:shd w:val="clear" w:color="auto" w:fill="auto"/>
            <w:noWrap/>
            <w:vAlign w:val="bottom"/>
            <w:hideMark/>
          </w:tcPr>
          <w:p w14:paraId="00C36F0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0,09</w:t>
            </w:r>
          </w:p>
        </w:tc>
        <w:tc>
          <w:tcPr>
            <w:tcW w:w="1138" w:type="dxa"/>
            <w:tcBorders>
              <w:top w:val="nil"/>
              <w:left w:val="nil"/>
              <w:bottom w:val="single" w:sz="4" w:space="0" w:color="auto"/>
              <w:right w:val="single" w:sz="4" w:space="0" w:color="auto"/>
            </w:tcBorders>
            <w:shd w:val="clear" w:color="auto" w:fill="auto"/>
            <w:noWrap/>
            <w:vAlign w:val="bottom"/>
            <w:hideMark/>
          </w:tcPr>
          <w:p w14:paraId="64876D7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0,11</w:t>
            </w:r>
          </w:p>
        </w:tc>
        <w:tc>
          <w:tcPr>
            <w:tcW w:w="1138" w:type="dxa"/>
            <w:tcBorders>
              <w:top w:val="nil"/>
              <w:left w:val="nil"/>
              <w:bottom w:val="single" w:sz="4" w:space="0" w:color="auto"/>
              <w:right w:val="single" w:sz="4" w:space="0" w:color="auto"/>
            </w:tcBorders>
            <w:shd w:val="clear" w:color="auto" w:fill="auto"/>
            <w:noWrap/>
            <w:vAlign w:val="bottom"/>
            <w:hideMark/>
          </w:tcPr>
          <w:p w14:paraId="3A7EFC6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0,11</w:t>
            </w:r>
          </w:p>
        </w:tc>
      </w:tr>
      <w:tr w:rsidR="00BF12D5" w:rsidRPr="00BD0223" w14:paraId="1704012D"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4B5173A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SAO JOAQUIM DA BARRA</w:t>
            </w:r>
          </w:p>
        </w:tc>
        <w:tc>
          <w:tcPr>
            <w:tcW w:w="1138" w:type="dxa"/>
            <w:tcBorders>
              <w:top w:val="nil"/>
              <w:left w:val="nil"/>
              <w:bottom w:val="single" w:sz="4" w:space="0" w:color="auto"/>
              <w:right w:val="single" w:sz="4" w:space="0" w:color="auto"/>
            </w:tcBorders>
            <w:shd w:val="clear" w:color="auto" w:fill="auto"/>
            <w:noWrap/>
            <w:vAlign w:val="bottom"/>
            <w:hideMark/>
          </w:tcPr>
          <w:p w14:paraId="0ECE906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4,59</w:t>
            </w:r>
          </w:p>
        </w:tc>
        <w:tc>
          <w:tcPr>
            <w:tcW w:w="1138" w:type="dxa"/>
            <w:tcBorders>
              <w:top w:val="nil"/>
              <w:left w:val="nil"/>
              <w:bottom w:val="single" w:sz="4" w:space="0" w:color="auto"/>
              <w:right w:val="single" w:sz="4" w:space="0" w:color="auto"/>
            </w:tcBorders>
            <w:shd w:val="clear" w:color="auto" w:fill="auto"/>
            <w:noWrap/>
            <w:vAlign w:val="bottom"/>
            <w:hideMark/>
          </w:tcPr>
          <w:p w14:paraId="25879FB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6,22</w:t>
            </w:r>
          </w:p>
        </w:tc>
        <w:tc>
          <w:tcPr>
            <w:tcW w:w="1138" w:type="dxa"/>
            <w:tcBorders>
              <w:top w:val="nil"/>
              <w:left w:val="nil"/>
              <w:bottom w:val="single" w:sz="4" w:space="0" w:color="auto"/>
              <w:right w:val="single" w:sz="4" w:space="0" w:color="auto"/>
            </w:tcBorders>
            <w:shd w:val="clear" w:color="auto" w:fill="auto"/>
            <w:noWrap/>
            <w:vAlign w:val="bottom"/>
            <w:hideMark/>
          </w:tcPr>
          <w:p w14:paraId="5F07A59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6,09</w:t>
            </w:r>
          </w:p>
        </w:tc>
        <w:tc>
          <w:tcPr>
            <w:tcW w:w="1138" w:type="dxa"/>
            <w:tcBorders>
              <w:top w:val="nil"/>
              <w:left w:val="nil"/>
              <w:bottom w:val="single" w:sz="4" w:space="0" w:color="auto"/>
              <w:right w:val="single" w:sz="4" w:space="0" w:color="auto"/>
            </w:tcBorders>
            <w:shd w:val="clear" w:color="auto" w:fill="auto"/>
            <w:noWrap/>
            <w:vAlign w:val="bottom"/>
            <w:hideMark/>
          </w:tcPr>
          <w:p w14:paraId="436992B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6,57</w:t>
            </w:r>
          </w:p>
        </w:tc>
        <w:tc>
          <w:tcPr>
            <w:tcW w:w="1138" w:type="dxa"/>
            <w:tcBorders>
              <w:top w:val="nil"/>
              <w:left w:val="nil"/>
              <w:bottom w:val="single" w:sz="4" w:space="0" w:color="auto"/>
              <w:right w:val="single" w:sz="4" w:space="0" w:color="auto"/>
            </w:tcBorders>
            <w:shd w:val="clear" w:color="auto" w:fill="auto"/>
            <w:noWrap/>
            <w:vAlign w:val="bottom"/>
            <w:hideMark/>
          </w:tcPr>
          <w:p w14:paraId="442D402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7,75</w:t>
            </w:r>
          </w:p>
        </w:tc>
      </w:tr>
      <w:tr w:rsidR="00BF12D5" w:rsidRPr="00BD0223" w14:paraId="17763649"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FADD45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SAO JOSE DA BELA VISTA</w:t>
            </w:r>
          </w:p>
        </w:tc>
        <w:tc>
          <w:tcPr>
            <w:tcW w:w="1138" w:type="dxa"/>
            <w:tcBorders>
              <w:top w:val="nil"/>
              <w:left w:val="nil"/>
              <w:bottom w:val="single" w:sz="4" w:space="0" w:color="auto"/>
              <w:right w:val="single" w:sz="4" w:space="0" w:color="auto"/>
            </w:tcBorders>
            <w:shd w:val="clear" w:color="auto" w:fill="auto"/>
            <w:noWrap/>
            <w:vAlign w:val="bottom"/>
            <w:hideMark/>
          </w:tcPr>
          <w:p w14:paraId="1AB8FCC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0,69</w:t>
            </w:r>
          </w:p>
        </w:tc>
        <w:tc>
          <w:tcPr>
            <w:tcW w:w="1138" w:type="dxa"/>
            <w:tcBorders>
              <w:top w:val="nil"/>
              <w:left w:val="nil"/>
              <w:bottom w:val="single" w:sz="4" w:space="0" w:color="auto"/>
              <w:right w:val="single" w:sz="4" w:space="0" w:color="auto"/>
            </w:tcBorders>
            <w:shd w:val="clear" w:color="auto" w:fill="auto"/>
            <w:noWrap/>
            <w:vAlign w:val="bottom"/>
            <w:hideMark/>
          </w:tcPr>
          <w:p w14:paraId="45C5537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1,02</w:t>
            </w:r>
          </w:p>
        </w:tc>
        <w:tc>
          <w:tcPr>
            <w:tcW w:w="1138" w:type="dxa"/>
            <w:tcBorders>
              <w:top w:val="nil"/>
              <w:left w:val="nil"/>
              <w:bottom w:val="single" w:sz="4" w:space="0" w:color="auto"/>
              <w:right w:val="single" w:sz="4" w:space="0" w:color="auto"/>
            </w:tcBorders>
            <w:shd w:val="clear" w:color="auto" w:fill="auto"/>
            <w:noWrap/>
            <w:vAlign w:val="bottom"/>
            <w:hideMark/>
          </w:tcPr>
          <w:p w14:paraId="3E1F4CB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0,71</w:t>
            </w:r>
          </w:p>
        </w:tc>
        <w:tc>
          <w:tcPr>
            <w:tcW w:w="1138" w:type="dxa"/>
            <w:tcBorders>
              <w:top w:val="nil"/>
              <w:left w:val="nil"/>
              <w:bottom w:val="single" w:sz="4" w:space="0" w:color="auto"/>
              <w:right w:val="single" w:sz="4" w:space="0" w:color="auto"/>
            </w:tcBorders>
            <w:shd w:val="clear" w:color="auto" w:fill="auto"/>
            <w:noWrap/>
            <w:vAlign w:val="bottom"/>
            <w:hideMark/>
          </w:tcPr>
          <w:p w14:paraId="51CF4F4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1,04</w:t>
            </w:r>
          </w:p>
        </w:tc>
        <w:tc>
          <w:tcPr>
            <w:tcW w:w="1138" w:type="dxa"/>
            <w:tcBorders>
              <w:top w:val="nil"/>
              <w:left w:val="nil"/>
              <w:bottom w:val="single" w:sz="4" w:space="0" w:color="auto"/>
              <w:right w:val="single" w:sz="4" w:space="0" w:color="auto"/>
            </w:tcBorders>
            <w:shd w:val="clear" w:color="auto" w:fill="auto"/>
            <w:noWrap/>
            <w:vAlign w:val="bottom"/>
            <w:hideMark/>
          </w:tcPr>
          <w:p w14:paraId="1920B96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1,25</w:t>
            </w:r>
          </w:p>
        </w:tc>
      </w:tr>
      <w:tr w:rsidR="00BF12D5" w:rsidRPr="00BD0223" w14:paraId="59ECE1F6"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2D0D3E0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lastRenderedPageBreak/>
              <w:t>SAO SIMAO</w:t>
            </w:r>
          </w:p>
        </w:tc>
        <w:tc>
          <w:tcPr>
            <w:tcW w:w="1138" w:type="dxa"/>
            <w:tcBorders>
              <w:top w:val="nil"/>
              <w:left w:val="nil"/>
              <w:bottom w:val="single" w:sz="4" w:space="0" w:color="auto"/>
              <w:right w:val="single" w:sz="4" w:space="0" w:color="auto"/>
            </w:tcBorders>
            <w:shd w:val="clear" w:color="auto" w:fill="auto"/>
            <w:noWrap/>
            <w:vAlign w:val="bottom"/>
            <w:hideMark/>
          </w:tcPr>
          <w:p w14:paraId="70114C2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2,56</w:t>
            </w:r>
          </w:p>
        </w:tc>
        <w:tc>
          <w:tcPr>
            <w:tcW w:w="1138" w:type="dxa"/>
            <w:tcBorders>
              <w:top w:val="nil"/>
              <w:left w:val="nil"/>
              <w:bottom w:val="single" w:sz="4" w:space="0" w:color="auto"/>
              <w:right w:val="single" w:sz="4" w:space="0" w:color="auto"/>
            </w:tcBorders>
            <w:shd w:val="clear" w:color="auto" w:fill="auto"/>
            <w:noWrap/>
            <w:vAlign w:val="bottom"/>
            <w:hideMark/>
          </w:tcPr>
          <w:p w14:paraId="62A3B4E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3,23</w:t>
            </w:r>
          </w:p>
        </w:tc>
        <w:tc>
          <w:tcPr>
            <w:tcW w:w="1138" w:type="dxa"/>
            <w:tcBorders>
              <w:top w:val="nil"/>
              <w:left w:val="nil"/>
              <w:bottom w:val="single" w:sz="4" w:space="0" w:color="auto"/>
              <w:right w:val="single" w:sz="4" w:space="0" w:color="auto"/>
            </w:tcBorders>
            <w:shd w:val="clear" w:color="auto" w:fill="auto"/>
            <w:noWrap/>
            <w:vAlign w:val="bottom"/>
            <w:hideMark/>
          </w:tcPr>
          <w:p w14:paraId="3D5F22D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3,08</w:t>
            </w:r>
          </w:p>
        </w:tc>
        <w:tc>
          <w:tcPr>
            <w:tcW w:w="1138" w:type="dxa"/>
            <w:tcBorders>
              <w:top w:val="nil"/>
              <w:left w:val="nil"/>
              <w:bottom w:val="single" w:sz="4" w:space="0" w:color="auto"/>
              <w:right w:val="single" w:sz="4" w:space="0" w:color="auto"/>
            </w:tcBorders>
            <w:shd w:val="clear" w:color="auto" w:fill="auto"/>
            <w:noWrap/>
            <w:vAlign w:val="bottom"/>
            <w:hideMark/>
          </w:tcPr>
          <w:p w14:paraId="05C8325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3,58</w:t>
            </w:r>
          </w:p>
        </w:tc>
        <w:tc>
          <w:tcPr>
            <w:tcW w:w="1138" w:type="dxa"/>
            <w:tcBorders>
              <w:top w:val="nil"/>
              <w:left w:val="nil"/>
              <w:bottom w:val="single" w:sz="4" w:space="0" w:color="auto"/>
              <w:right w:val="single" w:sz="4" w:space="0" w:color="auto"/>
            </w:tcBorders>
            <w:shd w:val="clear" w:color="auto" w:fill="auto"/>
            <w:noWrap/>
            <w:vAlign w:val="bottom"/>
            <w:hideMark/>
          </w:tcPr>
          <w:p w14:paraId="6C3F780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4,89</w:t>
            </w:r>
          </w:p>
        </w:tc>
      </w:tr>
      <w:tr w:rsidR="00BF12D5" w:rsidRPr="00BD0223" w14:paraId="51F92EFD"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FA57B6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SEBASTIANOPOLIS DO SUL</w:t>
            </w:r>
          </w:p>
        </w:tc>
        <w:tc>
          <w:tcPr>
            <w:tcW w:w="1138" w:type="dxa"/>
            <w:tcBorders>
              <w:top w:val="nil"/>
              <w:left w:val="nil"/>
              <w:bottom w:val="single" w:sz="4" w:space="0" w:color="auto"/>
              <w:right w:val="single" w:sz="4" w:space="0" w:color="auto"/>
            </w:tcBorders>
            <w:shd w:val="clear" w:color="auto" w:fill="auto"/>
            <w:noWrap/>
            <w:vAlign w:val="bottom"/>
            <w:hideMark/>
          </w:tcPr>
          <w:p w14:paraId="3A7BDA8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0,37</w:t>
            </w:r>
          </w:p>
        </w:tc>
        <w:tc>
          <w:tcPr>
            <w:tcW w:w="1138" w:type="dxa"/>
            <w:tcBorders>
              <w:top w:val="nil"/>
              <w:left w:val="nil"/>
              <w:bottom w:val="single" w:sz="4" w:space="0" w:color="auto"/>
              <w:right w:val="single" w:sz="4" w:space="0" w:color="auto"/>
            </w:tcBorders>
            <w:shd w:val="clear" w:color="auto" w:fill="auto"/>
            <w:noWrap/>
            <w:vAlign w:val="bottom"/>
            <w:hideMark/>
          </w:tcPr>
          <w:p w14:paraId="3C7AA12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0,49</w:t>
            </w:r>
          </w:p>
        </w:tc>
        <w:tc>
          <w:tcPr>
            <w:tcW w:w="1138" w:type="dxa"/>
            <w:tcBorders>
              <w:top w:val="nil"/>
              <w:left w:val="nil"/>
              <w:bottom w:val="single" w:sz="4" w:space="0" w:color="auto"/>
              <w:right w:val="single" w:sz="4" w:space="0" w:color="auto"/>
            </w:tcBorders>
            <w:shd w:val="clear" w:color="auto" w:fill="auto"/>
            <w:noWrap/>
            <w:vAlign w:val="bottom"/>
            <w:hideMark/>
          </w:tcPr>
          <w:p w14:paraId="4784BBD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0,55</w:t>
            </w:r>
          </w:p>
        </w:tc>
        <w:tc>
          <w:tcPr>
            <w:tcW w:w="1138" w:type="dxa"/>
            <w:tcBorders>
              <w:top w:val="nil"/>
              <w:left w:val="nil"/>
              <w:bottom w:val="single" w:sz="4" w:space="0" w:color="auto"/>
              <w:right w:val="single" w:sz="4" w:space="0" w:color="auto"/>
            </w:tcBorders>
            <w:shd w:val="clear" w:color="auto" w:fill="auto"/>
            <w:noWrap/>
            <w:vAlign w:val="bottom"/>
            <w:hideMark/>
          </w:tcPr>
          <w:p w14:paraId="4A27182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0,53</w:t>
            </w:r>
          </w:p>
        </w:tc>
        <w:tc>
          <w:tcPr>
            <w:tcW w:w="1138" w:type="dxa"/>
            <w:tcBorders>
              <w:top w:val="nil"/>
              <w:left w:val="nil"/>
              <w:bottom w:val="single" w:sz="4" w:space="0" w:color="auto"/>
              <w:right w:val="single" w:sz="4" w:space="0" w:color="auto"/>
            </w:tcBorders>
            <w:shd w:val="clear" w:color="auto" w:fill="auto"/>
            <w:noWrap/>
            <w:vAlign w:val="bottom"/>
            <w:hideMark/>
          </w:tcPr>
          <w:p w14:paraId="58D72D7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0,53</w:t>
            </w:r>
          </w:p>
        </w:tc>
      </w:tr>
      <w:tr w:rsidR="00BF12D5" w:rsidRPr="00BD0223" w14:paraId="19CED5F6"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5F8C6F2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SERRA AZUL</w:t>
            </w:r>
          </w:p>
        </w:tc>
        <w:tc>
          <w:tcPr>
            <w:tcW w:w="1138" w:type="dxa"/>
            <w:tcBorders>
              <w:top w:val="nil"/>
              <w:left w:val="nil"/>
              <w:bottom w:val="single" w:sz="4" w:space="0" w:color="auto"/>
              <w:right w:val="single" w:sz="4" w:space="0" w:color="auto"/>
            </w:tcBorders>
            <w:shd w:val="clear" w:color="auto" w:fill="auto"/>
            <w:noWrap/>
            <w:vAlign w:val="bottom"/>
            <w:hideMark/>
          </w:tcPr>
          <w:p w14:paraId="29923EA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0,64</w:t>
            </w:r>
          </w:p>
        </w:tc>
        <w:tc>
          <w:tcPr>
            <w:tcW w:w="1138" w:type="dxa"/>
            <w:tcBorders>
              <w:top w:val="nil"/>
              <w:left w:val="nil"/>
              <w:bottom w:val="single" w:sz="4" w:space="0" w:color="auto"/>
              <w:right w:val="single" w:sz="4" w:space="0" w:color="auto"/>
            </w:tcBorders>
            <w:shd w:val="clear" w:color="auto" w:fill="auto"/>
            <w:noWrap/>
            <w:vAlign w:val="bottom"/>
            <w:hideMark/>
          </w:tcPr>
          <w:p w14:paraId="6A7A920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0,79</w:t>
            </w:r>
          </w:p>
        </w:tc>
        <w:tc>
          <w:tcPr>
            <w:tcW w:w="1138" w:type="dxa"/>
            <w:tcBorders>
              <w:top w:val="nil"/>
              <w:left w:val="nil"/>
              <w:bottom w:val="single" w:sz="4" w:space="0" w:color="auto"/>
              <w:right w:val="single" w:sz="4" w:space="0" w:color="auto"/>
            </w:tcBorders>
            <w:shd w:val="clear" w:color="auto" w:fill="auto"/>
            <w:noWrap/>
            <w:vAlign w:val="bottom"/>
            <w:hideMark/>
          </w:tcPr>
          <w:p w14:paraId="7B416FC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0,85</w:t>
            </w:r>
          </w:p>
        </w:tc>
        <w:tc>
          <w:tcPr>
            <w:tcW w:w="1138" w:type="dxa"/>
            <w:tcBorders>
              <w:top w:val="nil"/>
              <w:left w:val="nil"/>
              <w:bottom w:val="single" w:sz="4" w:space="0" w:color="auto"/>
              <w:right w:val="single" w:sz="4" w:space="0" w:color="auto"/>
            </w:tcBorders>
            <w:shd w:val="clear" w:color="auto" w:fill="auto"/>
            <w:noWrap/>
            <w:vAlign w:val="bottom"/>
            <w:hideMark/>
          </w:tcPr>
          <w:p w14:paraId="1869556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0,95</w:t>
            </w:r>
          </w:p>
        </w:tc>
        <w:tc>
          <w:tcPr>
            <w:tcW w:w="1138" w:type="dxa"/>
            <w:tcBorders>
              <w:top w:val="nil"/>
              <w:left w:val="nil"/>
              <w:bottom w:val="single" w:sz="4" w:space="0" w:color="auto"/>
              <w:right w:val="single" w:sz="4" w:space="0" w:color="auto"/>
            </w:tcBorders>
            <w:shd w:val="clear" w:color="auto" w:fill="auto"/>
            <w:noWrap/>
            <w:vAlign w:val="bottom"/>
            <w:hideMark/>
          </w:tcPr>
          <w:p w14:paraId="1BFED21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1,13</w:t>
            </w:r>
          </w:p>
        </w:tc>
      </w:tr>
      <w:tr w:rsidR="00BF12D5" w:rsidRPr="00BD0223" w14:paraId="5857C311"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2EF2FFC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SERRANA</w:t>
            </w:r>
          </w:p>
        </w:tc>
        <w:tc>
          <w:tcPr>
            <w:tcW w:w="1138" w:type="dxa"/>
            <w:tcBorders>
              <w:top w:val="nil"/>
              <w:left w:val="nil"/>
              <w:bottom w:val="single" w:sz="4" w:space="0" w:color="auto"/>
              <w:right w:val="single" w:sz="4" w:space="0" w:color="auto"/>
            </w:tcBorders>
            <w:shd w:val="clear" w:color="auto" w:fill="auto"/>
            <w:noWrap/>
            <w:vAlign w:val="bottom"/>
            <w:hideMark/>
          </w:tcPr>
          <w:p w14:paraId="3B4B651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3,15</w:t>
            </w:r>
          </w:p>
        </w:tc>
        <w:tc>
          <w:tcPr>
            <w:tcW w:w="1138" w:type="dxa"/>
            <w:tcBorders>
              <w:top w:val="nil"/>
              <w:left w:val="nil"/>
              <w:bottom w:val="single" w:sz="4" w:space="0" w:color="auto"/>
              <w:right w:val="single" w:sz="4" w:space="0" w:color="auto"/>
            </w:tcBorders>
            <w:shd w:val="clear" w:color="auto" w:fill="auto"/>
            <w:noWrap/>
            <w:vAlign w:val="bottom"/>
            <w:hideMark/>
          </w:tcPr>
          <w:p w14:paraId="5671D72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4,88</w:t>
            </w:r>
          </w:p>
        </w:tc>
        <w:tc>
          <w:tcPr>
            <w:tcW w:w="1138" w:type="dxa"/>
            <w:tcBorders>
              <w:top w:val="nil"/>
              <w:left w:val="nil"/>
              <w:bottom w:val="single" w:sz="4" w:space="0" w:color="auto"/>
              <w:right w:val="single" w:sz="4" w:space="0" w:color="auto"/>
            </w:tcBorders>
            <w:shd w:val="clear" w:color="auto" w:fill="auto"/>
            <w:noWrap/>
            <w:vAlign w:val="bottom"/>
            <w:hideMark/>
          </w:tcPr>
          <w:p w14:paraId="6856FA8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5,73</w:t>
            </w:r>
          </w:p>
        </w:tc>
        <w:tc>
          <w:tcPr>
            <w:tcW w:w="1138" w:type="dxa"/>
            <w:tcBorders>
              <w:top w:val="nil"/>
              <w:left w:val="nil"/>
              <w:bottom w:val="single" w:sz="4" w:space="0" w:color="auto"/>
              <w:right w:val="single" w:sz="4" w:space="0" w:color="auto"/>
            </w:tcBorders>
            <w:shd w:val="clear" w:color="auto" w:fill="auto"/>
            <w:noWrap/>
            <w:vAlign w:val="bottom"/>
            <w:hideMark/>
          </w:tcPr>
          <w:p w14:paraId="6BD622A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6,22</w:t>
            </w:r>
          </w:p>
        </w:tc>
        <w:tc>
          <w:tcPr>
            <w:tcW w:w="1138" w:type="dxa"/>
            <w:tcBorders>
              <w:top w:val="nil"/>
              <w:left w:val="nil"/>
              <w:bottom w:val="single" w:sz="4" w:space="0" w:color="auto"/>
              <w:right w:val="single" w:sz="4" w:space="0" w:color="auto"/>
            </w:tcBorders>
            <w:shd w:val="clear" w:color="auto" w:fill="auto"/>
            <w:noWrap/>
            <w:vAlign w:val="bottom"/>
            <w:hideMark/>
          </w:tcPr>
          <w:p w14:paraId="10FD169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6,44</w:t>
            </w:r>
          </w:p>
        </w:tc>
      </w:tr>
      <w:tr w:rsidR="00BF12D5" w:rsidRPr="00BD0223" w14:paraId="0503A469"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9E34FD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SERTAOZINHO</w:t>
            </w:r>
          </w:p>
        </w:tc>
        <w:tc>
          <w:tcPr>
            <w:tcW w:w="1138" w:type="dxa"/>
            <w:tcBorders>
              <w:top w:val="nil"/>
              <w:left w:val="nil"/>
              <w:bottom w:val="single" w:sz="4" w:space="0" w:color="auto"/>
              <w:right w:val="single" w:sz="4" w:space="0" w:color="auto"/>
            </w:tcBorders>
            <w:shd w:val="clear" w:color="auto" w:fill="auto"/>
            <w:noWrap/>
            <w:vAlign w:val="bottom"/>
            <w:hideMark/>
          </w:tcPr>
          <w:p w14:paraId="607A13A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12,15</w:t>
            </w:r>
          </w:p>
        </w:tc>
        <w:tc>
          <w:tcPr>
            <w:tcW w:w="1138" w:type="dxa"/>
            <w:tcBorders>
              <w:top w:val="nil"/>
              <w:left w:val="nil"/>
              <w:bottom w:val="single" w:sz="4" w:space="0" w:color="auto"/>
              <w:right w:val="single" w:sz="4" w:space="0" w:color="auto"/>
            </w:tcBorders>
            <w:shd w:val="clear" w:color="auto" w:fill="auto"/>
            <w:noWrap/>
            <w:vAlign w:val="bottom"/>
            <w:hideMark/>
          </w:tcPr>
          <w:p w14:paraId="46513B9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16,77</w:t>
            </w:r>
          </w:p>
        </w:tc>
        <w:tc>
          <w:tcPr>
            <w:tcW w:w="1138" w:type="dxa"/>
            <w:tcBorders>
              <w:top w:val="nil"/>
              <w:left w:val="nil"/>
              <w:bottom w:val="single" w:sz="4" w:space="0" w:color="auto"/>
              <w:right w:val="single" w:sz="4" w:space="0" w:color="auto"/>
            </w:tcBorders>
            <w:shd w:val="clear" w:color="auto" w:fill="auto"/>
            <w:noWrap/>
            <w:vAlign w:val="bottom"/>
            <w:hideMark/>
          </w:tcPr>
          <w:p w14:paraId="35672F9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18,47</w:t>
            </w:r>
          </w:p>
        </w:tc>
        <w:tc>
          <w:tcPr>
            <w:tcW w:w="1138" w:type="dxa"/>
            <w:tcBorders>
              <w:top w:val="nil"/>
              <w:left w:val="nil"/>
              <w:bottom w:val="single" w:sz="4" w:space="0" w:color="auto"/>
              <w:right w:val="single" w:sz="4" w:space="0" w:color="auto"/>
            </w:tcBorders>
            <w:shd w:val="clear" w:color="auto" w:fill="auto"/>
            <w:noWrap/>
            <w:vAlign w:val="bottom"/>
            <w:hideMark/>
          </w:tcPr>
          <w:p w14:paraId="5298E49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18,57</w:t>
            </w:r>
          </w:p>
        </w:tc>
        <w:tc>
          <w:tcPr>
            <w:tcW w:w="1138" w:type="dxa"/>
            <w:tcBorders>
              <w:top w:val="nil"/>
              <w:left w:val="nil"/>
              <w:bottom w:val="single" w:sz="4" w:space="0" w:color="auto"/>
              <w:right w:val="single" w:sz="4" w:space="0" w:color="auto"/>
            </w:tcBorders>
            <w:shd w:val="clear" w:color="auto" w:fill="auto"/>
            <w:noWrap/>
            <w:vAlign w:val="bottom"/>
            <w:hideMark/>
          </w:tcPr>
          <w:p w14:paraId="4E85FB3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18,65</w:t>
            </w:r>
          </w:p>
        </w:tc>
      </w:tr>
      <w:tr w:rsidR="00BF12D5" w:rsidRPr="00BD0223" w14:paraId="15CC2654"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7C6F66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SEVERINIA</w:t>
            </w:r>
          </w:p>
        </w:tc>
        <w:tc>
          <w:tcPr>
            <w:tcW w:w="1138" w:type="dxa"/>
            <w:tcBorders>
              <w:top w:val="nil"/>
              <w:left w:val="nil"/>
              <w:bottom w:val="single" w:sz="4" w:space="0" w:color="auto"/>
              <w:right w:val="single" w:sz="4" w:space="0" w:color="auto"/>
            </w:tcBorders>
            <w:shd w:val="clear" w:color="auto" w:fill="auto"/>
            <w:noWrap/>
            <w:vAlign w:val="bottom"/>
            <w:hideMark/>
          </w:tcPr>
          <w:p w14:paraId="26E8D33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1,07</w:t>
            </w:r>
          </w:p>
        </w:tc>
        <w:tc>
          <w:tcPr>
            <w:tcW w:w="1138" w:type="dxa"/>
            <w:tcBorders>
              <w:top w:val="nil"/>
              <w:left w:val="nil"/>
              <w:bottom w:val="single" w:sz="4" w:space="0" w:color="auto"/>
              <w:right w:val="single" w:sz="4" w:space="0" w:color="auto"/>
            </w:tcBorders>
            <w:shd w:val="clear" w:color="auto" w:fill="auto"/>
            <w:noWrap/>
            <w:vAlign w:val="bottom"/>
            <w:hideMark/>
          </w:tcPr>
          <w:p w14:paraId="4CFAFB1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1,54</w:t>
            </w:r>
          </w:p>
        </w:tc>
        <w:tc>
          <w:tcPr>
            <w:tcW w:w="1138" w:type="dxa"/>
            <w:tcBorders>
              <w:top w:val="nil"/>
              <w:left w:val="nil"/>
              <w:bottom w:val="single" w:sz="4" w:space="0" w:color="auto"/>
              <w:right w:val="single" w:sz="4" w:space="0" w:color="auto"/>
            </w:tcBorders>
            <w:shd w:val="clear" w:color="auto" w:fill="auto"/>
            <w:noWrap/>
            <w:vAlign w:val="bottom"/>
            <w:hideMark/>
          </w:tcPr>
          <w:p w14:paraId="538021C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1,81</w:t>
            </w:r>
          </w:p>
        </w:tc>
        <w:tc>
          <w:tcPr>
            <w:tcW w:w="1138" w:type="dxa"/>
            <w:tcBorders>
              <w:top w:val="nil"/>
              <w:left w:val="nil"/>
              <w:bottom w:val="single" w:sz="4" w:space="0" w:color="auto"/>
              <w:right w:val="single" w:sz="4" w:space="0" w:color="auto"/>
            </w:tcBorders>
            <w:shd w:val="clear" w:color="auto" w:fill="auto"/>
            <w:noWrap/>
            <w:vAlign w:val="bottom"/>
            <w:hideMark/>
          </w:tcPr>
          <w:p w14:paraId="759BFF5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1,72</w:t>
            </w:r>
          </w:p>
        </w:tc>
        <w:tc>
          <w:tcPr>
            <w:tcW w:w="1138" w:type="dxa"/>
            <w:tcBorders>
              <w:top w:val="nil"/>
              <w:left w:val="nil"/>
              <w:bottom w:val="single" w:sz="4" w:space="0" w:color="auto"/>
              <w:right w:val="single" w:sz="4" w:space="0" w:color="auto"/>
            </w:tcBorders>
            <w:shd w:val="clear" w:color="auto" w:fill="auto"/>
            <w:noWrap/>
            <w:vAlign w:val="bottom"/>
            <w:hideMark/>
          </w:tcPr>
          <w:p w14:paraId="7C9FB41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1,70</w:t>
            </w:r>
          </w:p>
        </w:tc>
      </w:tr>
      <w:tr w:rsidR="00BF12D5" w:rsidRPr="00BD0223" w14:paraId="6386CD18"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53E72DD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TABAPUA</w:t>
            </w:r>
          </w:p>
        </w:tc>
        <w:tc>
          <w:tcPr>
            <w:tcW w:w="1138" w:type="dxa"/>
            <w:tcBorders>
              <w:top w:val="nil"/>
              <w:left w:val="nil"/>
              <w:bottom w:val="single" w:sz="4" w:space="0" w:color="auto"/>
              <w:right w:val="single" w:sz="4" w:space="0" w:color="auto"/>
            </w:tcBorders>
            <w:shd w:val="clear" w:color="auto" w:fill="auto"/>
            <w:noWrap/>
            <w:vAlign w:val="bottom"/>
            <w:hideMark/>
          </w:tcPr>
          <w:p w14:paraId="66D7972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0,74</w:t>
            </w:r>
          </w:p>
        </w:tc>
        <w:tc>
          <w:tcPr>
            <w:tcW w:w="1138" w:type="dxa"/>
            <w:tcBorders>
              <w:top w:val="nil"/>
              <w:left w:val="nil"/>
              <w:bottom w:val="single" w:sz="4" w:space="0" w:color="auto"/>
              <w:right w:val="single" w:sz="4" w:space="0" w:color="auto"/>
            </w:tcBorders>
            <w:shd w:val="clear" w:color="auto" w:fill="auto"/>
            <w:noWrap/>
            <w:vAlign w:val="bottom"/>
            <w:hideMark/>
          </w:tcPr>
          <w:p w14:paraId="77CFB16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1,04</w:t>
            </w:r>
          </w:p>
        </w:tc>
        <w:tc>
          <w:tcPr>
            <w:tcW w:w="1138" w:type="dxa"/>
            <w:tcBorders>
              <w:top w:val="nil"/>
              <w:left w:val="nil"/>
              <w:bottom w:val="single" w:sz="4" w:space="0" w:color="auto"/>
              <w:right w:val="single" w:sz="4" w:space="0" w:color="auto"/>
            </w:tcBorders>
            <w:shd w:val="clear" w:color="auto" w:fill="auto"/>
            <w:noWrap/>
            <w:vAlign w:val="bottom"/>
            <w:hideMark/>
          </w:tcPr>
          <w:p w14:paraId="75D49EC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1,20</w:t>
            </w:r>
          </w:p>
        </w:tc>
        <w:tc>
          <w:tcPr>
            <w:tcW w:w="1138" w:type="dxa"/>
            <w:tcBorders>
              <w:top w:val="nil"/>
              <w:left w:val="nil"/>
              <w:bottom w:val="single" w:sz="4" w:space="0" w:color="auto"/>
              <w:right w:val="single" w:sz="4" w:space="0" w:color="auto"/>
            </w:tcBorders>
            <w:shd w:val="clear" w:color="auto" w:fill="auto"/>
            <w:noWrap/>
            <w:vAlign w:val="bottom"/>
            <w:hideMark/>
          </w:tcPr>
          <w:p w14:paraId="78DBBEC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1,20</w:t>
            </w:r>
          </w:p>
        </w:tc>
        <w:tc>
          <w:tcPr>
            <w:tcW w:w="1138" w:type="dxa"/>
            <w:tcBorders>
              <w:top w:val="nil"/>
              <w:left w:val="nil"/>
              <w:bottom w:val="single" w:sz="4" w:space="0" w:color="auto"/>
              <w:right w:val="single" w:sz="4" w:space="0" w:color="auto"/>
            </w:tcBorders>
            <w:shd w:val="clear" w:color="auto" w:fill="auto"/>
            <w:noWrap/>
            <w:vAlign w:val="bottom"/>
            <w:hideMark/>
          </w:tcPr>
          <w:p w14:paraId="213403E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1,29</w:t>
            </w:r>
          </w:p>
        </w:tc>
      </w:tr>
      <w:tr w:rsidR="00BF12D5" w:rsidRPr="00BD0223" w14:paraId="6FFF8115"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45770E8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TAIACU</w:t>
            </w:r>
          </w:p>
        </w:tc>
        <w:tc>
          <w:tcPr>
            <w:tcW w:w="1138" w:type="dxa"/>
            <w:tcBorders>
              <w:top w:val="nil"/>
              <w:left w:val="nil"/>
              <w:bottom w:val="single" w:sz="4" w:space="0" w:color="auto"/>
              <w:right w:val="single" w:sz="4" w:space="0" w:color="auto"/>
            </w:tcBorders>
            <w:shd w:val="clear" w:color="auto" w:fill="auto"/>
            <w:noWrap/>
            <w:vAlign w:val="bottom"/>
            <w:hideMark/>
          </w:tcPr>
          <w:p w14:paraId="0376023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0,48</w:t>
            </w:r>
          </w:p>
        </w:tc>
        <w:tc>
          <w:tcPr>
            <w:tcW w:w="1138" w:type="dxa"/>
            <w:tcBorders>
              <w:top w:val="nil"/>
              <w:left w:val="nil"/>
              <w:bottom w:val="single" w:sz="4" w:space="0" w:color="auto"/>
              <w:right w:val="single" w:sz="4" w:space="0" w:color="auto"/>
            </w:tcBorders>
            <w:shd w:val="clear" w:color="auto" w:fill="auto"/>
            <w:noWrap/>
            <w:vAlign w:val="bottom"/>
            <w:hideMark/>
          </w:tcPr>
          <w:p w14:paraId="61403E1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0,59</w:t>
            </w:r>
          </w:p>
        </w:tc>
        <w:tc>
          <w:tcPr>
            <w:tcW w:w="1138" w:type="dxa"/>
            <w:tcBorders>
              <w:top w:val="nil"/>
              <w:left w:val="nil"/>
              <w:bottom w:val="single" w:sz="4" w:space="0" w:color="auto"/>
              <w:right w:val="single" w:sz="4" w:space="0" w:color="auto"/>
            </w:tcBorders>
            <w:shd w:val="clear" w:color="auto" w:fill="auto"/>
            <w:noWrap/>
            <w:vAlign w:val="bottom"/>
            <w:hideMark/>
          </w:tcPr>
          <w:p w14:paraId="789ADC1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0,65</w:t>
            </w:r>
          </w:p>
        </w:tc>
        <w:tc>
          <w:tcPr>
            <w:tcW w:w="1138" w:type="dxa"/>
            <w:tcBorders>
              <w:top w:val="nil"/>
              <w:left w:val="nil"/>
              <w:bottom w:val="single" w:sz="4" w:space="0" w:color="auto"/>
              <w:right w:val="single" w:sz="4" w:space="0" w:color="auto"/>
            </w:tcBorders>
            <w:shd w:val="clear" w:color="auto" w:fill="auto"/>
            <w:noWrap/>
            <w:vAlign w:val="bottom"/>
            <w:hideMark/>
          </w:tcPr>
          <w:p w14:paraId="67FA08C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0,64</w:t>
            </w:r>
          </w:p>
        </w:tc>
        <w:tc>
          <w:tcPr>
            <w:tcW w:w="1138" w:type="dxa"/>
            <w:tcBorders>
              <w:top w:val="nil"/>
              <w:left w:val="nil"/>
              <w:bottom w:val="single" w:sz="4" w:space="0" w:color="auto"/>
              <w:right w:val="single" w:sz="4" w:space="0" w:color="auto"/>
            </w:tcBorders>
            <w:shd w:val="clear" w:color="auto" w:fill="auto"/>
            <w:noWrap/>
            <w:vAlign w:val="bottom"/>
            <w:hideMark/>
          </w:tcPr>
          <w:p w14:paraId="7E2F19D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0,65</w:t>
            </w:r>
          </w:p>
        </w:tc>
      </w:tr>
      <w:tr w:rsidR="00BF12D5" w:rsidRPr="00BD0223" w14:paraId="7B1C6AF6"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807E82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TAIUVA</w:t>
            </w:r>
          </w:p>
        </w:tc>
        <w:tc>
          <w:tcPr>
            <w:tcW w:w="1138" w:type="dxa"/>
            <w:tcBorders>
              <w:top w:val="nil"/>
              <w:left w:val="nil"/>
              <w:bottom w:val="single" w:sz="4" w:space="0" w:color="auto"/>
              <w:right w:val="single" w:sz="4" w:space="0" w:color="auto"/>
            </w:tcBorders>
            <w:shd w:val="clear" w:color="auto" w:fill="auto"/>
            <w:noWrap/>
            <w:vAlign w:val="bottom"/>
            <w:hideMark/>
          </w:tcPr>
          <w:p w14:paraId="2262252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0,59</w:t>
            </w:r>
          </w:p>
        </w:tc>
        <w:tc>
          <w:tcPr>
            <w:tcW w:w="1138" w:type="dxa"/>
            <w:tcBorders>
              <w:top w:val="nil"/>
              <w:left w:val="nil"/>
              <w:bottom w:val="single" w:sz="4" w:space="0" w:color="auto"/>
              <w:right w:val="single" w:sz="4" w:space="0" w:color="auto"/>
            </w:tcBorders>
            <w:shd w:val="clear" w:color="auto" w:fill="auto"/>
            <w:noWrap/>
            <w:vAlign w:val="bottom"/>
            <w:hideMark/>
          </w:tcPr>
          <w:p w14:paraId="2A38A5E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0,79</w:t>
            </w:r>
          </w:p>
        </w:tc>
        <w:tc>
          <w:tcPr>
            <w:tcW w:w="1138" w:type="dxa"/>
            <w:tcBorders>
              <w:top w:val="nil"/>
              <w:left w:val="nil"/>
              <w:bottom w:val="single" w:sz="4" w:space="0" w:color="auto"/>
              <w:right w:val="single" w:sz="4" w:space="0" w:color="auto"/>
            </w:tcBorders>
            <w:shd w:val="clear" w:color="auto" w:fill="auto"/>
            <w:noWrap/>
            <w:vAlign w:val="bottom"/>
            <w:hideMark/>
          </w:tcPr>
          <w:p w14:paraId="5A41937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0,86</w:t>
            </w:r>
          </w:p>
        </w:tc>
        <w:tc>
          <w:tcPr>
            <w:tcW w:w="1138" w:type="dxa"/>
            <w:tcBorders>
              <w:top w:val="nil"/>
              <w:left w:val="nil"/>
              <w:bottom w:val="single" w:sz="4" w:space="0" w:color="auto"/>
              <w:right w:val="single" w:sz="4" w:space="0" w:color="auto"/>
            </w:tcBorders>
            <w:shd w:val="clear" w:color="auto" w:fill="auto"/>
            <w:noWrap/>
            <w:vAlign w:val="bottom"/>
            <w:hideMark/>
          </w:tcPr>
          <w:p w14:paraId="20C3226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0,93</w:t>
            </w:r>
          </w:p>
        </w:tc>
        <w:tc>
          <w:tcPr>
            <w:tcW w:w="1138" w:type="dxa"/>
            <w:tcBorders>
              <w:top w:val="nil"/>
              <w:left w:val="nil"/>
              <w:bottom w:val="single" w:sz="4" w:space="0" w:color="auto"/>
              <w:right w:val="single" w:sz="4" w:space="0" w:color="auto"/>
            </w:tcBorders>
            <w:shd w:val="clear" w:color="auto" w:fill="auto"/>
            <w:noWrap/>
            <w:vAlign w:val="bottom"/>
            <w:hideMark/>
          </w:tcPr>
          <w:p w14:paraId="790CCCD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0,96</w:t>
            </w:r>
          </w:p>
        </w:tc>
      </w:tr>
      <w:tr w:rsidR="00BF12D5" w:rsidRPr="00BD0223" w14:paraId="5FFB591F"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C406B9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TANABI</w:t>
            </w:r>
          </w:p>
        </w:tc>
        <w:tc>
          <w:tcPr>
            <w:tcW w:w="1138" w:type="dxa"/>
            <w:tcBorders>
              <w:top w:val="nil"/>
              <w:left w:val="nil"/>
              <w:bottom w:val="single" w:sz="4" w:space="0" w:color="auto"/>
              <w:right w:val="single" w:sz="4" w:space="0" w:color="auto"/>
            </w:tcBorders>
            <w:shd w:val="clear" w:color="auto" w:fill="auto"/>
            <w:noWrap/>
            <w:vAlign w:val="bottom"/>
            <w:hideMark/>
          </w:tcPr>
          <w:p w14:paraId="1E6B211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3,28</w:t>
            </w:r>
          </w:p>
        </w:tc>
        <w:tc>
          <w:tcPr>
            <w:tcW w:w="1138" w:type="dxa"/>
            <w:tcBorders>
              <w:top w:val="nil"/>
              <w:left w:val="nil"/>
              <w:bottom w:val="single" w:sz="4" w:space="0" w:color="auto"/>
              <w:right w:val="single" w:sz="4" w:space="0" w:color="auto"/>
            </w:tcBorders>
            <w:shd w:val="clear" w:color="auto" w:fill="auto"/>
            <w:noWrap/>
            <w:vAlign w:val="bottom"/>
            <w:hideMark/>
          </w:tcPr>
          <w:p w14:paraId="0EE16EE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4,81</w:t>
            </w:r>
          </w:p>
        </w:tc>
        <w:tc>
          <w:tcPr>
            <w:tcW w:w="1138" w:type="dxa"/>
            <w:tcBorders>
              <w:top w:val="nil"/>
              <w:left w:val="nil"/>
              <w:bottom w:val="single" w:sz="4" w:space="0" w:color="auto"/>
              <w:right w:val="single" w:sz="4" w:space="0" w:color="auto"/>
            </w:tcBorders>
            <w:shd w:val="clear" w:color="auto" w:fill="auto"/>
            <w:noWrap/>
            <w:vAlign w:val="bottom"/>
            <w:hideMark/>
          </w:tcPr>
          <w:p w14:paraId="7967B3C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5,18</w:t>
            </w:r>
          </w:p>
        </w:tc>
        <w:tc>
          <w:tcPr>
            <w:tcW w:w="1138" w:type="dxa"/>
            <w:tcBorders>
              <w:top w:val="nil"/>
              <w:left w:val="nil"/>
              <w:bottom w:val="single" w:sz="4" w:space="0" w:color="auto"/>
              <w:right w:val="single" w:sz="4" w:space="0" w:color="auto"/>
            </w:tcBorders>
            <w:shd w:val="clear" w:color="auto" w:fill="auto"/>
            <w:noWrap/>
            <w:vAlign w:val="bottom"/>
            <w:hideMark/>
          </w:tcPr>
          <w:p w14:paraId="1A68FE2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5,34</w:t>
            </w:r>
          </w:p>
        </w:tc>
        <w:tc>
          <w:tcPr>
            <w:tcW w:w="1138" w:type="dxa"/>
            <w:tcBorders>
              <w:top w:val="nil"/>
              <w:left w:val="nil"/>
              <w:bottom w:val="single" w:sz="4" w:space="0" w:color="auto"/>
              <w:right w:val="single" w:sz="4" w:space="0" w:color="auto"/>
            </w:tcBorders>
            <w:shd w:val="clear" w:color="auto" w:fill="auto"/>
            <w:noWrap/>
            <w:vAlign w:val="bottom"/>
            <w:hideMark/>
          </w:tcPr>
          <w:p w14:paraId="48EA4F9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5,77</w:t>
            </w:r>
          </w:p>
        </w:tc>
      </w:tr>
      <w:tr w:rsidR="00BF12D5" w:rsidRPr="00BD0223" w14:paraId="1202842B"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4896E63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TAQUARITINGA</w:t>
            </w:r>
          </w:p>
        </w:tc>
        <w:tc>
          <w:tcPr>
            <w:tcW w:w="1138" w:type="dxa"/>
            <w:tcBorders>
              <w:top w:val="nil"/>
              <w:left w:val="nil"/>
              <w:bottom w:val="single" w:sz="4" w:space="0" w:color="auto"/>
              <w:right w:val="single" w:sz="4" w:space="0" w:color="auto"/>
            </w:tcBorders>
            <w:shd w:val="clear" w:color="auto" w:fill="auto"/>
            <w:noWrap/>
            <w:vAlign w:val="bottom"/>
            <w:hideMark/>
          </w:tcPr>
          <w:p w14:paraId="600B5BD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6,34</w:t>
            </w:r>
          </w:p>
        </w:tc>
        <w:tc>
          <w:tcPr>
            <w:tcW w:w="1138" w:type="dxa"/>
            <w:tcBorders>
              <w:top w:val="nil"/>
              <w:left w:val="nil"/>
              <w:bottom w:val="single" w:sz="4" w:space="0" w:color="auto"/>
              <w:right w:val="single" w:sz="4" w:space="0" w:color="auto"/>
            </w:tcBorders>
            <w:shd w:val="clear" w:color="auto" w:fill="auto"/>
            <w:noWrap/>
            <w:vAlign w:val="bottom"/>
            <w:hideMark/>
          </w:tcPr>
          <w:p w14:paraId="2ECE60D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9,03</w:t>
            </w:r>
          </w:p>
        </w:tc>
        <w:tc>
          <w:tcPr>
            <w:tcW w:w="1138" w:type="dxa"/>
            <w:tcBorders>
              <w:top w:val="nil"/>
              <w:left w:val="nil"/>
              <w:bottom w:val="single" w:sz="4" w:space="0" w:color="auto"/>
              <w:right w:val="single" w:sz="4" w:space="0" w:color="auto"/>
            </w:tcBorders>
            <w:shd w:val="clear" w:color="auto" w:fill="auto"/>
            <w:noWrap/>
            <w:vAlign w:val="bottom"/>
            <w:hideMark/>
          </w:tcPr>
          <w:p w14:paraId="3E65812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9,74</w:t>
            </w:r>
          </w:p>
        </w:tc>
        <w:tc>
          <w:tcPr>
            <w:tcW w:w="1138" w:type="dxa"/>
            <w:tcBorders>
              <w:top w:val="nil"/>
              <w:left w:val="nil"/>
              <w:bottom w:val="single" w:sz="4" w:space="0" w:color="auto"/>
              <w:right w:val="single" w:sz="4" w:space="0" w:color="auto"/>
            </w:tcBorders>
            <w:shd w:val="clear" w:color="auto" w:fill="auto"/>
            <w:noWrap/>
            <w:vAlign w:val="bottom"/>
            <w:hideMark/>
          </w:tcPr>
          <w:p w14:paraId="5719853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9,91</w:t>
            </w:r>
          </w:p>
        </w:tc>
        <w:tc>
          <w:tcPr>
            <w:tcW w:w="1138" w:type="dxa"/>
            <w:tcBorders>
              <w:top w:val="nil"/>
              <w:left w:val="nil"/>
              <w:bottom w:val="single" w:sz="4" w:space="0" w:color="auto"/>
              <w:right w:val="single" w:sz="4" w:space="0" w:color="auto"/>
            </w:tcBorders>
            <w:shd w:val="clear" w:color="auto" w:fill="auto"/>
            <w:noWrap/>
            <w:vAlign w:val="bottom"/>
            <w:hideMark/>
          </w:tcPr>
          <w:p w14:paraId="0918A87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10,94</w:t>
            </w:r>
          </w:p>
        </w:tc>
      </w:tr>
      <w:tr w:rsidR="00BF12D5" w:rsidRPr="00BD0223" w14:paraId="69EDFAD9"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59510E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TERRA ROXA</w:t>
            </w:r>
          </w:p>
        </w:tc>
        <w:tc>
          <w:tcPr>
            <w:tcW w:w="1138" w:type="dxa"/>
            <w:tcBorders>
              <w:top w:val="nil"/>
              <w:left w:val="nil"/>
              <w:bottom w:val="single" w:sz="4" w:space="0" w:color="auto"/>
              <w:right w:val="single" w:sz="4" w:space="0" w:color="auto"/>
            </w:tcBorders>
            <w:shd w:val="clear" w:color="auto" w:fill="auto"/>
            <w:noWrap/>
            <w:vAlign w:val="bottom"/>
            <w:hideMark/>
          </w:tcPr>
          <w:p w14:paraId="42B753D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0,57</w:t>
            </w:r>
          </w:p>
        </w:tc>
        <w:tc>
          <w:tcPr>
            <w:tcW w:w="1138" w:type="dxa"/>
            <w:tcBorders>
              <w:top w:val="nil"/>
              <w:left w:val="nil"/>
              <w:bottom w:val="single" w:sz="4" w:space="0" w:color="auto"/>
              <w:right w:val="single" w:sz="4" w:space="0" w:color="auto"/>
            </w:tcBorders>
            <w:shd w:val="clear" w:color="auto" w:fill="auto"/>
            <w:noWrap/>
            <w:vAlign w:val="bottom"/>
            <w:hideMark/>
          </w:tcPr>
          <w:p w14:paraId="0E18A06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0,76</w:t>
            </w:r>
          </w:p>
        </w:tc>
        <w:tc>
          <w:tcPr>
            <w:tcW w:w="1138" w:type="dxa"/>
            <w:tcBorders>
              <w:top w:val="nil"/>
              <w:left w:val="nil"/>
              <w:bottom w:val="single" w:sz="4" w:space="0" w:color="auto"/>
              <w:right w:val="single" w:sz="4" w:space="0" w:color="auto"/>
            </w:tcBorders>
            <w:shd w:val="clear" w:color="auto" w:fill="auto"/>
            <w:noWrap/>
            <w:vAlign w:val="bottom"/>
            <w:hideMark/>
          </w:tcPr>
          <w:p w14:paraId="61CF1AF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0,86</w:t>
            </w:r>
          </w:p>
        </w:tc>
        <w:tc>
          <w:tcPr>
            <w:tcW w:w="1138" w:type="dxa"/>
            <w:tcBorders>
              <w:top w:val="nil"/>
              <w:left w:val="nil"/>
              <w:bottom w:val="single" w:sz="4" w:space="0" w:color="auto"/>
              <w:right w:val="single" w:sz="4" w:space="0" w:color="auto"/>
            </w:tcBorders>
            <w:shd w:val="clear" w:color="auto" w:fill="auto"/>
            <w:noWrap/>
            <w:vAlign w:val="bottom"/>
            <w:hideMark/>
          </w:tcPr>
          <w:p w14:paraId="614B27E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0,86</w:t>
            </w:r>
          </w:p>
        </w:tc>
        <w:tc>
          <w:tcPr>
            <w:tcW w:w="1138" w:type="dxa"/>
            <w:tcBorders>
              <w:top w:val="nil"/>
              <w:left w:val="nil"/>
              <w:bottom w:val="single" w:sz="4" w:space="0" w:color="auto"/>
              <w:right w:val="single" w:sz="4" w:space="0" w:color="auto"/>
            </w:tcBorders>
            <w:shd w:val="clear" w:color="auto" w:fill="auto"/>
            <w:noWrap/>
            <w:vAlign w:val="bottom"/>
            <w:hideMark/>
          </w:tcPr>
          <w:p w14:paraId="1B46105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0,86</w:t>
            </w:r>
          </w:p>
        </w:tc>
      </w:tr>
      <w:tr w:rsidR="00BF12D5" w:rsidRPr="00BD0223" w14:paraId="4D2ACFA0"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69BD52D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TRES FRONTEIRAS</w:t>
            </w:r>
          </w:p>
        </w:tc>
        <w:tc>
          <w:tcPr>
            <w:tcW w:w="1138" w:type="dxa"/>
            <w:tcBorders>
              <w:top w:val="nil"/>
              <w:left w:val="nil"/>
              <w:bottom w:val="single" w:sz="4" w:space="0" w:color="auto"/>
              <w:right w:val="single" w:sz="4" w:space="0" w:color="auto"/>
            </w:tcBorders>
            <w:shd w:val="clear" w:color="auto" w:fill="auto"/>
            <w:noWrap/>
            <w:vAlign w:val="bottom"/>
            <w:hideMark/>
          </w:tcPr>
          <w:p w14:paraId="1F1FCD3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0,39</w:t>
            </w:r>
          </w:p>
        </w:tc>
        <w:tc>
          <w:tcPr>
            <w:tcW w:w="1138" w:type="dxa"/>
            <w:tcBorders>
              <w:top w:val="nil"/>
              <w:left w:val="nil"/>
              <w:bottom w:val="single" w:sz="4" w:space="0" w:color="auto"/>
              <w:right w:val="single" w:sz="4" w:space="0" w:color="auto"/>
            </w:tcBorders>
            <w:shd w:val="clear" w:color="auto" w:fill="auto"/>
            <w:noWrap/>
            <w:vAlign w:val="bottom"/>
            <w:hideMark/>
          </w:tcPr>
          <w:p w14:paraId="220F5E1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0,47</w:t>
            </w:r>
          </w:p>
        </w:tc>
        <w:tc>
          <w:tcPr>
            <w:tcW w:w="1138" w:type="dxa"/>
            <w:tcBorders>
              <w:top w:val="nil"/>
              <w:left w:val="nil"/>
              <w:bottom w:val="single" w:sz="4" w:space="0" w:color="auto"/>
              <w:right w:val="single" w:sz="4" w:space="0" w:color="auto"/>
            </w:tcBorders>
            <w:shd w:val="clear" w:color="auto" w:fill="auto"/>
            <w:noWrap/>
            <w:vAlign w:val="bottom"/>
            <w:hideMark/>
          </w:tcPr>
          <w:p w14:paraId="42986B6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0,56</w:t>
            </w:r>
          </w:p>
        </w:tc>
        <w:tc>
          <w:tcPr>
            <w:tcW w:w="1138" w:type="dxa"/>
            <w:tcBorders>
              <w:top w:val="nil"/>
              <w:left w:val="nil"/>
              <w:bottom w:val="single" w:sz="4" w:space="0" w:color="auto"/>
              <w:right w:val="single" w:sz="4" w:space="0" w:color="auto"/>
            </w:tcBorders>
            <w:shd w:val="clear" w:color="auto" w:fill="auto"/>
            <w:noWrap/>
            <w:vAlign w:val="bottom"/>
            <w:hideMark/>
          </w:tcPr>
          <w:p w14:paraId="6C5DDF6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0,61</w:t>
            </w:r>
          </w:p>
        </w:tc>
        <w:tc>
          <w:tcPr>
            <w:tcW w:w="1138" w:type="dxa"/>
            <w:tcBorders>
              <w:top w:val="nil"/>
              <w:left w:val="nil"/>
              <w:bottom w:val="single" w:sz="4" w:space="0" w:color="auto"/>
              <w:right w:val="single" w:sz="4" w:space="0" w:color="auto"/>
            </w:tcBorders>
            <w:shd w:val="clear" w:color="auto" w:fill="auto"/>
            <w:noWrap/>
            <w:vAlign w:val="bottom"/>
            <w:hideMark/>
          </w:tcPr>
          <w:p w14:paraId="684F819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0,66</w:t>
            </w:r>
          </w:p>
        </w:tc>
      </w:tr>
      <w:tr w:rsidR="00BF12D5" w:rsidRPr="00BD0223" w14:paraId="78FC7805"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E6C043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TURMALINA</w:t>
            </w:r>
          </w:p>
        </w:tc>
        <w:tc>
          <w:tcPr>
            <w:tcW w:w="1138" w:type="dxa"/>
            <w:tcBorders>
              <w:top w:val="nil"/>
              <w:left w:val="nil"/>
              <w:bottom w:val="single" w:sz="4" w:space="0" w:color="auto"/>
              <w:right w:val="single" w:sz="4" w:space="0" w:color="auto"/>
            </w:tcBorders>
            <w:shd w:val="clear" w:color="auto" w:fill="auto"/>
            <w:noWrap/>
            <w:vAlign w:val="bottom"/>
            <w:hideMark/>
          </w:tcPr>
          <w:p w14:paraId="10E9A83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0,13</w:t>
            </w:r>
          </w:p>
        </w:tc>
        <w:tc>
          <w:tcPr>
            <w:tcW w:w="1138" w:type="dxa"/>
            <w:tcBorders>
              <w:top w:val="nil"/>
              <w:left w:val="nil"/>
              <w:bottom w:val="single" w:sz="4" w:space="0" w:color="auto"/>
              <w:right w:val="single" w:sz="4" w:space="0" w:color="auto"/>
            </w:tcBorders>
            <w:shd w:val="clear" w:color="auto" w:fill="auto"/>
            <w:noWrap/>
            <w:vAlign w:val="bottom"/>
            <w:hideMark/>
          </w:tcPr>
          <w:p w14:paraId="6EE611E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0,20</w:t>
            </w:r>
          </w:p>
        </w:tc>
        <w:tc>
          <w:tcPr>
            <w:tcW w:w="1138" w:type="dxa"/>
            <w:tcBorders>
              <w:top w:val="nil"/>
              <w:left w:val="nil"/>
              <w:bottom w:val="single" w:sz="4" w:space="0" w:color="auto"/>
              <w:right w:val="single" w:sz="4" w:space="0" w:color="auto"/>
            </w:tcBorders>
            <w:shd w:val="clear" w:color="auto" w:fill="auto"/>
            <w:noWrap/>
            <w:vAlign w:val="bottom"/>
            <w:hideMark/>
          </w:tcPr>
          <w:p w14:paraId="0B4A9EC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0,22</w:t>
            </w:r>
          </w:p>
        </w:tc>
        <w:tc>
          <w:tcPr>
            <w:tcW w:w="1138" w:type="dxa"/>
            <w:tcBorders>
              <w:top w:val="nil"/>
              <w:left w:val="nil"/>
              <w:bottom w:val="single" w:sz="4" w:space="0" w:color="auto"/>
              <w:right w:val="single" w:sz="4" w:space="0" w:color="auto"/>
            </w:tcBorders>
            <w:shd w:val="clear" w:color="auto" w:fill="auto"/>
            <w:noWrap/>
            <w:vAlign w:val="bottom"/>
            <w:hideMark/>
          </w:tcPr>
          <w:p w14:paraId="48BAA89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0,22</w:t>
            </w:r>
          </w:p>
        </w:tc>
        <w:tc>
          <w:tcPr>
            <w:tcW w:w="1138" w:type="dxa"/>
            <w:tcBorders>
              <w:top w:val="nil"/>
              <w:left w:val="nil"/>
              <w:bottom w:val="single" w:sz="4" w:space="0" w:color="auto"/>
              <w:right w:val="single" w:sz="4" w:space="0" w:color="auto"/>
            </w:tcBorders>
            <w:shd w:val="clear" w:color="auto" w:fill="auto"/>
            <w:noWrap/>
            <w:vAlign w:val="bottom"/>
            <w:hideMark/>
          </w:tcPr>
          <w:p w14:paraId="3BE2705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0,22</w:t>
            </w:r>
          </w:p>
        </w:tc>
      </w:tr>
      <w:tr w:rsidR="00BF12D5" w:rsidRPr="00BD0223" w14:paraId="62BF39E7"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8953D6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UBARANA</w:t>
            </w:r>
          </w:p>
        </w:tc>
        <w:tc>
          <w:tcPr>
            <w:tcW w:w="1138" w:type="dxa"/>
            <w:tcBorders>
              <w:top w:val="nil"/>
              <w:left w:val="nil"/>
              <w:bottom w:val="single" w:sz="4" w:space="0" w:color="auto"/>
              <w:right w:val="single" w:sz="4" w:space="0" w:color="auto"/>
            </w:tcBorders>
            <w:shd w:val="clear" w:color="auto" w:fill="auto"/>
            <w:noWrap/>
            <w:vAlign w:val="bottom"/>
            <w:hideMark/>
          </w:tcPr>
          <w:p w14:paraId="6062176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0,58</w:t>
            </w:r>
          </w:p>
        </w:tc>
        <w:tc>
          <w:tcPr>
            <w:tcW w:w="1138" w:type="dxa"/>
            <w:tcBorders>
              <w:top w:val="nil"/>
              <w:left w:val="nil"/>
              <w:bottom w:val="single" w:sz="4" w:space="0" w:color="auto"/>
              <w:right w:val="single" w:sz="4" w:space="0" w:color="auto"/>
            </w:tcBorders>
            <w:shd w:val="clear" w:color="auto" w:fill="auto"/>
            <w:noWrap/>
            <w:vAlign w:val="bottom"/>
            <w:hideMark/>
          </w:tcPr>
          <w:p w14:paraId="2E28829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0,80</w:t>
            </w:r>
          </w:p>
        </w:tc>
        <w:tc>
          <w:tcPr>
            <w:tcW w:w="1138" w:type="dxa"/>
            <w:tcBorders>
              <w:top w:val="nil"/>
              <w:left w:val="nil"/>
              <w:bottom w:val="single" w:sz="4" w:space="0" w:color="auto"/>
              <w:right w:val="single" w:sz="4" w:space="0" w:color="auto"/>
            </w:tcBorders>
            <w:shd w:val="clear" w:color="auto" w:fill="auto"/>
            <w:noWrap/>
            <w:vAlign w:val="bottom"/>
            <w:hideMark/>
          </w:tcPr>
          <w:p w14:paraId="6327A3B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0,62</w:t>
            </w:r>
          </w:p>
        </w:tc>
        <w:tc>
          <w:tcPr>
            <w:tcW w:w="1138" w:type="dxa"/>
            <w:tcBorders>
              <w:top w:val="nil"/>
              <w:left w:val="nil"/>
              <w:bottom w:val="single" w:sz="4" w:space="0" w:color="auto"/>
              <w:right w:val="single" w:sz="4" w:space="0" w:color="auto"/>
            </w:tcBorders>
            <w:shd w:val="clear" w:color="auto" w:fill="auto"/>
            <w:noWrap/>
            <w:vAlign w:val="bottom"/>
            <w:hideMark/>
          </w:tcPr>
          <w:p w14:paraId="02C085C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0,87</w:t>
            </w:r>
          </w:p>
        </w:tc>
        <w:tc>
          <w:tcPr>
            <w:tcW w:w="1138" w:type="dxa"/>
            <w:tcBorders>
              <w:top w:val="nil"/>
              <w:left w:val="nil"/>
              <w:bottom w:val="single" w:sz="4" w:space="0" w:color="auto"/>
              <w:right w:val="single" w:sz="4" w:space="0" w:color="auto"/>
            </w:tcBorders>
            <w:shd w:val="clear" w:color="auto" w:fill="auto"/>
            <w:noWrap/>
            <w:vAlign w:val="bottom"/>
            <w:hideMark/>
          </w:tcPr>
          <w:p w14:paraId="2ED955D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0,93</w:t>
            </w:r>
          </w:p>
        </w:tc>
      </w:tr>
      <w:tr w:rsidR="00BF12D5" w:rsidRPr="00BD0223" w14:paraId="4EB850BF"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5D1D3C1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UCHOA</w:t>
            </w:r>
          </w:p>
        </w:tc>
        <w:tc>
          <w:tcPr>
            <w:tcW w:w="1138" w:type="dxa"/>
            <w:tcBorders>
              <w:top w:val="nil"/>
              <w:left w:val="nil"/>
              <w:bottom w:val="single" w:sz="4" w:space="0" w:color="auto"/>
              <w:right w:val="single" w:sz="4" w:space="0" w:color="auto"/>
            </w:tcBorders>
            <w:shd w:val="clear" w:color="auto" w:fill="auto"/>
            <w:noWrap/>
            <w:vAlign w:val="bottom"/>
            <w:hideMark/>
          </w:tcPr>
          <w:p w14:paraId="459825A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0,97</w:t>
            </w:r>
          </w:p>
        </w:tc>
        <w:tc>
          <w:tcPr>
            <w:tcW w:w="1138" w:type="dxa"/>
            <w:tcBorders>
              <w:top w:val="nil"/>
              <w:left w:val="nil"/>
              <w:bottom w:val="single" w:sz="4" w:space="0" w:color="auto"/>
              <w:right w:val="single" w:sz="4" w:space="0" w:color="auto"/>
            </w:tcBorders>
            <w:shd w:val="clear" w:color="auto" w:fill="auto"/>
            <w:noWrap/>
            <w:vAlign w:val="bottom"/>
            <w:hideMark/>
          </w:tcPr>
          <w:p w14:paraId="78E8B6C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1,28</w:t>
            </w:r>
          </w:p>
        </w:tc>
        <w:tc>
          <w:tcPr>
            <w:tcW w:w="1138" w:type="dxa"/>
            <w:tcBorders>
              <w:top w:val="nil"/>
              <w:left w:val="nil"/>
              <w:bottom w:val="single" w:sz="4" w:space="0" w:color="auto"/>
              <w:right w:val="single" w:sz="4" w:space="0" w:color="auto"/>
            </w:tcBorders>
            <w:shd w:val="clear" w:color="auto" w:fill="auto"/>
            <w:noWrap/>
            <w:vAlign w:val="bottom"/>
            <w:hideMark/>
          </w:tcPr>
          <w:p w14:paraId="12B8E4F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1,66</w:t>
            </w:r>
          </w:p>
        </w:tc>
        <w:tc>
          <w:tcPr>
            <w:tcW w:w="1138" w:type="dxa"/>
            <w:tcBorders>
              <w:top w:val="nil"/>
              <w:left w:val="nil"/>
              <w:bottom w:val="single" w:sz="4" w:space="0" w:color="auto"/>
              <w:right w:val="single" w:sz="4" w:space="0" w:color="auto"/>
            </w:tcBorders>
            <w:shd w:val="clear" w:color="auto" w:fill="auto"/>
            <w:noWrap/>
            <w:vAlign w:val="bottom"/>
            <w:hideMark/>
          </w:tcPr>
          <w:p w14:paraId="5A345DC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1,57</w:t>
            </w:r>
          </w:p>
        </w:tc>
        <w:tc>
          <w:tcPr>
            <w:tcW w:w="1138" w:type="dxa"/>
            <w:tcBorders>
              <w:top w:val="nil"/>
              <w:left w:val="nil"/>
              <w:bottom w:val="single" w:sz="4" w:space="0" w:color="auto"/>
              <w:right w:val="single" w:sz="4" w:space="0" w:color="auto"/>
            </w:tcBorders>
            <w:shd w:val="clear" w:color="auto" w:fill="auto"/>
            <w:noWrap/>
            <w:vAlign w:val="bottom"/>
            <w:hideMark/>
          </w:tcPr>
          <w:p w14:paraId="25FF504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1,69</w:t>
            </w:r>
          </w:p>
        </w:tc>
      </w:tr>
      <w:tr w:rsidR="00BF12D5" w:rsidRPr="00BD0223" w14:paraId="3A26BD75"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0FFE80C3"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UNIAO PAULISTA</w:t>
            </w:r>
          </w:p>
        </w:tc>
        <w:tc>
          <w:tcPr>
            <w:tcW w:w="1138" w:type="dxa"/>
            <w:tcBorders>
              <w:top w:val="nil"/>
              <w:left w:val="nil"/>
              <w:bottom w:val="single" w:sz="4" w:space="0" w:color="auto"/>
              <w:right w:val="single" w:sz="4" w:space="0" w:color="auto"/>
            </w:tcBorders>
            <w:shd w:val="clear" w:color="auto" w:fill="auto"/>
            <w:noWrap/>
            <w:vAlign w:val="bottom"/>
            <w:hideMark/>
          </w:tcPr>
          <w:p w14:paraId="319E765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0,08</w:t>
            </w:r>
          </w:p>
        </w:tc>
        <w:tc>
          <w:tcPr>
            <w:tcW w:w="1138" w:type="dxa"/>
            <w:tcBorders>
              <w:top w:val="nil"/>
              <w:left w:val="nil"/>
              <w:bottom w:val="single" w:sz="4" w:space="0" w:color="auto"/>
              <w:right w:val="single" w:sz="4" w:space="0" w:color="auto"/>
            </w:tcBorders>
            <w:shd w:val="clear" w:color="auto" w:fill="auto"/>
            <w:noWrap/>
            <w:vAlign w:val="bottom"/>
            <w:hideMark/>
          </w:tcPr>
          <w:p w14:paraId="272F5FC5"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0,09</w:t>
            </w:r>
          </w:p>
        </w:tc>
        <w:tc>
          <w:tcPr>
            <w:tcW w:w="1138" w:type="dxa"/>
            <w:tcBorders>
              <w:top w:val="nil"/>
              <w:left w:val="nil"/>
              <w:bottom w:val="single" w:sz="4" w:space="0" w:color="auto"/>
              <w:right w:val="single" w:sz="4" w:space="0" w:color="auto"/>
            </w:tcBorders>
            <w:shd w:val="clear" w:color="auto" w:fill="auto"/>
            <w:noWrap/>
            <w:vAlign w:val="bottom"/>
            <w:hideMark/>
          </w:tcPr>
          <w:p w14:paraId="5F79D2D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0,11</w:t>
            </w:r>
          </w:p>
        </w:tc>
        <w:tc>
          <w:tcPr>
            <w:tcW w:w="1138" w:type="dxa"/>
            <w:tcBorders>
              <w:top w:val="nil"/>
              <w:left w:val="nil"/>
              <w:bottom w:val="single" w:sz="4" w:space="0" w:color="auto"/>
              <w:right w:val="single" w:sz="4" w:space="0" w:color="auto"/>
            </w:tcBorders>
            <w:shd w:val="clear" w:color="auto" w:fill="auto"/>
            <w:noWrap/>
            <w:vAlign w:val="bottom"/>
            <w:hideMark/>
          </w:tcPr>
          <w:p w14:paraId="5F999C5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0,10</w:t>
            </w:r>
          </w:p>
        </w:tc>
        <w:tc>
          <w:tcPr>
            <w:tcW w:w="1138" w:type="dxa"/>
            <w:tcBorders>
              <w:top w:val="nil"/>
              <w:left w:val="nil"/>
              <w:bottom w:val="single" w:sz="4" w:space="0" w:color="auto"/>
              <w:right w:val="single" w:sz="4" w:space="0" w:color="auto"/>
            </w:tcBorders>
            <w:shd w:val="clear" w:color="auto" w:fill="auto"/>
            <w:noWrap/>
            <w:vAlign w:val="bottom"/>
            <w:hideMark/>
          </w:tcPr>
          <w:p w14:paraId="23100F4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0,11</w:t>
            </w:r>
          </w:p>
        </w:tc>
      </w:tr>
      <w:tr w:rsidR="00BF12D5" w:rsidRPr="00BD0223" w14:paraId="30D33CF4"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B3F00D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URANIA</w:t>
            </w:r>
          </w:p>
        </w:tc>
        <w:tc>
          <w:tcPr>
            <w:tcW w:w="1138" w:type="dxa"/>
            <w:tcBorders>
              <w:top w:val="nil"/>
              <w:left w:val="nil"/>
              <w:bottom w:val="single" w:sz="4" w:space="0" w:color="auto"/>
              <w:right w:val="single" w:sz="4" w:space="0" w:color="auto"/>
            </w:tcBorders>
            <w:shd w:val="clear" w:color="auto" w:fill="auto"/>
            <w:noWrap/>
            <w:vAlign w:val="bottom"/>
            <w:hideMark/>
          </w:tcPr>
          <w:p w14:paraId="3B1092B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1,10</w:t>
            </w:r>
          </w:p>
        </w:tc>
        <w:tc>
          <w:tcPr>
            <w:tcW w:w="1138" w:type="dxa"/>
            <w:tcBorders>
              <w:top w:val="nil"/>
              <w:left w:val="nil"/>
              <w:bottom w:val="single" w:sz="4" w:space="0" w:color="auto"/>
              <w:right w:val="single" w:sz="4" w:space="0" w:color="auto"/>
            </w:tcBorders>
            <w:shd w:val="clear" w:color="auto" w:fill="auto"/>
            <w:noWrap/>
            <w:vAlign w:val="bottom"/>
            <w:hideMark/>
          </w:tcPr>
          <w:p w14:paraId="05DA846E"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1,60</w:t>
            </w:r>
          </w:p>
        </w:tc>
        <w:tc>
          <w:tcPr>
            <w:tcW w:w="1138" w:type="dxa"/>
            <w:tcBorders>
              <w:top w:val="nil"/>
              <w:left w:val="nil"/>
              <w:bottom w:val="single" w:sz="4" w:space="0" w:color="auto"/>
              <w:right w:val="single" w:sz="4" w:space="0" w:color="auto"/>
            </w:tcBorders>
            <w:shd w:val="clear" w:color="auto" w:fill="auto"/>
            <w:noWrap/>
            <w:vAlign w:val="bottom"/>
            <w:hideMark/>
          </w:tcPr>
          <w:p w14:paraId="2B1717A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1,81</w:t>
            </w:r>
          </w:p>
        </w:tc>
        <w:tc>
          <w:tcPr>
            <w:tcW w:w="1138" w:type="dxa"/>
            <w:tcBorders>
              <w:top w:val="nil"/>
              <w:left w:val="nil"/>
              <w:bottom w:val="single" w:sz="4" w:space="0" w:color="auto"/>
              <w:right w:val="single" w:sz="4" w:space="0" w:color="auto"/>
            </w:tcBorders>
            <w:shd w:val="clear" w:color="auto" w:fill="auto"/>
            <w:noWrap/>
            <w:vAlign w:val="bottom"/>
            <w:hideMark/>
          </w:tcPr>
          <w:p w14:paraId="2FF405A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1,87</w:t>
            </w:r>
          </w:p>
        </w:tc>
        <w:tc>
          <w:tcPr>
            <w:tcW w:w="1138" w:type="dxa"/>
            <w:tcBorders>
              <w:top w:val="nil"/>
              <w:left w:val="nil"/>
              <w:bottom w:val="single" w:sz="4" w:space="0" w:color="auto"/>
              <w:right w:val="single" w:sz="4" w:space="0" w:color="auto"/>
            </w:tcBorders>
            <w:shd w:val="clear" w:color="auto" w:fill="auto"/>
            <w:noWrap/>
            <w:vAlign w:val="bottom"/>
            <w:hideMark/>
          </w:tcPr>
          <w:p w14:paraId="3F8A1EF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1,84</w:t>
            </w:r>
          </w:p>
        </w:tc>
      </w:tr>
      <w:tr w:rsidR="00BF12D5" w:rsidRPr="00BD0223" w14:paraId="0FC68DE3"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32D63834"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VALENTIM GENTIL</w:t>
            </w:r>
          </w:p>
        </w:tc>
        <w:tc>
          <w:tcPr>
            <w:tcW w:w="1138" w:type="dxa"/>
            <w:tcBorders>
              <w:top w:val="nil"/>
              <w:left w:val="nil"/>
              <w:bottom w:val="single" w:sz="4" w:space="0" w:color="auto"/>
              <w:right w:val="single" w:sz="4" w:space="0" w:color="auto"/>
            </w:tcBorders>
            <w:shd w:val="clear" w:color="auto" w:fill="auto"/>
            <w:noWrap/>
            <w:vAlign w:val="bottom"/>
            <w:hideMark/>
          </w:tcPr>
          <w:p w14:paraId="5F36FB61"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1,17</w:t>
            </w:r>
          </w:p>
        </w:tc>
        <w:tc>
          <w:tcPr>
            <w:tcW w:w="1138" w:type="dxa"/>
            <w:tcBorders>
              <w:top w:val="nil"/>
              <w:left w:val="nil"/>
              <w:bottom w:val="single" w:sz="4" w:space="0" w:color="auto"/>
              <w:right w:val="single" w:sz="4" w:space="0" w:color="auto"/>
            </w:tcBorders>
            <w:shd w:val="clear" w:color="auto" w:fill="auto"/>
            <w:noWrap/>
            <w:vAlign w:val="bottom"/>
            <w:hideMark/>
          </w:tcPr>
          <w:p w14:paraId="5B56A5EF"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1,56</w:t>
            </w:r>
          </w:p>
        </w:tc>
        <w:tc>
          <w:tcPr>
            <w:tcW w:w="1138" w:type="dxa"/>
            <w:tcBorders>
              <w:top w:val="nil"/>
              <w:left w:val="nil"/>
              <w:bottom w:val="single" w:sz="4" w:space="0" w:color="auto"/>
              <w:right w:val="single" w:sz="4" w:space="0" w:color="auto"/>
            </w:tcBorders>
            <w:shd w:val="clear" w:color="auto" w:fill="auto"/>
            <w:noWrap/>
            <w:vAlign w:val="bottom"/>
            <w:hideMark/>
          </w:tcPr>
          <w:p w14:paraId="262898AB"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1,87</w:t>
            </w:r>
          </w:p>
        </w:tc>
        <w:tc>
          <w:tcPr>
            <w:tcW w:w="1138" w:type="dxa"/>
            <w:tcBorders>
              <w:top w:val="nil"/>
              <w:left w:val="nil"/>
              <w:bottom w:val="single" w:sz="4" w:space="0" w:color="auto"/>
              <w:right w:val="single" w:sz="4" w:space="0" w:color="auto"/>
            </w:tcBorders>
            <w:shd w:val="clear" w:color="auto" w:fill="auto"/>
            <w:noWrap/>
            <w:vAlign w:val="bottom"/>
            <w:hideMark/>
          </w:tcPr>
          <w:p w14:paraId="7E759F9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2,04</w:t>
            </w:r>
          </w:p>
        </w:tc>
        <w:tc>
          <w:tcPr>
            <w:tcW w:w="1138" w:type="dxa"/>
            <w:tcBorders>
              <w:top w:val="nil"/>
              <w:left w:val="nil"/>
              <w:bottom w:val="single" w:sz="4" w:space="0" w:color="auto"/>
              <w:right w:val="single" w:sz="4" w:space="0" w:color="auto"/>
            </w:tcBorders>
            <w:shd w:val="clear" w:color="auto" w:fill="auto"/>
            <w:noWrap/>
            <w:vAlign w:val="bottom"/>
            <w:hideMark/>
          </w:tcPr>
          <w:p w14:paraId="0178BBBA"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2,20</w:t>
            </w:r>
          </w:p>
        </w:tc>
      </w:tr>
      <w:tr w:rsidR="00BF12D5" w:rsidRPr="00BD0223" w14:paraId="19A8D011"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4F3E0399"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VIRADOURO</w:t>
            </w:r>
          </w:p>
        </w:tc>
        <w:tc>
          <w:tcPr>
            <w:tcW w:w="1138" w:type="dxa"/>
            <w:tcBorders>
              <w:top w:val="nil"/>
              <w:left w:val="nil"/>
              <w:bottom w:val="single" w:sz="4" w:space="0" w:color="auto"/>
              <w:right w:val="single" w:sz="4" w:space="0" w:color="auto"/>
            </w:tcBorders>
            <w:shd w:val="clear" w:color="auto" w:fill="auto"/>
            <w:noWrap/>
            <w:vAlign w:val="bottom"/>
            <w:hideMark/>
          </w:tcPr>
          <w:p w14:paraId="191CEA8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1,36</w:t>
            </w:r>
          </w:p>
        </w:tc>
        <w:tc>
          <w:tcPr>
            <w:tcW w:w="1138" w:type="dxa"/>
            <w:tcBorders>
              <w:top w:val="nil"/>
              <w:left w:val="nil"/>
              <w:bottom w:val="single" w:sz="4" w:space="0" w:color="auto"/>
              <w:right w:val="single" w:sz="4" w:space="0" w:color="auto"/>
            </w:tcBorders>
            <w:shd w:val="clear" w:color="auto" w:fill="auto"/>
            <w:noWrap/>
            <w:vAlign w:val="bottom"/>
            <w:hideMark/>
          </w:tcPr>
          <w:p w14:paraId="055DE21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1,84</w:t>
            </w:r>
          </w:p>
        </w:tc>
        <w:tc>
          <w:tcPr>
            <w:tcW w:w="1138" w:type="dxa"/>
            <w:tcBorders>
              <w:top w:val="nil"/>
              <w:left w:val="nil"/>
              <w:bottom w:val="single" w:sz="4" w:space="0" w:color="auto"/>
              <w:right w:val="single" w:sz="4" w:space="0" w:color="auto"/>
            </w:tcBorders>
            <w:shd w:val="clear" w:color="auto" w:fill="auto"/>
            <w:noWrap/>
            <w:vAlign w:val="bottom"/>
            <w:hideMark/>
          </w:tcPr>
          <w:p w14:paraId="7DB628F2"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2,16</w:t>
            </w:r>
          </w:p>
        </w:tc>
        <w:tc>
          <w:tcPr>
            <w:tcW w:w="1138" w:type="dxa"/>
            <w:tcBorders>
              <w:top w:val="nil"/>
              <w:left w:val="nil"/>
              <w:bottom w:val="single" w:sz="4" w:space="0" w:color="auto"/>
              <w:right w:val="single" w:sz="4" w:space="0" w:color="auto"/>
            </w:tcBorders>
            <w:shd w:val="clear" w:color="auto" w:fill="auto"/>
            <w:noWrap/>
            <w:vAlign w:val="bottom"/>
            <w:hideMark/>
          </w:tcPr>
          <w:p w14:paraId="504DC167"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2,32</w:t>
            </w:r>
          </w:p>
        </w:tc>
        <w:tc>
          <w:tcPr>
            <w:tcW w:w="1138" w:type="dxa"/>
            <w:tcBorders>
              <w:top w:val="nil"/>
              <w:left w:val="nil"/>
              <w:bottom w:val="single" w:sz="4" w:space="0" w:color="auto"/>
              <w:right w:val="single" w:sz="4" w:space="0" w:color="auto"/>
            </w:tcBorders>
            <w:shd w:val="clear" w:color="auto" w:fill="auto"/>
            <w:noWrap/>
            <w:vAlign w:val="bottom"/>
            <w:hideMark/>
          </w:tcPr>
          <w:p w14:paraId="52015F1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2,45</w:t>
            </w:r>
          </w:p>
        </w:tc>
      </w:tr>
      <w:tr w:rsidR="00BF12D5" w:rsidRPr="00BD0223" w14:paraId="17527737" w14:textId="77777777" w:rsidTr="0039539B">
        <w:trPr>
          <w:trHeight w:val="284"/>
          <w:jc w:val="center"/>
        </w:trPr>
        <w:tc>
          <w:tcPr>
            <w:tcW w:w="3371" w:type="dxa"/>
            <w:tcBorders>
              <w:top w:val="nil"/>
              <w:left w:val="single" w:sz="4" w:space="0" w:color="auto"/>
              <w:bottom w:val="single" w:sz="4" w:space="0" w:color="auto"/>
              <w:right w:val="single" w:sz="4" w:space="0" w:color="auto"/>
            </w:tcBorders>
            <w:shd w:val="clear" w:color="auto" w:fill="auto"/>
            <w:noWrap/>
            <w:vAlign w:val="bottom"/>
            <w:hideMark/>
          </w:tcPr>
          <w:p w14:paraId="7C42DB30"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VISTA ALEGRE DO ALTO</w:t>
            </w:r>
          </w:p>
        </w:tc>
        <w:tc>
          <w:tcPr>
            <w:tcW w:w="1138" w:type="dxa"/>
            <w:tcBorders>
              <w:top w:val="nil"/>
              <w:left w:val="nil"/>
              <w:bottom w:val="single" w:sz="4" w:space="0" w:color="auto"/>
              <w:right w:val="single" w:sz="4" w:space="0" w:color="auto"/>
            </w:tcBorders>
            <w:shd w:val="clear" w:color="auto" w:fill="auto"/>
            <w:noWrap/>
            <w:vAlign w:val="bottom"/>
            <w:hideMark/>
          </w:tcPr>
          <w:p w14:paraId="2BDFB76D"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0,49</w:t>
            </w:r>
          </w:p>
        </w:tc>
        <w:tc>
          <w:tcPr>
            <w:tcW w:w="1138" w:type="dxa"/>
            <w:tcBorders>
              <w:top w:val="nil"/>
              <w:left w:val="nil"/>
              <w:bottom w:val="single" w:sz="4" w:space="0" w:color="auto"/>
              <w:right w:val="single" w:sz="4" w:space="0" w:color="auto"/>
            </w:tcBorders>
            <w:shd w:val="clear" w:color="auto" w:fill="auto"/>
            <w:noWrap/>
            <w:vAlign w:val="bottom"/>
            <w:hideMark/>
          </w:tcPr>
          <w:p w14:paraId="408C9528"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0,68</w:t>
            </w:r>
          </w:p>
        </w:tc>
        <w:tc>
          <w:tcPr>
            <w:tcW w:w="1138" w:type="dxa"/>
            <w:tcBorders>
              <w:top w:val="nil"/>
              <w:left w:val="nil"/>
              <w:bottom w:val="single" w:sz="4" w:space="0" w:color="auto"/>
              <w:right w:val="single" w:sz="4" w:space="0" w:color="auto"/>
            </w:tcBorders>
            <w:shd w:val="clear" w:color="auto" w:fill="auto"/>
            <w:noWrap/>
            <w:vAlign w:val="bottom"/>
            <w:hideMark/>
          </w:tcPr>
          <w:p w14:paraId="6C430116"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0,77</w:t>
            </w:r>
          </w:p>
        </w:tc>
        <w:tc>
          <w:tcPr>
            <w:tcW w:w="1138" w:type="dxa"/>
            <w:tcBorders>
              <w:top w:val="nil"/>
              <w:left w:val="nil"/>
              <w:bottom w:val="single" w:sz="4" w:space="0" w:color="auto"/>
              <w:right w:val="single" w:sz="4" w:space="0" w:color="auto"/>
            </w:tcBorders>
            <w:shd w:val="clear" w:color="auto" w:fill="auto"/>
            <w:noWrap/>
            <w:vAlign w:val="bottom"/>
            <w:hideMark/>
          </w:tcPr>
          <w:p w14:paraId="618D95DC" w14:textId="77777777" w:rsidR="00BF12D5" w:rsidRPr="00BD0223" w:rsidRDefault="00BF12D5" w:rsidP="0039539B">
            <w:pPr>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0,87</w:t>
            </w:r>
          </w:p>
        </w:tc>
        <w:tc>
          <w:tcPr>
            <w:tcW w:w="1138" w:type="dxa"/>
            <w:tcBorders>
              <w:top w:val="nil"/>
              <w:left w:val="nil"/>
              <w:bottom w:val="single" w:sz="4" w:space="0" w:color="auto"/>
              <w:right w:val="single" w:sz="4" w:space="0" w:color="auto"/>
            </w:tcBorders>
            <w:shd w:val="clear" w:color="auto" w:fill="auto"/>
            <w:noWrap/>
            <w:vAlign w:val="bottom"/>
            <w:hideMark/>
          </w:tcPr>
          <w:p w14:paraId="0FBB1648" w14:textId="77777777" w:rsidR="00BF12D5" w:rsidRPr="00BD0223" w:rsidRDefault="00BF12D5" w:rsidP="0039539B">
            <w:pPr>
              <w:keepNext/>
              <w:spacing w:line="240" w:lineRule="auto"/>
              <w:ind w:firstLine="0"/>
              <w:jc w:val="center"/>
              <w:rPr>
                <w:rFonts w:ascii="Times New Roman" w:eastAsia="Times New Roman" w:hAnsi="Times New Roman" w:cs="Times New Roman"/>
                <w:color w:val="000000"/>
                <w:lang w:eastAsia="pt-BR"/>
              </w:rPr>
            </w:pPr>
            <w:r w:rsidRPr="00BD0223">
              <w:rPr>
                <w:rFonts w:ascii="Times New Roman" w:eastAsia="Times New Roman" w:hAnsi="Times New Roman" w:cs="Times New Roman"/>
                <w:color w:val="000000"/>
                <w:lang w:eastAsia="pt-BR"/>
              </w:rPr>
              <w:t>0,98</w:t>
            </w:r>
          </w:p>
        </w:tc>
      </w:tr>
    </w:tbl>
    <w:p w14:paraId="51B42F27" w14:textId="77777777" w:rsidR="00BF12D5" w:rsidRPr="008D398D" w:rsidRDefault="00BF12D5" w:rsidP="00BF12D5">
      <w:pPr>
        <w:pStyle w:val="Ttabela-fonte"/>
        <w:rPr>
          <w:color w:val="FF0000"/>
        </w:rPr>
      </w:pPr>
      <w:r w:rsidRPr="00BD0223">
        <w:t>Fonte: ANP</w:t>
      </w:r>
      <w:r>
        <w:t xml:space="preserve">. </w:t>
      </w:r>
      <w:r w:rsidRPr="00906965">
        <w:t>Elaboração do Autor</w:t>
      </w:r>
      <w:r w:rsidRPr="008D398D">
        <w:rPr>
          <w:color w:val="FF0000"/>
        </w:rPr>
        <w:t>.</w:t>
      </w:r>
    </w:p>
    <w:p w14:paraId="0881D186" w14:textId="77777777" w:rsidR="00BF12D5" w:rsidRPr="00BD0223" w:rsidRDefault="00BF12D5" w:rsidP="00BF12D5">
      <w:pPr>
        <w:pStyle w:val="Tfigura-titulo"/>
        <w:jc w:val="both"/>
      </w:pPr>
      <w:r w:rsidRPr="00BD0223">
        <w:t xml:space="preserve">Tabela 16 – Vendas de gasolina, em milhões de litros, de </w:t>
      </w:r>
      <w:r>
        <w:t>municípios</w:t>
      </w:r>
      <w:r w:rsidRPr="00BD0223">
        <w:t xml:space="preserve"> selecionad</w:t>
      </w:r>
      <w:r>
        <w:t>o</w:t>
      </w:r>
      <w:r w:rsidRPr="00BD0223">
        <w:t xml:space="preserve">s do estado de São Paulo das </w:t>
      </w:r>
      <w:r>
        <w:t>M</w:t>
      </w:r>
      <w:r w:rsidRPr="00BD0223">
        <w:t>acrorregiões de Ribeirão Preto e São José do Rio Preto, de 2015 a 2018</w:t>
      </w:r>
    </w:p>
    <w:tbl>
      <w:tblPr>
        <w:tblW w:w="5000" w:type="pct"/>
        <w:jc w:val="center"/>
        <w:tblCellMar>
          <w:left w:w="70" w:type="dxa"/>
          <w:right w:w="70" w:type="dxa"/>
        </w:tblCellMar>
        <w:tblLook w:val="04A0" w:firstRow="1" w:lastRow="0" w:firstColumn="1" w:lastColumn="0" w:noHBand="0" w:noVBand="1"/>
      </w:tblPr>
      <w:tblGrid>
        <w:gridCol w:w="4285"/>
        <w:gridCol w:w="1194"/>
        <w:gridCol w:w="1194"/>
        <w:gridCol w:w="1194"/>
        <w:gridCol w:w="1194"/>
      </w:tblGrid>
      <w:tr w:rsidR="00BF12D5" w:rsidRPr="001C03A7" w14:paraId="2D24563D" w14:textId="77777777" w:rsidTr="0039539B">
        <w:trPr>
          <w:trHeight w:val="320"/>
          <w:tblHeader/>
          <w:jc w:val="center"/>
        </w:trPr>
        <w:tc>
          <w:tcPr>
            <w:tcW w:w="42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FB9CC"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 </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14:paraId="4897C92F"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2015</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14:paraId="020DF681"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2016</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14:paraId="6CB671F3"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2017</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14:paraId="2E3E753C"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2018</w:t>
            </w:r>
          </w:p>
        </w:tc>
      </w:tr>
      <w:tr w:rsidR="00BF12D5" w:rsidRPr="00BD0223" w14:paraId="2A7B1B5F"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60D3B0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ADOLFO</w:t>
            </w:r>
          </w:p>
        </w:tc>
        <w:tc>
          <w:tcPr>
            <w:tcW w:w="1194" w:type="dxa"/>
            <w:tcBorders>
              <w:top w:val="nil"/>
              <w:left w:val="nil"/>
              <w:bottom w:val="single" w:sz="4" w:space="0" w:color="auto"/>
              <w:right w:val="single" w:sz="4" w:space="0" w:color="auto"/>
            </w:tcBorders>
            <w:shd w:val="clear" w:color="auto" w:fill="auto"/>
            <w:noWrap/>
            <w:vAlign w:val="center"/>
            <w:hideMark/>
          </w:tcPr>
          <w:p w14:paraId="249E3F5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0,28</w:t>
            </w:r>
          </w:p>
        </w:tc>
        <w:tc>
          <w:tcPr>
            <w:tcW w:w="1194" w:type="dxa"/>
            <w:tcBorders>
              <w:top w:val="nil"/>
              <w:left w:val="nil"/>
              <w:bottom w:val="single" w:sz="4" w:space="0" w:color="auto"/>
              <w:right w:val="single" w:sz="4" w:space="0" w:color="auto"/>
            </w:tcBorders>
            <w:shd w:val="clear" w:color="auto" w:fill="auto"/>
            <w:noWrap/>
            <w:vAlign w:val="center"/>
            <w:hideMark/>
          </w:tcPr>
          <w:p w14:paraId="65F148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0,30</w:t>
            </w:r>
          </w:p>
        </w:tc>
        <w:tc>
          <w:tcPr>
            <w:tcW w:w="1194" w:type="dxa"/>
            <w:tcBorders>
              <w:top w:val="nil"/>
              <w:left w:val="nil"/>
              <w:bottom w:val="single" w:sz="4" w:space="0" w:color="auto"/>
              <w:right w:val="single" w:sz="4" w:space="0" w:color="auto"/>
            </w:tcBorders>
            <w:shd w:val="clear" w:color="auto" w:fill="auto"/>
            <w:noWrap/>
            <w:vAlign w:val="center"/>
            <w:hideMark/>
          </w:tcPr>
          <w:p w14:paraId="746F54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0,28</w:t>
            </w:r>
          </w:p>
        </w:tc>
        <w:tc>
          <w:tcPr>
            <w:tcW w:w="1194" w:type="dxa"/>
            <w:tcBorders>
              <w:top w:val="nil"/>
              <w:left w:val="nil"/>
              <w:bottom w:val="single" w:sz="4" w:space="0" w:color="auto"/>
              <w:right w:val="single" w:sz="4" w:space="0" w:color="auto"/>
            </w:tcBorders>
            <w:shd w:val="clear" w:color="auto" w:fill="auto"/>
            <w:noWrap/>
            <w:vAlign w:val="center"/>
            <w:hideMark/>
          </w:tcPr>
          <w:p w14:paraId="6E1B5AE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0,22</w:t>
            </w:r>
          </w:p>
        </w:tc>
      </w:tr>
      <w:tr w:rsidR="00BF12D5" w:rsidRPr="00BD0223" w14:paraId="2667E172"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FD5E20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ALTAIR</w:t>
            </w:r>
          </w:p>
        </w:tc>
        <w:tc>
          <w:tcPr>
            <w:tcW w:w="1194" w:type="dxa"/>
            <w:tcBorders>
              <w:top w:val="nil"/>
              <w:left w:val="nil"/>
              <w:bottom w:val="single" w:sz="4" w:space="0" w:color="auto"/>
              <w:right w:val="single" w:sz="4" w:space="0" w:color="auto"/>
            </w:tcBorders>
            <w:shd w:val="clear" w:color="auto" w:fill="auto"/>
            <w:noWrap/>
            <w:vAlign w:val="center"/>
            <w:hideMark/>
          </w:tcPr>
          <w:p w14:paraId="5B4E050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0,18</w:t>
            </w:r>
          </w:p>
        </w:tc>
        <w:tc>
          <w:tcPr>
            <w:tcW w:w="1194" w:type="dxa"/>
            <w:tcBorders>
              <w:top w:val="nil"/>
              <w:left w:val="nil"/>
              <w:bottom w:val="single" w:sz="4" w:space="0" w:color="auto"/>
              <w:right w:val="single" w:sz="4" w:space="0" w:color="auto"/>
            </w:tcBorders>
            <w:shd w:val="clear" w:color="auto" w:fill="auto"/>
            <w:noWrap/>
            <w:vAlign w:val="center"/>
            <w:hideMark/>
          </w:tcPr>
          <w:p w14:paraId="5B24DF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0,12</w:t>
            </w:r>
          </w:p>
        </w:tc>
        <w:tc>
          <w:tcPr>
            <w:tcW w:w="1194" w:type="dxa"/>
            <w:tcBorders>
              <w:top w:val="nil"/>
              <w:left w:val="nil"/>
              <w:bottom w:val="single" w:sz="4" w:space="0" w:color="auto"/>
              <w:right w:val="single" w:sz="4" w:space="0" w:color="auto"/>
            </w:tcBorders>
            <w:shd w:val="clear" w:color="auto" w:fill="auto"/>
            <w:noWrap/>
            <w:vAlign w:val="center"/>
            <w:hideMark/>
          </w:tcPr>
          <w:p w14:paraId="30993D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0,10</w:t>
            </w:r>
          </w:p>
        </w:tc>
        <w:tc>
          <w:tcPr>
            <w:tcW w:w="1194" w:type="dxa"/>
            <w:tcBorders>
              <w:top w:val="nil"/>
              <w:left w:val="nil"/>
              <w:bottom w:val="single" w:sz="4" w:space="0" w:color="auto"/>
              <w:right w:val="single" w:sz="4" w:space="0" w:color="auto"/>
            </w:tcBorders>
            <w:shd w:val="clear" w:color="auto" w:fill="auto"/>
            <w:noWrap/>
            <w:vAlign w:val="center"/>
            <w:hideMark/>
          </w:tcPr>
          <w:p w14:paraId="01D6BEF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0,06</w:t>
            </w:r>
          </w:p>
        </w:tc>
      </w:tr>
      <w:tr w:rsidR="00BF12D5" w:rsidRPr="00BD0223" w14:paraId="5FC2A3E2"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A40873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ALTINOPOLIS</w:t>
            </w:r>
          </w:p>
        </w:tc>
        <w:tc>
          <w:tcPr>
            <w:tcW w:w="1194" w:type="dxa"/>
            <w:tcBorders>
              <w:top w:val="nil"/>
              <w:left w:val="nil"/>
              <w:bottom w:val="single" w:sz="4" w:space="0" w:color="auto"/>
              <w:right w:val="single" w:sz="4" w:space="0" w:color="auto"/>
            </w:tcBorders>
            <w:shd w:val="clear" w:color="auto" w:fill="auto"/>
            <w:noWrap/>
            <w:vAlign w:val="center"/>
            <w:hideMark/>
          </w:tcPr>
          <w:p w14:paraId="189122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3,13</w:t>
            </w:r>
          </w:p>
        </w:tc>
        <w:tc>
          <w:tcPr>
            <w:tcW w:w="1194" w:type="dxa"/>
            <w:tcBorders>
              <w:top w:val="nil"/>
              <w:left w:val="nil"/>
              <w:bottom w:val="single" w:sz="4" w:space="0" w:color="auto"/>
              <w:right w:val="single" w:sz="4" w:space="0" w:color="auto"/>
            </w:tcBorders>
            <w:shd w:val="clear" w:color="auto" w:fill="auto"/>
            <w:noWrap/>
            <w:vAlign w:val="center"/>
            <w:hideMark/>
          </w:tcPr>
          <w:p w14:paraId="12D8EB4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3,15</w:t>
            </w:r>
          </w:p>
        </w:tc>
        <w:tc>
          <w:tcPr>
            <w:tcW w:w="1194" w:type="dxa"/>
            <w:tcBorders>
              <w:top w:val="nil"/>
              <w:left w:val="nil"/>
              <w:bottom w:val="single" w:sz="4" w:space="0" w:color="auto"/>
              <w:right w:val="single" w:sz="4" w:space="0" w:color="auto"/>
            </w:tcBorders>
            <w:shd w:val="clear" w:color="auto" w:fill="auto"/>
            <w:noWrap/>
            <w:vAlign w:val="center"/>
            <w:hideMark/>
          </w:tcPr>
          <w:p w14:paraId="26C779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2,90</w:t>
            </w:r>
          </w:p>
        </w:tc>
        <w:tc>
          <w:tcPr>
            <w:tcW w:w="1194" w:type="dxa"/>
            <w:tcBorders>
              <w:top w:val="nil"/>
              <w:left w:val="nil"/>
              <w:bottom w:val="single" w:sz="4" w:space="0" w:color="auto"/>
              <w:right w:val="single" w:sz="4" w:space="0" w:color="auto"/>
            </w:tcBorders>
            <w:shd w:val="clear" w:color="auto" w:fill="auto"/>
            <w:noWrap/>
            <w:vAlign w:val="center"/>
            <w:hideMark/>
          </w:tcPr>
          <w:p w14:paraId="4D7A16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2,67</w:t>
            </w:r>
          </w:p>
        </w:tc>
      </w:tr>
      <w:tr w:rsidR="00BF12D5" w:rsidRPr="00BD0223" w14:paraId="0AEB9A61"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915F1F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ALVARES FLORENCE</w:t>
            </w:r>
          </w:p>
        </w:tc>
        <w:tc>
          <w:tcPr>
            <w:tcW w:w="1194" w:type="dxa"/>
            <w:tcBorders>
              <w:top w:val="nil"/>
              <w:left w:val="nil"/>
              <w:bottom w:val="single" w:sz="4" w:space="0" w:color="auto"/>
              <w:right w:val="single" w:sz="4" w:space="0" w:color="auto"/>
            </w:tcBorders>
            <w:shd w:val="clear" w:color="auto" w:fill="auto"/>
            <w:noWrap/>
            <w:vAlign w:val="center"/>
            <w:hideMark/>
          </w:tcPr>
          <w:p w14:paraId="69EF60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0,49</w:t>
            </w:r>
          </w:p>
        </w:tc>
        <w:tc>
          <w:tcPr>
            <w:tcW w:w="1194" w:type="dxa"/>
            <w:tcBorders>
              <w:top w:val="nil"/>
              <w:left w:val="nil"/>
              <w:bottom w:val="single" w:sz="4" w:space="0" w:color="auto"/>
              <w:right w:val="single" w:sz="4" w:space="0" w:color="auto"/>
            </w:tcBorders>
            <w:shd w:val="clear" w:color="auto" w:fill="auto"/>
            <w:noWrap/>
            <w:vAlign w:val="center"/>
            <w:hideMark/>
          </w:tcPr>
          <w:p w14:paraId="1F44A0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0,53</w:t>
            </w:r>
          </w:p>
        </w:tc>
        <w:tc>
          <w:tcPr>
            <w:tcW w:w="1194" w:type="dxa"/>
            <w:tcBorders>
              <w:top w:val="nil"/>
              <w:left w:val="nil"/>
              <w:bottom w:val="single" w:sz="4" w:space="0" w:color="auto"/>
              <w:right w:val="single" w:sz="4" w:space="0" w:color="auto"/>
            </w:tcBorders>
            <w:shd w:val="clear" w:color="auto" w:fill="auto"/>
            <w:noWrap/>
            <w:vAlign w:val="center"/>
            <w:hideMark/>
          </w:tcPr>
          <w:p w14:paraId="26D6B66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0,51</w:t>
            </w:r>
          </w:p>
        </w:tc>
        <w:tc>
          <w:tcPr>
            <w:tcW w:w="1194" w:type="dxa"/>
            <w:tcBorders>
              <w:top w:val="nil"/>
              <w:left w:val="nil"/>
              <w:bottom w:val="single" w:sz="4" w:space="0" w:color="auto"/>
              <w:right w:val="single" w:sz="4" w:space="0" w:color="auto"/>
            </w:tcBorders>
            <w:shd w:val="clear" w:color="auto" w:fill="auto"/>
            <w:noWrap/>
            <w:vAlign w:val="center"/>
            <w:hideMark/>
          </w:tcPr>
          <w:p w14:paraId="1620FF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0,45</w:t>
            </w:r>
          </w:p>
        </w:tc>
      </w:tr>
      <w:tr w:rsidR="00BF12D5" w:rsidRPr="00BD0223" w14:paraId="7DA9A39D"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B8E33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AMERICO DE CAMPOS</w:t>
            </w:r>
          </w:p>
        </w:tc>
        <w:tc>
          <w:tcPr>
            <w:tcW w:w="1194" w:type="dxa"/>
            <w:tcBorders>
              <w:top w:val="nil"/>
              <w:left w:val="nil"/>
              <w:bottom w:val="single" w:sz="4" w:space="0" w:color="auto"/>
              <w:right w:val="single" w:sz="4" w:space="0" w:color="auto"/>
            </w:tcBorders>
            <w:shd w:val="clear" w:color="auto" w:fill="auto"/>
            <w:noWrap/>
            <w:vAlign w:val="center"/>
            <w:hideMark/>
          </w:tcPr>
          <w:p w14:paraId="696C2B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0,77</w:t>
            </w:r>
          </w:p>
        </w:tc>
        <w:tc>
          <w:tcPr>
            <w:tcW w:w="1194" w:type="dxa"/>
            <w:tcBorders>
              <w:top w:val="nil"/>
              <w:left w:val="nil"/>
              <w:bottom w:val="single" w:sz="4" w:space="0" w:color="auto"/>
              <w:right w:val="single" w:sz="4" w:space="0" w:color="auto"/>
            </w:tcBorders>
            <w:shd w:val="clear" w:color="auto" w:fill="auto"/>
            <w:noWrap/>
            <w:vAlign w:val="center"/>
            <w:hideMark/>
          </w:tcPr>
          <w:p w14:paraId="75BE49E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0,77</w:t>
            </w:r>
          </w:p>
        </w:tc>
        <w:tc>
          <w:tcPr>
            <w:tcW w:w="1194" w:type="dxa"/>
            <w:tcBorders>
              <w:top w:val="nil"/>
              <w:left w:val="nil"/>
              <w:bottom w:val="single" w:sz="4" w:space="0" w:color="auto"/>
              <w:right w:val="single" w:sz="4" w:space="0" w:color="auto"/>
            </w:tcBorders>
            <w:shd w:val="clear" w:color="auto" w:fill="auto"/>
            <w:noWrap/>
            <w:vAlign w:val="center"/>
            <w:hideMark/>
          </w:tcPr>
          <w:p w14:paraId="20260B5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0,74</w:t>
            </w:r>
          </w:p>
        </w:tc>
        <w:tc>
          <w:tcPr>
            <w:tcW w:w="1194" w:type="dxa"/>
            <w:tcBorders>
              <w:top w:val="nil"/>
              <w:left w:val="nil"/>
              <w:bottom w:val="single" w:sz="4" w:space="0" w:color="auto"/>
              <w:right w:val="single" w:sz="4" w:space="0" w:color="auto"/>
            </w:tcBorders>
            <w:shd w:val="clear" w:color="auto" w:fill="auto"/>
            <w:noWrap/>
            <w:vAlign w:val="center"/>
            <w:hideMark/>
          </w:tcPr>
          <w:p w14:paraId="6E8EF7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0,64</w:t>
            </w:r>
          </w:p>
        </w:tc>
      </w:tr>
      <w:tr w:rsidR="00BF12D5" w:rsidRPr="00BD0223" w14:paraId="50407C3D"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FF6A6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APARECIDA D'OESTE</w:t>
            </w:r>
          </w:p>
        </w:tc>
        <w:tc>
          <w:tcPr>
            <w:tcW w:w="1194" w:type="dxa"/>
            <w:tcBorders>
              <w:top w:val="nil"/>
              <w:left w:val="nil"/>
              <w:bottom w:val="single" w:sz="4" w:space="0" w:color="auto"/>
              <w:right w:val="single" w:sz="4" w:space="0" w:color="auto"/>
            </w:tcBorders>
            <w:shd w:val="clear" w:color="auto" w:fill="auto"/>
            <w:noWrap/>
            <w:vAlign w:val="center"/>
            <w:hideMark/>
          </w:tcPr>
          <w:p w14:paraId="646C244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0,44</w:t>
            </w:r>
          </w:p>
        </w:tc>
        <w:tc>
          <w:tcPr>
            <w:tcW w:w="1194" w:type="dxa"/>
            <w:tcBorders>
              <w:top w:val="nil"/>
              <w:left w:val="nil"/>
              <w:bottom w:val="single" w:sz="4" w:space="0" w:color="auto"/>
              <w:right w:val="single" w:sz="4" w:space="0" w:color="auto"/>
            </w:tcBorders>
            <w:shd w:val="clear" w:color="auto" w:fill="auto"/>
            <w:noWrap/>
            <w:vAlign w:val="center"/>
            <w:hideMark/>
          </w:tcPr>
          <w:p w14:paraId="23B7C5D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0,39</w:t>
            </w:r>
          </w:p>
        </w:tc>
        <w:tc>
          <w:tcPr>
            <w:tcW w:w="1194" w:type="dxa"/>
            <w:tcBorders>
              <w:top w:val="nil"/>
              <w:left w:val="nil"/>
              <w:bottom w:val="single" w:sz="4" w:space="0" w:color="auto"/>
              <w:right w:val="single" w:sz="4" w:space="0" w:color="auto"/>
            </w:tcBorders>
            <w:shd w:val="clear" w:color="auto" w:fill="auto"/>
            <w:noWrap/>
            <w:vAlign w:val="center"/>
            <w:hideMark/>
          </w:tcPr>
          <w:p w14:paraId="5C2D25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0,36</w:t>
            </w:r>
          </w:p>
        </w:tc>
        <w:tc>
          <w:tcPr>
            <w:tcW w:w="1194" w:type="dxa"/>
            <w:tcBorders>
              <w:top w:val="nil"/>
              <w:left w:val="nil"/>
              <w:bottom w:val="single" w:sz="4" w:space="0" w:color="auto"/>
              <w:right w:val="single" w:sz="4" w:space="0" w:color="auto"/>
            </w:tcBorders>
            <w:shd w:val="clear" w:color="auto" w:fill="auto"/>
            <w:noWrap/>
            <w:vAlign w:val="center"/>
            <w:hideMark/>
          </w:tcPr>
          <w:p w14:paraId="4AFC687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0,33</w:t>
            </w:r>
          </w:p>
        </w:tc>
      </w:tr>
      <w:tr w:rsidR="00BF12D5" w:rsidRPr="00BD0223" w14:paraId="43CF13BC"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54EB16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ARAMINA</w:t>
            </w:r>
          </w:p>
        </w:tc>
        <w:tc>
          <w:tcPr>
            <w:tcW w:w="1194" w:type="dxa"/>
            <w:tcBorders>
              <w:top w:val="nil"/>
              <w:left w:val="nil"/>
              <w:bottom w:val="single" w:sz="4" w:space="0" w:color="auto"/>
              <w:right w:val="single" w:sz="4" w:space="0" w:color="auto"/>
            </w:tcBorders>
            <w:shd w:val="clear" w:color="auto" w:fill="auto"/>
            <w:noWrap/>
            <w:vAlign w:val="center"/>
            <w:hideMark/>
          </w:tcPr>
          <w:p w14:paraId="59C2DE7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2,96</w:t>
            </w:r>
          </w:p>
        </w:tc>
        <w:tc>
          <w:tcPr>
            <w:tcW w:w="1194" w:type="dxa"/>
            <w:tcBorders>
              <w:top w:val="nil"/>
              <w:left w:val="nil"/>
              <w:bottom w:val="single" w:sz="4" w:space="0" w:color="auto"/>
              <w:right w:val="single" w:sz="4" w:space="0" w:color="auto"/>
            </w:tcBorders>
            <w:shd w:val="clear" w:color="auto" w:fill="auto"/>
            <w:noWrap/>
            <w:vAlign w:val="center"/>
            <w:hideMark/>
          </w:tcPr>
          <w:p w14:paraId="23DD3CF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3,51</w:t>
            </w:r>
          </w:p>
        </w:tc>
        <w:tc>
          <w:tcPr>
            <w:tcW w:w="1194" w:type="dxa"/>
            <w:tcBorders>
              <w:top w:val="nil"/>
              <w:left w:val="nil"/>
              <w:bottom w:val="single" w:sz="4" w:space="0" w:color="auto"/>
              <w:right w:val="single" w:sz="4" w:space="0" w:color="auto"/>
            </w:tcBorders>
            <w:shd w:val="clear" w:color="auto" w:fill="auto"/>
            <w:noWrap/>
            <w:vAlign w:val="center"/>
            <w:hideMark/>
          </w:tcPr>
          <w:p w14:paraId="7977CED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4,27</w:t>
            </w:r>
          </w:p>
        </w:tc>
        <w:tc>
          <w:tcPr>
            <w:tcW w:w="1194" w:type="dxa"/>
            <w:tcBorders>
              <w:top w:val="nil"/>
              <w:left w:val="nil"/>
              <w:bottom w:val="single" w:sz="4" w:space="0" w:color="auto"/>
              <w:right w:val="single" w:sz="4" w:space="0" w:color="auto"/>
            </w:tcBorders>
            <w:shd w:val="clear" w:color="auto" w:fill="auto"/>
            <w:noWrap/>
            <w:vAlign w:val="center"/>
            <w:hideMark/>
          </w:tcPr>
          <w:p w14:paraId="0447713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4,11</w:t>
            </w:r>
          </w:p>
        </w:tc>
      </w:tr>
      <w:tr w:rsidR="00BF12D5" w:rsidRPr="00BD0223" w14:paraId="76E36DBD"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A34FB7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ARIRANHA</w:t>
            </w:r>
          </w:p>
        </w:tc>
        <w:tc>
          <w:tcPr>
            <w:tcW w:w="1194" w:type="dxa"/>
            <w:tcBorders>
              <w:top w:val="nil"/>
              <w:left w:val="nil"/>
              <w:bottom w:val="single" w:sz="4" w:space="0" w:color="auto"/>
              <w:right w:val="single" w:sz="4" w:space="0" w:color="auto"/>
            </w:tcBorders>
            <w:shd w:val="clear" w:color="auto" w:fill="auto"/>
            <w:noWrap/>
            <w:vAlign w:val="center"/>
            <w:hideMark/>
          </w:tcPr>
          <w:p w14:paraId="5D9F30A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0,73</w:t>
            </w:r>
          </w:p>
        </w:tc>
        <w:tc>
          <w:tcPr>
            <w:tcW w:w="1194" w:type="dxa"/>
            <w:tcBorders>
              <w:top w:val="nil"/>
              <w:left w:val="nil"/>
              <w:bottom w:val="single" w:sz="4" w:space="0" w:color="auto"/>
              <w:right w:val="single" w:sz="4" w:space="0" w:color="auto"/>
            </w:tcBorders>
            <w:shd w:val="clear" w:color="auto" w:fill="auto"/>
            <w:noWrap/>
            <w:vAlign w:val="center"/>
            <w:hideMark/>
          </w:tcPr>
          <w:p w14:paraId="3F1B958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0,74</w:t>
            </w:r>
          </w:p>
        </w:tc>
        <w:tc>
          <w:tcPr>
            <w:tcW w:w="1194" w:type="dxa"/>
            <w:tcBorders>
              <w:top w:val="nil"/>
              <w:left w:val="nil"/>
              <w:bottom w:val="single" w:sz="4" w:space="0" w:color="auto"/>
              <w:right w:val="single" w:sz="4" w:space="0" w:color="auto"/>
            </w:tcBorders>
            <w:shd w:val="clear" w:color="auto" w:fill="auto"/>
            <w:noWrap/>
            <w:vAlign w:val="center"/>
            <w:hideMark/>
          </w:tcPr>
          <w:p w14:paraId="2044EBE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0,80</w:t>
            </w:r>
          </w:p>
        </w:tc>
        <w:tc>
          <w:tcPr>
            <w:tcW w:w="1194" w:type="dxa"/>
            <w:tcBorders>
              <w:top w:val="nil"/>
              <w:left w:val="nil"/>
              <w:bottom w:val="single" w:sz="4" w:space="0" w:color="auto"/>
              <w:right w:val="single" w:sz="4" w:space="0" w:color="auto"/>
            </w:tcBorders>
            <w:shd w:val="clear" w:color="auto" w:fill="auto"/>
            <w:noWrap/>
            <w:vAlign w:val="center"/>
            <w:hideMark/>
          </w:tcPr>
          <w:p w14:paraId="0F1A16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0,59</w:t>
            </w:r>
          </w:p>
        </w:tc>
      </w:tr>
      <w:tr w:rsidR="00BF12D5" w:rsidRPr="00BD0223" w14:paraId="100A91DB"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DF5D58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ASPASIA</w:t>
            </w:r>
          </w:p>
        </w:tc>
        <w:tc>
          <w:tcPr>
            <w:tcW w:w="1194" w:type="dxa"/>
            <w:tcBorders>
              <w:top w:val="nil"/>
              <w:left w:val="nil"/>
              <w:bottom w:val="single" w:sz="4" w:space="0" w:color="auto"/>
              <w:right w:val="single" w:sz="4" w:space="0" w:color="auto"/>
            </w:tcBorders>
            <w:shd w:val="clear" w:color="auto" w:fill="auto"/>
            <w:noWrap/>
            <w:vAlign w:val="center"/>
            <w:hideMark/>
          </w:tcPr>
          <w:p w14:paraId="2B0DB59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0,17</w:t>
            </w:r>
          </w:p>
        </w:tc>
        <w:tc>
          <w:tcPr>
            <w:tcW w:w="1194" w:type="dxa"/>
            <w:tcBorders>
              <w:top w:val="nil"/>
              <w:left w:val="nil"/>
              <w:bottom w:val="single" w:sz="4" w:space="0" w:color="auto"/>
              <w:right w:val="single" w:sz="4" w:space="0" w:color="auto"/>
            </w:tcBorders>
            <w:shd w:val="clear" w:color="auto" w:fill="auto"/>
            <w:noWrap/>
            <w:vAlign w:val="center"/>
            <w:hideMark/>
          </w:tcPr>
          <w:p w14:paraId="47FB82D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0,17</w:t>
            </w:r>
          </w:p>
        </w:tc>
        <w:tc>
          <w:tcPr>
            <w:tcW w:w="1194" w:type="dxa"/>
            <w:tcBorders>
              <w:top w:val="nil"/>
              <w:left w:val="nil"/>
              <w:bottom w:val="single" w:sz="4" w:space="0" w:color="auto"/>
              <w:right w:val="single" w:sz="4" w:space="0" w:color="auto"/>
            </w:tcBorders>
            <w:shd w:val="clear" w:color="auto" w:fill="auto"/>
            <w:noWrap/>
            <w:vAlign w:val="center"/>
            <w:hideMark/>
          </w:tcPr>
          <w:p w14:paraId="16D78C6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0,16</w:t>
            </w:r>
          </w:p>
        </w:tc>
        <w:tc>
          <w:tcPr>
            <w:tcW w:w="1194" w:type="dxa"/>
            <w:tcBorders>
              <w:top w:val="nil"/>
              <w:left w:val="nil"/>
              <w:bottom w:val="single" w:sz="4" w:space="0" w:color="auto"/>
              <w:right w:val="single" w:sz="4" w:space="0" w:color="auto"/>
            </w:tcBorders>
            <w:shd w:val="clear" w:color="auto" w:fill="auto"/>
            <w:noWrap/>
            <w:vAlign w:val="center"/>
            <w:hideMark/>
          </w:tcPr>
          <w:p w14:paraId="6631655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0,14</w:t>
            </w:r>
          </w:p>
        </w:tc>
      </w:tr>
      <w:tr w:rsidR="00BF12D5" w:rsidRPr="00BD0223" w14:paraId="68D0FB06"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08A35B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AURIFLAMA</w:t>
            </w:r>
          </w:p>
        </w:tc>
        <w:tc>
          <w:tcPr>
            <w:tcW w:w="1194" w:type="dxa"/>
            <w:tcBorders>
              <w:top w:val="nil"/>
              <w:left w:val="nil"/>
              <w:bottom w:val="single" w:sz="4" w:space="0" w:color="auto"/>
              <w:right w:val="single" w:sz="4" w:space="0" w:color="auto"/>
            </w:tcBorders>
            <w:shd w:val="clear" w:color="auto" w:fill="auto"/>
            <w:noWrap/>
            <w:vAlign w:val="center"/>
            <w:hideMark/>
          </w:tcPr>
          <w:p w14:paraId="513B2E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2,09</w:t>
            </w:r>
          </w:p>
        </w:tc>
        <w:tc>
          <w:tcPr>
            <w:tcW w:w="1194" w:type="dxa"/>
            <w:tcBorders>
              <w:top w:val="nil"/>
              <w:left w:val="nil"/>
              <w:bottom w:val="single" w:sz="4" w:space="0" w:color="auto"/>
              <w:right w:val="single" w:sz="4" w:space="0" w:color="auto"/>
            </w:tcBorders>
            <w:shd w:val="clear" w:color="auto" w:fill="auto"/>
            <w:noWrap/>
            <w:vAlign w:val="center"/>
            <w:hideMark/>
          </w:tcPr>
          <w:p w14:paraId="6677BF9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2,18</w:t>
            </w:r>
          </w:p>
        </w:tc>
        <w:tc>
          <w:tcPr>
            <w:tcW w:w="1194" w:type="dxa"/>
            <w:tcBorders>
              <w:top w:val="nil"/>
              <w:left w:val="nil"/>
              <w:bottom w:val="single" w:sz="4" w:space="0" w:color="auto"/>
              <w:right w:val="single" w:sz="4" w:space="0" w:color="auto"/>
            </w:tcBorders>
            <w:shd w:val="clear" w:color="auto" w:fill="auto"/>
            <w:noWrap/>
            <w:vAlign w:val="center"/>
            <w:hideMark/>
          </w:tcPr>
          <w:p w14:paraId="1AFDA3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2,12</w:t>
            </w:r>
          </w:p>
        </w:tc>
        <w:tc>
          <w:tcPr>
            <w:tcW w:w="1194" w:type="dxa"/>
            <w:tcBorders>
              <w:top w:val="nil"/>
              <w:left w:val="nil"/>
              <w:bottom w:val="single" w:sz="4" w:space="0" w:color="auto"/>
              <w:right w:val="single" w:sz="4" w:space="0" w:color="auto"/>
            </w:tcBorders>
            <w:shd w:val="clear" w:color="auto" w:fill="auto"/>
            <w:noWrap/>
            <w:vAlign w:val="center"/>
            <w:hideMark/>
          </w:tcPr>
          <w:p w14:paraId="0F69CC5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1,82</w:t>
            </w:r>
          </w:p>
        </w:tc>
      </w:tr>
      <w:tr w:rsidR="00BF12D5" w:rsidRPr="00BD0223" w14:paraId="683A5143"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43AF1B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BADY BASSITT</w:t>
            </w:r>
          </w:p>
        </w:tc>
        <w:tc>
          <w:tcPr>
            <w:tcW w:w="1194" w:type="dxa"/>
            <w:tcBorders>
              <w:top w:val="nil"/>
              <w:left w:val="nil"/>
              <w:bottom w:val="single" w:sz="4" w:space="0" w:color="auto"/>
              <w:right w:val="single" w:sz="4" w:space="0" w:color="auto"/>
            </w:tcBorders>
            <w:shd w:val="clear" w:color="auto" w:fill="auto"/>
            <w:noWrap/>
            <w:vAlign w:val="center"/>
            <w:hideMark/>
          </w:tcPr>
          <w:p w14:paraId="5457DFD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5,54</w:t>
            </w:r>
          </w:p>
        </w:tc>
        <w:tc>
          <w:tcPr>
            <w:tcW w:w="1194" w:type="dxa"/>
            <w:tcBorders>
              <w:top w:val="nil"/>
              <w:left w:val="nil"/>
              <w:bottom w:val="single" w:sz="4" w:space="0" w:color="auto"/>
              <w:right w:val="single" w:sz="4" w:space="0" w:color="auto"/>
            </w:tcBorders>
            <w:shd w:val="clear" w:color="auto" w:fill="auto"/>
            <w:noWrap/>
            <w:vAlign w:val="center"/>
            <w:hideMark/>
          </w:tcPr>
          <w:p w14:paraId="4A32CC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6,37</w:t>
            </w:r>
          </w:p>
        </w:tc>
        <w:tc>
          <w:tcPr>
            <w:tcW w:w="1194" w:type="dxa"/>
            <w:tcBorders>
              <w:top w:val="nil"/>
              <w:left w:val="nil"/>
              <w:bottom w:val="single" w:sz="4" w:space="0" w:color="auto"/>
              <w:right w:val="single" w:sz="4" w:space="0" w:color="auto"/>
            </w:tcBorders>
            <w:shd w:val="clear" w:color="auto" w:fill="auto"/>
            <w:noWrap/>
            <w:vAlign w:val="center"/>
            <w:hideMark/>
          </w:tcPr>
          <w:p w14:paraId="19EA160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6,27</w:t>
            </w:r>
          </w:p>
        </w:tc>
        <w:tc>
          <w:tcPr>
            <w:tcW w:w="1194" w:type="dxa"/>
            <w:tcBorders>
              <w:top w:val="nil"/>
              <w:left w:val="nil"/>
              <w:bottom w:val="single" w:sz="4" w:space="0" w:color="auto"/>
              <w:right w:val="single" w:sz="4" w:space="0" w:color="auto"/>
            </w:tcBorders>
            <w:shd w:val="clear" w:color="auto" w:fill="auto"/>
            <w:noWrap/>
            <w:vAlign w:val="center"/>
            <w:hideMark/>
          </w:tcPr>
          <w:p w14:paraId="445ABE1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5,31</w:t>
            </w:r>
          </w:p>
        </w:tc>
      </w:tr>
      <w:tr w:rsidR="00BF12D5" w:rsidRPr="00BD0223" w14:paraId="7B6EDD7E"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04C754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BALSAMO</w:t>
            </w:r>
          </w:p>
        </w:tc>
        <w:tc>
          <w:tcPr>
            <w:tcW w:w="1194" w:type="dxa"/>
            <w:tcBorders>
              <w:top w:val="nil"/>
              <w:left w:val="nil"/>
              <w:bottom w:val="single" w:sz="4" w:space="0" w:color="auto"/>
              <w:right w:val="single" w:sz="4" w:space="0" w:color="auto"/>
            </w:tcBorders>
            <w:shd w:val="clear" w:color="auto" w:fill="auto"/>
            <w:noWrap/>
            <w:vAlign w:val="center"/>
            <w:hideMark/>
          </w:tcPr>
          <w:p w14:paraId="303CA50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1,18</w:t>
            </w:r>
          </w:p>
        </w:tc>
        <w:tc>
          <w:tcPr>
            <w:tcW w:w="1194" w:type="dxa"/>
            <w:tcBorders>
              <w:top w:val="nil"/>
              <w:left w:val="nil"/>
              <w:bottom w:val="single" w:sz="4" w:space="0" w:color="auto"/>
              <w:right w:val="single" w:sz="4" w:space="0" w:color="auto"/>
            </w:tcBorders>
            <w:shd w:val="clear" w:color="auto" w:fill="auto"/>
            <w:noWrap/>
            <w:vAlign w:val="center"/>
            <w:hideMark/>
          </w:tcPr>
          <w:p w14:paraId="21949F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1,15</w:t>
            </w:r>
          </w:p>
        </w:tc>
        <w:tc>
          <w:tcPr>
            <w:tcW w:w="1194" w:type="dxa"/>
            <w:tcBorders>
              <w:top w:val="nil"/>
              <w:left w:val="nil"/>
              <w:bottom w:val="single" w:sz="4" w:space="0" w:color="auto"/>
              <w:right w:val="single" w:sz="4" w:space="0" w:color="auto"/>
            </w:tcBorders>
            <w:shd w:val="clear" w:color="auto" w:fill="auto"/>
            <w:noWrap/>
            <w:vAlign w:val="center"/>
            <w:hideMark/>
          </w:tcPr>
          <w:p w14:paraId="5DAFC33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1,11</w:t>
            </w:r>
          </w:p>
        </w:tc>
        <w:tc>
          <w:tcPr>
            <w:tcW w:w="1194" w:type="dxa"/>
            <w:tcBorders>
              <w:top w:val="nil"/>
              <w:left w:val="nil"/>
              <w:bottom w:val="single" w:sz="4" w:space="0" w:color="auto"/>
              <w:right w:val="single" w:sz="4" w:space="0" w:color="auto"/>
            </w:tcBorders>
            <w:shd w:val="clear" w:color="auto" w:fill="auto"/>
            <w:noWrap/>
            <w:vAlign w:val="center"/>
            <w:hideMark/>
          </w:tcPr>
          <w:p w14:paraId="3AE1971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0,86</w:t>
            </w:r>
          </w:p>
        </w:tc>
      </w:tr>
      <w:tr w:rsidR="00BF12D5" w:rsidRPr="00BD0223" w14:paraId="353E8B4B"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734202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BARRETOS</w:t>
            </w:r>
          </w:p>
        </w:tc>
        <w:tc>
          <w:tcPr>
            <w:tcW w:w="1194" w:type="dxa"/>
            <w:tcBorders>
              <w:top w:val="nil"/>
              <w:left w:val="nil"/>
              <w:bottom w:val="single" w:sz="4" w:space="0" w:color="auto"/>
              <w:right w:val="single" w:sz="4" w:space="0" w:color="auto"/>
            </w:tcBorders>
            <w:shd w:val="clear" w:color="auto" w:fill="auto"/>
            <w:noWrap/>
            <w:vAlign w:val="center"/>
            <w:hideMark/>
          </w:tcPr>
          <w:p w14:paraId="55C39D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23,48</w:t>
            </w:r>
          </w:p>
        </w:tc>
        <w:tc>
          <w:tcPr>
            <w:tcW w:w="1194" w:type="dxa"/>
            <w:tcBorders>
              <w:top w:val="nil"/>
              <w:left w:val="nil"/>
              <w:bottom w:val="single" w:sz="4" w:space="0" w:color="auto"/>
              <w:right w:val="single" w:sz="4" w:space="0" w:color="auto"/>
            </w:tcBorders>
            <w:shd w:val="clear" w:color="auto" w:fill="auto"/>
            <w:noWrap/>
            <w:vAlign w:val="center"/>
            <w:hideMark/>
          </w:tcPr>
          <w:p w14:paraId="4C722CC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26,07</w:t>
            </w:r>
          </w:p>
        </w:tc>
        <w:tc>
          <w:tcPr>
            <w:tcW w:w="1194" w:type="dxa"/>
            <w:tcBorders>
              <w:top w:val="nil"/>
              <w:left w:val="nil"/>
              <w:bottom w:val="single" w:sz="4" w:space="0" w:color="auto"/>
              <w:right w:val="single" w:sz="4" w:space="0" w:color="auto"/>
            </w:tcBorders>
            <w:shd w:val="clear" w:color="auto" w:fill="auto"/>
            <w:noWrap/>
            <w:vAlign w:val="center"/>
            <w:hideMark/>
          </w:tcPr>
          <w:p w14:paraId="532CAF2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28,34</w:t>
            </w:r>
          </w:p>
        </w:tc>
        <w:tc>
          <w:tcPr>
            <w:tcW w:w="1194" w:type="dxa"/>
            <w:tcBorders>
              <w:top w:val="nil"/>
              <w:left w:val="nil"/>
              <w:bottom w:val="single" w:sz="4" w:space="0" w:color="auto"/>
              <w:right w:val="single" w:sz="4" w:space="0" w:color="auto"/>
            </w:tcBorders>
            <w:shd w:val="clear" w:color="auto" w:fill="auto"/>
            <w:noWrap/>
            <w:vAlign w:val="center"/>
            <w:hideMark/>
          </w:tcPr>
          <w:p w14:paraId="744925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22,48</w:t>
            </w:r>
          </w:p>
        </w:tc>
      </w:tr>
      <w:tr w:rsidR="00BF12D5" w:rsidRPr="00BD0223" w14:paraId="3751D5B6"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B72876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BARRINHA</w:t>
            </w:r>
          </w:p>
        </w:tc>
        <w:tc>
          <w:tcPr>
            <w:tcW w:w="1194" w:type="dxa"/>
            <w:tcBorders>
              <w:top w:val="nil"/>
              <w:left w:val="nil"/>
              <w:bottom w:val="single" w:sz="4" w:space="0" w:color="auto"/>
              <w:right w:val="single" w:sz="4" w:space="0" w:color="auto"/>
            </w:tcBorders>
            <w:shd w:val="clear" w:color="auto" w:fill="auto"/>
            <w:noWrap/>
            <w:vAlign w:val="center"/>
            <w:hideMark/>
          </w:tcPr>
          <w:p w14:paraId="33C1350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3,18</w:t>
            </w:r>
          </w:p>
        </w:tc>
        <w:tc>
          <w:tcPr>
            <w:tcW w:w="1194" w:type="dxa"/>
            <w:tcBorders>
              <w:top w:val="nil"/>
              <w:left w:val="nil"/>
              <w:bottom w:val="single" w:sz="4" w:space="0" w:color="auto"/>
              <w:right w:val="single" w:sz="4" w:space="0" w:color="auto"/>
            </w:tcBorders>
            <w:shd w:val="clear" w:color="auto" w:fill="auto"/>
            <w:noWrap/>
            <w:vAlign w:val="center"/>
            <w:hideMark/>
          </w:tcPr>
          <w:p w14:paraId="161B8F9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3,17</w:t>
            </w:r>
          </w:p>
        </w:tc>
        <w:tc>
          <w:tcPr>
            <w:tcW w:w="1194" w:type="dxa"/>
            <w:tcBorders>
              <w:top w:val="nil"/>
              <w:left w:val="nil"/>
              <w:bottom w:val="single" w:sz="4" w:space="0" w:color="auto"/>
              <w:right w:val="single" w:sz="4" w:space="0" w:color="auto"/>
            </w:tcBorders>
            <w:shd w:val="clear" w:color="auto" w:fill="auto"/>
            <w:noWrap/>
            <w:vAlign w:val="center"/>
            <w:hideMark/>
          </w:tcPr>
          <w:p w14:paraId="3A5FF2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2,98</w:t>
            </w:r>
          </w:p>
        </w:tc>
        <w:tc>
          <w:tcPr>
            <w:tcW w:w="1194" w:type="dxa"/>
            <w:tcBorders>
              <w:top w:val="nil"/>
              <w:left w:val="nil"/>
              <w:bottom w:val="single" w:sz="4" w:space="0" w:color="auto"/>
              <w:right w:val="single" w:sz="4" w:space="0" w:color="auto"/>
            </w:tcBorders>
            <w:shd w:val="clear" w:color="auto" w:fill="auto"/>
            <w:noWrap/>
            <w:vAlign w:val="center"/>
            <w:hideMark/>
          </w:tcPr>
          <w:p w14:paraId="0DDECC5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2,31</w:t>
            </w:r>
          </w:p>
        </w:tc>
      </w:tr>
      <w:tr w:rsidR="00BF12D5" w:rsidRPr="00BD0223" w14:paraId="74758458"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5980721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BATATAIS</w:t>
            </w:r>
          </w:p>
        </w:tc>
        <w:tc>
          <w:tcPr>
            <w:tcW w:w="1194" w:type="dxa"/>
            <w:tcBorders>
              <w:top w:val="nil"/>
              <w:left w:val="nil"/>
              <w:bottom w:val="single" w:sz="4" w:space="0" w:color="auto"/>
              <w:right w:val="single" w:sz="4" w:space="0" w:color="auto"/>
            </w:tcBorders>
            <w:shd w:val="clear" w:color="auto" w:fill="auto"/>
            <w:noWrap/>
            <w:vAlign w:val="center"/>
            <w:hideMark/>
          </w:tcPr>
          <w:p w14:paraId="2FA6E2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11,55</w:t>
            </w:r>
          </w:p>
        </w:tc>
        <w:tc>
          <w:tcPr>
            <w:tcW w:w="1194" w:type="dxa"/>
            <w:tcBorders>
              <w:top w:val="nil"/>
              <w:left w:val="nil"/>
              <w:bottom w:val="single" w:sz="4" w:space="0" w:color="auto"/>
              <w:right w:val="single" w:sz="4" w:space="0" w:color="auto"/>
            </w:tcBorders>
            <w:shd w:val="clear" w:color="auto" w:fill="auto"/>
            <w:noWrap/>
            <w:vAlign w:val="center"/>
            <w:hideMark/>
          </w:tcPr>
          <w:p w14:paraId="3043C7E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10,50</w:t>
            </w:r>
          </w:p>
        </w:tc>
        <w:tc>
          <w:tcPr>
            <w:tcW w:w="1194" w:type="dxa"/>
            <w:tcBorders>
              <w:top w:val="nil"/>
              <w:left w:val="nil"/>
              <w:bottom w:val="single" w:sz="4" w:space="0" w:color="auto"/>
              <w:right w:val="single" w:sz="4" w:space="0" w:color="auto"/>
            </w:tcBorders>
            <w:shd w:val="clear" w:color="auto" w:fill="auto"/>
            <w:noWrap/>
            <w:vAlign w:val="center"/>
            <w:hideMark/>
          </w:tcPr>
          <w:p w14:paraId="3358203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11,18</w:t>
            </w:r>
          </w:p>
        </w:tc>
        <w:tc>
          <w:tcPr>
            <w:tcW w:w="1194" w:type="dxa"/>
            <w:tcBorders>
              <w:top w:val="nil"/>
              <w:left w:val="nil"/>
              <w:bottom w:val="single" w:sz="4" w:space="0" w:color="auto"/>
              <w:right w:val="single" w:sz="4" w:space="0" w:color="auto"/>
            </w:tcBorders>
            <w:shd w:val="clear" w:color="auto" w:fill="auto"/>
            <w:noWrap/>
            <w:vAlign w:val="center"/>
            <w:hideMark/>
          </w:tcPr>
          <w:p w14:paraId="56D996A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9,42</w:t>
            </w:r>
          </w:p>
        </w:tc>
      </w:tr>
      <w:tr w:rsidR="00BF12D5" w:rsidRPr="00BD0223" w14:paraId="6F9F409B"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5B63119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BEBEDOURO</w:t>
            </w:r>
          </w:p>
        </w:tc>
        <w:tc>
          <w:tcPr>
            <w:tcW w:w="1194" w:type="dxa"/>
            <w:tcBorders>
              <w:top w:val="nil"/>
              <w:left w:val="nil"/>
              <w:bottom w:val="single" w:sz="4" w:space="0" w:color="auto"/>
              <w:right w:val="single" w:sz="4" w:space="0" w:color="auto"/>
            </w:tcBorders>
            <w:shd w:val="clear" w:color="auto" w:fill="auto"/>
            <w:noWrap/>
            <w:vAlign w:val="center"/>
            <w:hideMark/>
          </w:tcPr>
          <w:p w14:paraId="02A69DC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14,71</w:t>
            </w:r>
          </w:p>
        </w:tc>
        <w:tc>
          <w:tcPr>
            <w:tcW w:w="1194" w:type="dxa"/>
            <w:tcBorders>
              <w:top w:val="nil"/>
              <w:left w:val="nil"/>
              <w:bottom w:val="single" w:sz="4" w:space="0" w:color="auto"/>
              <w:right w:val="single" w:sz="4" w:space="0" w:color="auto"/>
            </w:tcBorders>
            <w:shd w:val="clear" w:color="auto" w:fill="auto"/>
            <w:noWrap/>
            <w:vAlign w:val="center"/>
            <w:hideMark/>
          </w:tcPr>
          <w:p w14:paraId="4D00BA6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14,94</w:t>
            </w:r>
          </w:p>
        </w:tc>
        <w:tc>
          <w:tcPr>
            <w:tcW w:w="1194" w:type="dxa"/>
            <w:tcBorders>
              <w:top w:val="nil"/>
              <w:left w:val="nil"/>
              <w:bottom w:val="single" w:sz="4" w:space="0" w:color="auto"/>
              <w:right w:val="single" w:sz="4" w:space="0" w:color="auto"/>
            </w:tcBorders>
            <w:shd w:val="clear" w:color="auto" w:fill="auto"/>
            <w:noWrap/>
            <w:vAlign w:val="center"/>
            <w:hideMark/>
          </w:tcPr>
          <w:p w14:paraId="2FFC08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14,82</w:t>
            </w:r>
          </w:p>
        </w:tc>
        <w:tc>
          <w:tcPr>
            <w:tcW w:w="1194" w:type="dxa"/>
            <w:tcBorders>
              <w:top w:val="nil"/>
              <w:left w:val="nil"/>
              <w:bottom w:val="single" w:sz="4" w:space="0" w:color="auto"/>
              <w:right w:val="single" w:sz="4" w:space="0" w:color="auto"/>
            </w:tcBorders>
            <w:shd w:val="clear" w:color="auto" w:fill="auto"/>
            <w:noWrap/>
            <w:vAlign w:val="center"/>
            <w:hideMark/>
          </w:tcPr>
          <w:p w14:paraId="72CE4E5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11,93</w:t>
            </w:r>
          </w:p>
        </w:tc>
      </w:tr>
      <w:tr w:rsidR="00BF12D5" w:rsidRPr="00BD0223" w14:paraId="589EC07A"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B7E69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lastRenderedPageBreak/>
              <w:t>BRODOWSKI</w:t>
            </w:r>
          </w:p>
        </w:tc>
        <w:tc>
          <w:tcPr>
            <w:tcW w:w="1194" w:type="dxa"/>
            <w:tcBorders>
              <w:top w:val="nil"/>
              <w:left w:val="nil"/>
              <w:bottom w:val="single" w:sz="4" w:space="0" w:color="auto"/>
              <w:right w:val="single" w:sz="4" w:space="0" w:color="auto"/>
            </w:tcBorders>
            <w:shd w:val="clear" w:color="auto" w:fill="auto"/>
            <w:noWrap/>
            <w:vAlign w:val="center"/>
            <w:hideMark/>
          </w:tcPr>
          <w:p w14:paraId="4BAAE24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5,07</w:t>
            </w:r>
          </w:p>
        </w:tc>
        <w:tc>
          <w:tcPr>
            <w:tcW w:w="1194" w:type="dxa"/>
            <w:tcBorders>
              <w:top w:val="nil"/>
              <w:left w:val="nil"/>
              <w:bottom w:val="single" w:sz="4" w:space="0" w:color="auto"/>
              <w:right w:val="single" w:sz="4" w:space="0" w:color="auto"/>
            </w:tcBorders>
            <w:shd w:val="clear" w:color="auto" w:fill="auto"/>
            <w:noWrap/>
            <w:vAlign w:val="center"/>
            <w:hideMark/>
          </w:tcPr>
          <w:p w14:paraId="75B8AD1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5,16</w:t>
            </w:r>
          </w:p>
        </w:tc>
        <w:tc>
          <w:tcPr>
            <w:tcW w:w="1194" w:type="dxa"/>
            <w:tcBorders>
              <w:top w:val="nil"/>
              <w:left w:val="nil"/>
              <w:bottom w:val="single" w:sz="4" w:space="0" w:color="auto"/>
              <w:right w:val="single" w:sz="4" w:space="0" w:color="auto"/>
            </w:tcBorders>
            <w:shd w:val="clear" w:color="auto" w:fill="auto"/>
            <w:noWrap/>
            <w:vAlign w:val="center"/>
            <w:hideMark/>
          </w:tcPr>
          <w:p w14:paraId="48D534A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5,54</w:t>
            </w:r>
          </w:p>
        </w:tc>
        <w:tc>
          <w:tcPr>
            <w:tcW w:w="1194" w:type="dxa"/>
            <w:tcBorders>
              <w:top w:val="nil"/>
              <w:left w:val="nil"/>
              <w:bottom w:val="single" w:sz="4" w:space="0" w:color="auto"/>
              <w:right w:val="single" w:sz="4" w:space="0" w:color="auto"/>
            </w:tcBorders>
            <w:shd w:val="clear" w:color="auto" w:fill="auto"/>
            <w:noWrap/>
            <w:vAlign w:val="center"/>
            <w:hideMark/>
          </w:tcPr>
          <w:p w14:paraId="3650E6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4,76</w:t>
            </w:r>
          </w:p>
        </w:tc>
      </w:tr>
      <w:tr w:rsidR="00BF12D5" w:rsidRPr="00BD0223" w14:paraId="75ABF038"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5D4AF93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BURITIZAL</w:t>
            </w:r>
          </w:p>
        </w:tc>
        <w:tc>
          <w:tcPr>
            <w:tcW w:w="1194" w:type="dxa"/>
            <w:tcBorders>
              <w:top w:val="nil"/>
              <w:left w:val="nil"/>
              <w:bottom w:val="single" w:sz="4" w:space="0" w:color="auto"/>
              <w:right w:val="single" w:sz="4" w:space="0" w:color="auto"/>
            </w:tcBorders>
            <w:shd w:val="clear" w:color="auto" w:fill="auto"/>
            <w:noWrap/>
            <w:vAlign w:val="center"/>
            <w:hideMark/>
          </w:tcPr>
          <w:p w14:paraId="204868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0,91</w:t>
            </w:r>
          </w:p>
        </w:tc>
        <w:tc>
          <w:tcPr>
            <w:tcW w:w="1194" w:type="dxa"/>
            <w:tcBorders>
              <w:top w:val="nil"/>
              <w:left w:val="nil"/>
              <w:bottom w:val="single" w:sz="4" w:space="0" w:color="auto"/>
              <w:right w:val="single" w:sz="4" w:space="0" w:color="auto"/>
            </w:tcBorders>
            <w:shd w:val="clear" w:color="auto" w:fill="auto"/>
            <w:noWrap/>
            <w:vAlign w:val="center"/>
            <w:hideMark/>
          </w:tcPr>
          <w:p w14:paraId="14E6CA6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1,03</w:t>
            </w:r>
          </w:p>
        </w:tc>
        <w:tc>
          <w:tcPr>
            <w:tcW w:w="1194" w:type="dxa"/>
            <w:tcBorders>
              <w:top w:val="nil"/>
              <w:left w:val="nil"/>
              <w:bottom w:val="single" w:sz="4" w:space="0" w:color="auto"/>
              <w:right w:val="single" w:sz="4" w:space="0" w:color="auto"/>
            </w:tcBorders>
            <w:shd w:val="clear" w:color="auto" w:fill="auto"/>
            <w:noWrap/>
            <w:vAlign w:val="center"/>
            <w:hideMark/>
          </w:tcPr>
          <w:p w14:paraId="74EF2CD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0,85</w:t>
            </w:r>
          </w:p>
        </w:tc>
        <w:tc>
          <w:tcPr>
            <w:tcW w:w="1194" w:type="dxa"/>
            <w:tcBorders>
              <w:top w:val="nil"/>
              <w:left w:val="nil"/>
              <w:bottom w:val="single" w:sz="4" w:space="0" w:color="auto"/>
              <w:right w:val="single" w:sz="4" w:space="0" w:color="auto"/>
            </w:tcBorders>
            <w:shd w:val="clear" w:color="auto" w:fill="auto"/>
            <w:noWrap/>
            <w:vAlign w:val="center"/>
            <w:hideMark/>
          </w:tcPr>
          <w:p w14:paraId="16988ED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0,76</w:t>
            </w:r>
          </w:p>
        </w:tc>
      </w:tr>
      <w:tr w:rsidR="00BF12D5" w:rsidRPr="00BD0223" w14:paraId="11EC16AC"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02B7DB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CAJOBI</w:t>
            </w:r>
          </w:p>
        </w:tc>
        <w:tc>
          <w:tcPr>
            <w:tcW w:w="1194" w:type="dxa"/>
            <w:tcBorders>
              <w:top w:val="nil"/>
              <w:left w:val="nil"/>
              <w:bottom w:val="single" w:sz="4" w:space="0" w:color="auto"/>
              <w:right w:val="single" w:sz="4" w:space="0" w:color="auto"/>
            </w:tcBorders>
            <w:shd w:val="clear" w:color="auto" w:fill="auto"/>
            <w:noWrap/>
            <w:vAlign w:val="center"/>
            <w:hideMark/>
          </w:tcPr>
          <w:p w14:paraId="7F81D81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0,77</w:t>
            </w:r>
          </w:p>
        </w:tc>
        <w:tc>
          <w:tcPr>
            <w:tcW w:w="1194" w:type="dxa"/>
            <w:tcBorders>
              <w:top w:val="nil"/>
              <w:left w:val="nil"/>
              <w:bottom w:val="single" w:sz="4" w:space="0" w:color="auto"/>
              <w:right w:val="single" w:sz="4" w:space="0" w:color="auto"/>
            </w:tcBorders>
            <w:shd w:val="clear" w:color="auto" w:fill="auto"/>
            <w:noWrap/>
            <w:vAlign w:val="center"/>
            <w:hideMark/>
          </w:tcPr>
          <w:p w14:paraId="334D21E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0,85</w:t>
            </w:r>
          </w:p>
        </w:tc>
        <w:tc>
          <w:tcPr>
            <w:tcW w:w="1194" w:type="dxa"/>
            <w:tcBorders>
              <w:top w:val="nil"/>
              <w:left w:val="nil"/>
              <w:bottom w:val="single" w:sz="4" w:space="0" w:color="auto"/>
              <w:right w:val="single" w:sz="4" w:space="0" w:color="auto"/>
            </w:tcBorders>
            <w:shd w:val="clear" w:color="auto" w:fill="auto"/>
            <w:noWrap/>
            <w:vAlign w:val="center"/>
            <w:hideMark/>
          </w:tcPr>
          <w:p w14:paraId="3119C86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0,73</w:t>
            </w:r>
          </w:p>
        </w:tc>
        <w:tc>
          <w:tcPr>
            <w:tcW w:w="1194" w:type="dxa"/>
            <w:tcBorders>
              <w:top w:val="nil"/>
              <w:left w:val="nil"/>
              <w:bottom w:val="single" w:sz="4" w:space="0" w:color="auto"/>
              <w:right w:val="single" w:sz="4" w:space="0" w:color="auto"/>
            </w:tcBorders>
            <w:shd w:val="clear" w:color="auto" w:fill="auto"/>
            <w:noWrap/>
            <w:vAlign w:val="center"/>
            <w:hideMark/>
          </w:tcPr>
          <w:p w14:paraId="452AB19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0,51</w:t>
            </w:r>
          </w:p>
        </w:tc>
      </w:tr>
      <w:tr w:rsidR="00BF12D5" w:rsidRPr="00BD0223" w14:paraId="31901F35"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92E810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CAJURU</w:t>
            </w:r>
          </w:p>
        </w:tc>
        <w:tc>
          <w:tcPr>
            <w:tcW w:w="1194" w:type="dxa"/>
            <w:tcBorders>
              <w:top w:val="nil"/>
              <w:left w:val="nil"/>
              <w:bottom w:val="single" w:sz="4" w:space="0" w:color="auto"/>
              <w:right w:val="single" w:sz="4" w:space="0" w:color="auto"/>
            </w:tcBorders>
            <w:shd w:val="clear" w:color="auto" w:fill="auto"/>
            <w:noWrap/>
            <w:vAlign w:val="center"/>
            <w:hideMark/>
          </w:tcPr>
          <w:p w14:paraId="7818BA6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3,86</w:t>
            </w:r>
          </w:p>
        </w:tc>
        <w:tc>
          <w:tcPr>
            <w:tcW w:w="1194" w:type="dxa"/>
            <w:tcBorders>
              <w:top w:val="nil"/>
              <w:left w:val="nil"/>
              <w:bottom w:val="single" w:sz="4" w:space="0" w:color="auto"/>
              <w:right w:val="single" w:sz="4" w:space="0" w:color="auto"/>
            </w:tcBorders>
            <w:shd w:val="clear" w:color="auto" w:fill="auto"/>
            <w:noWrap/>
            <w:vAlign w:val="center"/>
            <w:hideMark/>
          </w:tcPr>
          <w:p w14:paraId="67B367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3,96</w:t>
            </w:r>
          </w:p>
        </w:tc>
        <w:tc>
          <w:tcPr>
            <w:tcW w:w="1194" w:type="dxa"/>
            <w:tcBorders>
              <w:top w:val="nil"/>
              <w:left w:val="nil"/>
              <w:bottom w:val="single" w:sz="4" w:space="0" w:color="auto"/>
              <w:right w:val="single" w:sz="4" w:space="0" w:color="auto"/>
            </w:tcBorders>
            <w:shd w:val="clear" w:color="auto" w:fill="auto"/>
            <w:noWrap/>
            <w:vAlign w:val="center"/>
            <w:hideMark/>
          </w:tcPr>
          <w:p w14:paraId="68A1AC1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4,19</w:t>
            </w:r>
          </w:p>
        </w:tc>
        <w:tc>
          <w:tcPr>
            <w:tcW w:w="1194" w:type="dxa"/>
            <w:tcBorders>
              <w:top w:val="nil"/>
              <w:left w:val="nil"/>
              <w:bottom w:val="single" w:sz="4" w:space="0" w:color="auto"/>
              <w:right w:val="single" w:sz="4" w:space="0" w:color="auto"/>
            </w:tcBorders>
            <w:shd w:val="clear" w:color="auto" w:fill="auto"/>
            <w:noWrap/>
            <w:vAlign w:val="center"/>
            <w:hideMark/>
          </w:tcPr>
          <w:p w14:paraId="1D53C3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3,26</w:t>
            </w:r>
          </w:p>
        </w:tc>
      </w:tr>
      <w:tr w:rsidR="00BF12D5" w:rsidRPr="00BD0223" w14:paraId="57753A0D"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10A125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CANDIDO RODRIGUES</w:t>
            </w:r>
          </w:p>
        </w:tc>
        <w:tc>
          <w:tcPr>
            <w:tcW w:w="1194" w:type="dxa"/>
            <w:tcBorders>
              <w:top w:val="nil"/>
              <w:left w:val="nil"/>
              <w:bottom w:val="single" w:sz="4" w:space="0" w:color="auto"/>
              <w:right w:val="single" w:sz="4" w:space="0" w:color="auto"/>
            </w:tcBorders>
            <w:shd w:val="clear" w:color="auto" w:fill="auto"/>
            <w:noWrap/>
            <w:vAlign w:val="center"/>
            <w:hideMark/>
          </w:tcPr>
          <w:p w14:paraId="7A6F590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194" w:type="dxa"/>
            <w:tcBorders>
              <w:top w:val="nil"/>
              <w:left w:val="nil"/>
              <w:bottom w:val="single" w:sz="4" w:space="0" w:color="auto"/>
              <w:right w:val="single" w:sz="4" w:space="0" w:color="auto"/>
            </w:tcBorders>
            <w:shd w:val="clear" w:color="auto" w:fill="auto"/>
            <w:noWrap/>
            <w:vAlign w:val="center"/>
            <w:hideMark/>
          </w:tcPr>
          <w:p w14:paraId="1CB6E97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0,30</w:t>
            </w:r>
          </w:p>
        </w:tc>
        <w:tc>
          <w:tcPr>
            <w:tcW w:w="1194" w:type="dxa"/>
            <w:tcBorders>
              <w:top w:val="nil"/>
              <w:left w:val="nil"/>
              <w:bottom w:val="single" w:sz="4" w:space="0" w:color="auto"/>
              <w:right w:val="single" w:sz="4" w:space="0" w:color="auto"/>
            </w:tcBorders>
            <w:shd w:val="clear" w:color="auto" w:fill="auto"/>
            <w:noWrap/>
            <w:vAlign w:val="center"/>
            <w:hideMark/>
          </w:tcPr>
          <w:p w14:paraId="3028292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0,28</w:t>
            </w:r>
          </w:p>
        </w:tc>
        <w:tc>
          <w:tcPr>
            <w:tcW w:w="1194" w:type="dxa"/>
            <w:tcBorders>
              <w:top w:val="nil"/>
              <w:left w:val="nil"/>
              <w:bottom w:val="single" w:sz="4" w:space="0" w:color="auto"/>
              <w:right w:val="single" w:sz="4" w:space="0" w:color="auto"/>
            </w:tcBorders>
            <w:shd w:val="clear" w:color="auto" w:fill="auto"/>
            <w:noWrap/>
            <w:vAlign w:val="center"/>
            <w:hideMark/>
          </w:tcPr>
          <w:p w14:paraId="0FC018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0,22</w:t>
            </w:r>
          </w:p>
        </w:tc>
      </w:tr>
      <w:tr w:rsidR="00BF12D5" w:rsidRPr="00BD0223" w14:paraId="7600BCC4"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740F0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CARDOSO</w:t>
            </w:r>
          </w:p>
        </w:tc>
        <w:tc>
          <w:tcPr>
            <w:tcW w:w="1194" w:type="dxa"/>
            <w:tcBorders>
              <w:top w:val="nil"/>
              <w:left w:val="nil"/>
              <w:bottom w:val="single" w:sz="4" w:space="0" w:color="auto"/>
              <w:right w:val="single" w:sz="4" w:space="0" w:color="auto"/>
            </w:tcBorders>
            <w:shd w:val="clear" w:color="auto" w:fill="auto"/>
            <w:noWrap/>
            <w:vAlign w:val="center"/>
            <w:hideMark/>
          </w:tcPr>
          <w:p w14:paraId="215BCCD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1,60</w:t>
            </w:r>
          </w:p>
        </w:tc>
        <w:tc>
          <w:tcPr>
            <w:tcW w:w="1194" w:type="dxa"/>
            <w:tcBorders>
              <w:top w:val="nil"/>
              <w:left w:val="nil"/>
              <w:bottom w:val="single" w:sz="4" w:space="0" w:color="auto"/>
              <w:right w:val="single" w:sz="4" w:space="0" w:color="auto"/>
            </w:tcBorders>
            <w:shd w:val="clear" w:color="auto" w:fill="auto"/>
            <w:noWrap/>
            <w:vAlign w:val="center"/>
            <w:hideMark/>
          </w:tcPr>
          <w:p w14:paraId="59CD4B9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1,74</w:t>
            </w:r>
          </w:p>
        </w:tc>
        <w:tc>
          <w:tcPr>
            <w:tcW w:w="1194" w:type="dxa"/>
            <w:tcBorders>
              <w:top w:val="nil"/>
              <w:left w:val="nil"/>
              <w:bottom w:val="single" w:sz="4" w:space="0" w:color="auto"/>
              <w:right w:val="single" w:sz="4" w:space="0" w:color="auto"/>
            </w:tcBorders>
            <w:shd w:val="clear" w:color="auto" w:fill="auto"/>
            <w:noWrap/>
            <w:vAlign w:val="center"/>
            <w:hideMark/>
          </w:tcPr>
          <w:p w14:paraId="33D9954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1,70</w:t>
            </w:r>
          </w:p>
        </w:tc>
        <w:tc>
          <w:tcPr>
            <w:tcW w:w="1194" w:type="dxa"/>
            <w:tcBorders>
              <w:top w:val="nil"/>
              <w:left w:val="nil"/>
              <w:bottom w:val="single" w:sz="4" w:space="0" w:color="auto"/>
              <w:right w:val="single" w:sz="4" w:space="0" w:color="auto"/>
            </w:tcBorders>
            <w:shd w:val="clear" w:color="auto" w:fill="auto"/>
            <w:noWrap/>
            <w:vAlign w:val="center"/>
            <w:hideMark/>
          </w:tcPr>
          <w:p w14:paraId="3D40B2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1,36</w:t>
            </w:r>
          </w:p>
        </w:tc>
      </w:tr>
      <w:tr w:rsidR="00BF12D5" w:rsidRPr="00BD0223" w14:paraId="286E2A5D"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556A9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CASSIA DOS COQUEIROS</w:t>
            </w:r>
          </w:p>
        </w:tc>
        <w:tc>
          <w:tcPr>
            <w:tcW w:w="1194" w:type="dxa"/>
            <w:tcBorders>
              <w:top w:val="nil"/>
              <w:left w:val="nil"/>
              <w:bottom w:val="single" w:sz="4" w:space="0" w:color="auto"/>
              <w:right w:val="single" w:sz="4" w:space="0" w:color="auto"/>
            </w:tcBorders>
            <w:shd w:val="clear" w:color="auto" w:fill="auto"/>
            <w:noWrap/>
            <w:vAlign w:val="center"/>
            <w:hideMark/>
          </w:tcPr>
          <w:p w14:paraId="38B2A9D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0,26</w:t>
            </w:r>
          </w:p>
        </w:tc>
        <w:tc>
          <w:tcPr>
            <w:tcW w:w="1194" w:type="dxa"/>
            <w:tcBorders>
              <w:top w:val="nil"/>
              <w:left w:val="nil"/>
              <w:bottom w:val="single" w:sz="4" w:space="0" w:color="auto"/>
              <w:right w:val="single" w:sz="4" w:space="0" w:color="auto"/>
            </w:tcBorders>
            <w:shd w:val="clear" w:color="auto" w:fill="auto"/>
            <w:noWrap/>
            <w:vAlign w:val="center"/>
            <w:hideMark/>
          </w:tcPr>
          <w:p w14:paraId="392A520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0,27</w:t>
            </w:r>
          </w:p>
        </w:tc>
        <w:tc>
          <w:tcPr>
            <w:tcW w:w="1194" w:type="dxa"/>
            <w:tcBorders>
              <w:top w:val="nil"/>
              <w:left w:val="nil"/>
              <w:bottom w:val="single" w:sz="4" w:space="0" w:color="auto"/>
              <w:right w:val="single" w:sz="4" w:space="0" w:color="auto"/>
            </w:tcBorders>
            <w:shd w:val="clear" w:color="auto" w:fill="auto"/>
            <w:noWrap/>
            <w:vAlign w:val="center"/>
            <w:hideMark/>
          </w:tcPr>
          <w:p w14:paraId="2798D35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0,27</w:t>
            </w:r>
          </w:p>
        </w:tc>
        <w:tc>
          <w:tcPr>
            <w:tcW w:w="1194" w:type="dxa"/>
            <w:tcBorders>
              <w:top w:val="nil"/>
              <w:left w:val="nil"/>
              <w:bottom w:val="single" w:sz="4" w:space="0" w:color="auto"/>
              <w:right w:val="single" w:sz="4" w:space="0" w:color="auto"/>
            </w:tcBorders>
            <w:shd w:val="clear" w:color="auto" w:fill="auto"/>
            <w:noWrap/>
            <w:vAlign w:val="center"/>
            <w:hideMark/>
          </w:tcPr>
          <w:p w14:paraId="2CF0AE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0,19</w:t>
            </w:r>
          </w:p>
        </w:tc>
      </w:tr>
      <w:tr w:rsidR="00BF12D5" w:rsidRPr="00BD0223" w14:paraId="74175276"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55C075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CATANDUVA</w:t>
            </w:r>
          </w:p>
        </w:tc>
        <w:tc>
          <w:tcPr>
            <w:tcW w:w="1194" w:type="dxa"/>
            <w:tcBorders>
              <w:top w:val="nil"/>
              <w:left w:val="nil"/>
              <w:bottom w:val="single" w:sz="4" w:space="0" w:color="auto"/>
              <w:right w:val="single" w:sz="4" w:space="0" w:color="auto"/>
            </w:tcBorders>
            <w:shd w:val="clear" w:color="auto" w:fill="auto"/>
            <w:noWrap/>
            <w:vAlign w:val="center"/>
            <w:hideMark/>
          </w:tcPr>
          <w:p w14:paraId="5692F22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20,33</w:t>
            </w:r>
          </w:p>
        </w:tc>
        <w:tc>
          <w:tcPr>
            <w:tcW w:w="1194" w:type="dxa"/>
            <w:tcBorders>
              <w:top w:val="nil"/>
              <w:left w:val="nil"/>
              <w:bottom w:val="single" w:sz="4" w:space="0" w:color="auto"/>
              <w:right w:val="single" w:sz="4" w:space="0" w:color="auto"/>
            </w:tcBorders>
            <w:shd w:val="clear" w:color="auto" w:fill="auto"/>
            <w:noWrap/>
            <w:vAlign w:val="center"/>
            <w:hideMark/>
          </w:tcPr>
          <w:p w14:paraId="5E6139B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21,59</w:t>
            </w:r>
          </w:p>
        </w:tc>
        <w:tc>
          <w:tcPr>
            <w:tcW w:w="1194" w:type="dxa"/>
            <w:tcBorders>
              <w:top w:val="nil"/>
              <w:left w:val="nil"/>
              <w:bottom w:val="single" w:sz="4" w:space="0" w:color="auto"/>
              <w:right w:val="single" w:sz="4" w:space="0" w:color="auto"/>
            </w:tcBorders>
            <w:shd w:val="clear" w:color="auto" w:fill="auto"/>
            <w:noWrap/>
            <w:vAlign w:val="center"/>
            <w:hideMark/>
          </w:tcPr>
          <w:p w14:paraId="52F09A2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21,38</w:t>
            </w:r>
          </w:p>
        </w:tc>
        <w:tc>
          <w:tcPr>
            <w:tcW w:w="1194" w:type="dxa"/>
            <w:tcBorders>
              <w:top w:val="nil"/>
              <w:left w:val="nil"/>
              <w:bottom w:val="single" w:sz="4" w:space="0" w:color="auto"/>
              <w:right w:val="single" w:sz="4" w:space="0" w:color="auto"/>
            </w:tcBorders>
            <w:shd w:val="clear" w:color="auto" w:fill="auto"/>
            <w:noWrap/>
            <w:vAlign w:val="center"/>
            <w:hideMark/>
          </w:tcPr>
          <w:p w14:paraId="735738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17,21</w:t>
            </w:r>
          </w:p>
        </w:tc>
      </w:tr>
      <w:tr w:rsidR="00BF12D5" w:rsidRPr="00BD0223" w14:paraId="70DD37AB"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DC3622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CATIGUA</w:t>
            </w:r>
          </w:p>
        </w:tc>
        <w:tc>
          <w:tcPr>
            <w:tcW w:w="1194" w:type="dxa"/>
            <w:tcBorders>
              <w:top w:val="nil"/>
              <w:left w:val="nil"/>
              <w:bottom w:val="single" w:sz="4" w:space="0" w:color="auto"/>
              <w:right w:val="single" w:sz="4" w:space="0" w:color="auto"/>
            </w:tcBorders>
            <w:shd w:val="clear" w:color="auto" w:fill="auto"/>
            <w:noWrap/>
            <w:vAlign w:val="center"/>
            <w:hideMark/>
          </w:tcPr>
          <w:p w14:paraId="0B98E0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1,48</w:t>
            </w:r>
          </w:p>
        </w:tc>
        <w:tc>
          <w:tcPr>
            <w:tcW w:w="1194" w:type="dxa"/>
            <w:tcBorders>
              <w:top w:val="nil"/>
              <w:left w:val="nil"/>
              <w:bottom w:val="single" w:sz="4" w:space="0" w:color="auto"/>
              <w:right w:val="single" w:sz="4" w:space="0" w:color="auto"/>
            </w:tcBorders>
            <w:shd w:val="clear" w:color="auto" w:fill="auto"/>
            <w:noWrap/>
            <w:vAlign w:val="center"/>
            <w:hideMark/>
          </w:tcPr>
          <w:p w14:paraId="02F7335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1,56</w:t>
            </w:r>
          </w:p>
        </w:tc>
        <w:tc>
          <w:tcPr>
            <w:tcW w:w="1194" w:type="dxa"/>
            <w:tcBorders>
              <w:top w:val="nil"/>
              <w:left w:val="nil"/>
              <w:bottom w:val="single" w:sz="4" w:space="0" w:color="auto"/>
              <w:right w:val="single" w:sz="4" w:space="0" w:color="auto"/>
            </w:tcBorders>
            <w:shd w:val="clear" w:color="auto" w:fill="auto"/>
            <w:noWrap/>
            <w:vAlign w:val="center"/>
            <w:hideMark/>
          </w:tcPr>
          <w:p w14:paraId="607934C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1,31</w:t>
            </w:r>
          </w:p>
        </w:tc>
        <w:tc>
          <w:tcPr>
            <w:tcW w:w="1194" w:type="dxa"/>
            <w:tcBorders>
              <w:top w:val="nil"/>
              <w:left w:val="nil"/>
              <w:bottom w:val="single" w:sz="4" w:space="0" w:color="auto"/>
              <w:right w:val="single" w:sz="4" w:space="0" w:color="auto"/>
            </w:tcBorders>
            <w:shd w:val="clear" w:color="auto" w:fill="auto"/>
            <w:noWrap/>
            <w:vAlign w:val="center"/>
            <w:hideMark/>
          </w:tcPr>
          <w:p w14:paraId="24EB45B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1,05</w:t>
            </w:r>
          </w:p>
        </w:tc>
      </w:tr>
      <w:tr w:rsidR="00BF12D5" w:rsidRPr="00BD0223" w14:paraId="5BD5C5DD"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1AD86F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CEDRAL</w:t>
            </w:r>
          </w:p>
        </w:tc>
        <w:tc>
          <w:tcPr>
            <w:tcW w:w="1194" w:type="dxa"/>
            <w:tcBorders>
              <w:top w:val="nil"/>
              <w:left w:val="nil"/>
              <w:bottom w:val="single" w:sz="4" w:space="0" w:color="auto"/>
              <w:right w:val="single" w:sz="4" w:space="0" w:color="auto"/>
            </w:tcBorders>
            <w:shd w:val="clear" w:color="auto" w:fill="auto"/>
            <w:noWrap/>
            <w:vAlign w:val="center"/>
            <w:hideMark/>
          </w:tcPr>
          <w:p w14:paraId="291EB4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2,07</w:t>
            </w:r>
          </w:p>
        </w:tc>
        <w:tc>
          <w:tcPr>
            <w:tcW w:w="1194" w:type="dxa"/>
            <w:tcBorders>
              <w:top w:val="nil"/>
              <w:left w:val="nil"/>
              <w:bottom w:val="single" w:sz="4" w:space="0" w:color="auto"/>
              <w:right w:val="single" w:sz="4" w:space="0" w:color="auto"/>
            </w:tcBorders>
            <w:shd w:val="clear" w:color="auto" w:fill="auto"/>
            <w:noWrap/>
            <w:vAlign w:val="center"/>
            <w:hideMark/>
          </w:tcPr>
          <w:p w14:paraId="19EF25B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2,04</w:t>
            </w:r>
          </w:p>
        </w:tc>
        <w:tc>
          <w:tcPr>
            <w:tcW w:w="1194" w:type="dxa"/>
            <w:tcBorders>
              <w:top w:val="nil"/>
              <w:left w:val="nil"/>
              <w:bottom w:val="single" w:sz="4" w:space="0" w:color="auto"/>
              <w:right w:val="single" w:sz="4" w:space="0" w:color="auto"/>
            </w:tcBorders>
            <w:shd w:val="clear" w:color="auto" w:fill="auto"/>
            <w:noWrap/>
            <w:vAlign w:val="center"/>
            <w:hideMark/>
          </w:tcPr>
          <w:p w14:paraId="06872ED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2,04</w:t>
            </w:r>
          </w:p>
        </w:tc>
        <w:tc>
          <w:tcPr>
            <w:tcW w:w="1194" w:type="dxa"/>
            <w:tcBorders>
              <w:top w:val="nil"/>
              <w:left w:val="nil"/>
              <w:bottom w:val="single" w:sz="4" w:space="0" w:color="auto"/>
              <w:right w:val="single" w:sz="4" w:space="0" w:color="auto"/>
            </w:tcBorders>
            <w:shd w:val="clear" w:color="auto" w:fill="auto"/>
            <w:noWrap/>
            <w:vAlign w:val="center"/>
            <w:hideMark/>
          </w:tcPr>
          <w:p w14:paraId="0B1C683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1,60</w:t>
            </w:r>
          </w:p>
        </w:tc>
      </w:tr>
      <w:tr w:rsidR="00BF12D5" w:rsidRPr="00BD0223" w14:paraId="27BEFE88"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314939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COLINA</w:t>
            </w:r>
          </w:p>
        </w:tc>
        <w:tc>
          <w:tcPr>
            <w:tcW w:w="1194" w:type="dxa"/>
            <w:tcBorders>
              <w:top w:val="nil"/>
              <w:left w:val="nil"/>
              <w:bottom w:val="single" w:sz="4" w:space="0" w:color="auto"/>
              <w:right w:val="single" w:sz="4" w:space="0" w:color="auto"/>
            </w:tcBorders>
            <w:shd w:val="clear" w:color="auto" w:fill="auto"/>
            <w:noWrap/>
            <w:vAlign w:val="center"/>
            <w:hideMark/>
          </w:tcPr>
          <w:p w14:paraId="376FD03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2,23</w:t>
            </w:r>
          </w:p>
        </w:tc>
        <w:tc>
          <w:tcPr>
            <w:tcW w:w="1194" w:type="dxa"/>
            <w:tcBorders>
              <w:top w:val="nil"/>
              <w:left w:val="nil"/>
              <w:bottom w:val="single" w:sz="4" w:space="0" w:color="auto"/>
              <w:right w:val="single" w:sz="4" w:space="0" w:color="auto"/>
            </w:tcBorders>
            <w:shd w:val="clear" w:color="auto" w:fill="auto"/>
            <w:noWrap/>
            <w:vAlign w:val="center"/>
            <w:hideMark/>
          </w:tcPr>
          <w:p w14:paraId="5792BFB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2,42</w:t>
            </w:r>
          </w:p>
        </w:tc>
        <w:tc>
          <w:tcPr>
            <w:tcW w:w="1194" w:type="dxa"/>
            <w:tcBorders>
              <w:top w:val="nil"/>
              <w:left w:val="nil"/>
              <w:bottom w:val="single" w:sz="4" w:space="0" w:color="auto"/>
              <w:right w:val="single" w:sz="4" w:space="0" w:color="auto"/>
            </w:tcBorders>
            <w:shd w:val="clear" w:color="auto" w:fill="auto"/>
            <w:noWrap/>
            <w:vAlign w:val="center"/>
            <w:hideMark/>
          </w:tcPr>
          <w:p w14:paraId="33D0C59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2,48</w:t>
            </w:r>
          </w:p>
        </w:tc>
        <w:tc>
          <w:tcPr>
            <w:tcW w:w="1194" w:type="dxa"/>
            <w:tcBorders>
              <w:top w:val="nil"/>
              <w:left w:val="nil"/>
              <w:bottom w:val="single" w:sz="4" w:space="0" w:color="auto"/>
              <w:right w:val="single" w:sz="4" w:space="0" w:color="auto"/>
            </w:tcBorders>
            <w:shd w:val="clear" w:color="auto" w:fill="auto"/>
            <w:noWrap/>
            <w:vAlign w:val="center"/>
            <w:hideMark/>
          </w:tcPr>
          <w:p w14:paraId="6B39E97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2,05</w:t>
            </w:r>
          </w:p>
        </w:tc>
      </w:tr>
      <w:tr w:rsidR="00BF12D5" w:rsidRPr="00BD0223" w14:paraId="11460336"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537822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COLOMBIA</w:t>
            </w:r>
          </w:p>
        </w:tc>
        <w:tc>
          <w:tcPr>
            <w:tcW w:w="1194" w:type="dxa"/>
            <w:tcBorders>
              <w:top w:val="nil"/>
              <w:left w:val="nil"/>
              <w:bottom w:val="single" w:sz="4" w:space="0" w:color="auto"/>
              <w:right w:val="single" w:sz="4" w:space="0" w:color="auto"/>
            </w:tcBorders>
            <w:shd w:val="clear" w:color="auto" w:fill="auto"/>
            <w:noWrap/>
            <w:vAlign w:val="center"/>
            <w:hideMark/>
          </w:tcPr>
          <w:p w14:paraId="1D889E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2,65</w:t>
            </w:r>
          </w:p>
        </w:tc>
        <w:tc>
          <w:tcPr>
            <w:tcW w:w="1194" w:type="dxa"/>
            <w:tcBorders>
              <w:top w:val="nil"/>
              <w:left w:val="nil"/>
              <w:bottom w:val="single" w:sz="4" w:space="0" w:color="auto"/>
              <w:right w:val="single" w:sz="4" w:space="0" w:color="auto"/>
            </w:tcBorders>
            <w:shd w:val="clear" w:color="auto" w:fill="auto"/>
            <w:noWrap/>
            <w:vAlign w:val="center"/>
            <w:hideMark/>
          </w:tcPr>
          <w:p w14:paraId="1D22810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2,47</w:t>
            </w:r>
          </w:p>
        </w:tc>
        <w:tc>
          <w:tcPr>
            <w:tcW w:w="1194" w:type="dxa"/>
            <w:tcBorders>
              <w:top w:val="nil"/>
              <w:left w:val="nil"/>
              <w:bottom w:val="single" w:sz="4" w:space="0" w:color="auto"/>
              <w:right w:val="single" w:sz="4" w:space="0" w:color="auto"/>
            </w:tcBorders>
            <w:shd w:val="clear" w:color="auto" w:fill="auto"/>
            <w:noWrap/>
            <w:vAlign w:val="center"/>
            <w:hideMark/>
          </w:tcPr>
          <w:p w14:paraId="4FBCBC4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3,26</w:t>
            </w:r>
          </w:p>
        </w:tc>
        <w:tc>
          <w:tcPr>
            <w:tcW w:w="1194" w:type="dxa"/>
            <w:tcBorders>
              <w:top w:val="nil"/>
              <w:left w:val="nil"/>
              <w:bottom w:val="single" w:sz="4" w:space="0" w:color="auto"/>
              <w:right w:val="single" w:sz="4" w:space="0" w:color="auto"/>
            </w:tcBorders>
            <w:shd w:val="clear" w:color="auto" w:fill="auto"/>
            <w:noWrap/>
            <w:vAlign w:val="center"/>
            <w:hideMark/>
          </w:tcPr>
          <w:p w14:paraId="168F44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2,90</w:t>
            </w:r>
          </w:p>
        </w:tc>
      </w:tr>
      <w:tr w:rsidR="00BF12D5" w:rsidRPr="00BD0223" w14:paraId="19350E44"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5F5D94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COSMORAMA</w:t>
            </w:r>
          </w:p>
        </w:tc>
        <w:tc>
          <w:tcPr>
            <w:tcW w:w="1194" w:type="dxa"/>
            <w:tcBorders>
              <w:top w:val="nil"/>
              <w:left w:val="nil"/>
              <w:bottom w:val="single" w:sz="4" w:space="0" w:color="auto"/>
              <w:right w:val="single" w:sz="4" w:space="0" w:color="auto"/>
            </w:tcBorders>
            <w:shd w:val="clear" w:color="auto" w:fill="auto"/>
            <w:noWrap/>
            <w:vAlign w:val="center"/>
            <w:hideMark/>
          </w:tcPr>
          <w:p w14:paraId="039C53A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0,80</w:t>
            </w:r>
          </w:p>
        </w:tc>
        <w:tc>
          <w:tcPr>
            <w:tcW w:w="1194" w:type="dxa"/>
            <w:tcBorders>
              <w:top w:val="nil"/>
              <w:left w:val="nil"/>
              <w:bottom w:val="single" w:sz="4" w:space="0" w:color="auto"/>
              <w:right w:val="single" w:sz="4" w:space="0" w:color="auto"/>
            </w:tcBorders>
            <w:shd w:val="clear" w:color="auto" w:fill="auto"/>
            <w:noWrap/>
            <w:vAlign w:val="center"/>
            <w:hideMark/>
          </w:tcPr>
          <w:p w14:paraId="1F41FA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0,73</w:t>
            </w:r>
          </w:p>
        </w:tc>
        <w:tc>
          <w:tcPr>
            <w:tcW w:w="1194" w:type="dxa"/>
            <w:tcBorders>
              <w:top w:val="nil"/>
              <w:left w:val="nil"/>
              <w:bottom w:val="single" w:sz="4" w:space="0" w:color="auto"/>
              <w:right w:val="single" w:sz="4" w:space="0" w:color="auto"/>
            </w:tcBorders>
            <w:shd w:val="clear" w:color="auto" w:fill="auto"/>
            <w:noWrap/>
            <w:vAlign w:val="center"/>
            <w:hideMark/>
          </w:tcPr>
          <w:p w14:paraId="41386E2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0,61</w:t>
            </w:r>
          </w:p>
        </w:tc>
        <w:tc>
          <w:tcPr>
            <w:tcW w:w="1194" w:type="dxa"/>
            <w:tcBorders>
              <w:top w:val="nil"/>
              <w:left w:val="nil"/>
              <w:bottom w:val="single" w:sz="4" w:space="0" w:color="auto"/>
              <w:right w:val="single" w:sz="4" w:space="0" w:color="auto"/>
            </w:tcBorders>
            <w:shd w:val="clear" w:color="auto" w:fill="auto"/>
            <w:noWrap/>
            <w:vAlign w:val="center"/>
            <w:hideMark/>
          </w:tcPr>
          <w:p w14:paraId="2CE646C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0,56</w:t>
            </w:r>
          </w:p>
        </w:tc>
      </w:tr>
      <w:tr w:rsidR="00BF12D5" w:rsidRPr="00BD0223" w14:paraId="7439CD74"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3710A5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CRAVINHOS</w:t>
            </w:r>
          </w:p>
        </w:tc>
        <w:tc>
          <w:tcPr>
            <w:tcW w:w="1194" w:type="dxa"/>
            <w:tcBorders>
              <w:top w:val="nil"/>
              <w:left w:val="nil"/>
              <w:bottom w:val="single" w:sz="4" w:space="0" w:color="auto"/>
              <w:right w:val="single" w:sz="4" w:space="0" w:color="auto"/>
            </w:tcBorders>
            <w:shd w:val="clear" w:color="auto" w:fill="auto"/>
            <w:noWrap/>
            <w:vAlign w:val="center"/>
            <w:hideMark/>
          </w:tcPr>
          <w:p w14:paraId="42A76C7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6,61</w:t>
            </w:r>
          </w:p>
        </w:tc>
        <w:tc>
          <w:tcPr>
            <w:tcW w:w="1194" w:type="dxa"/>
            <w:tcBorders>
              <w:top w:val="nil"/>
              <w:left w:val="nil"/>
              <w:bottom w:val="single" w:sz="4" w:space="0" w:color="auto"/>
              <w:right w:val="single" w:sz="4" w:space="0" w:color="auto"/>
            </w:tcBorders>
            <w:shd w:val="clear" w:color="auto" w:fill="auto"/>
            <w:noWrap/>
            <w:vAlign w:val="center"/>
            <w:hideMark/>
          </w:tcPr>
          <w:p w14:paraId="2BF8496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6,48</w:t>
            </w:r>
          </w:p>
        </w:tc>
        <w:tc>
          <w:tcPr>
            <w:tcW w:w="1194" w:type="dxa"/>
            <w:tcBorders>
              <w:top w:val="nil"/>
              <w:left w:val="nil"/>
              <w:bottom w:val="single" w:sz="4" w:space="0" w:color="auto"/>
              <w:right w:val="single" w:sz="4" w:space="0" w:color="auto"/>
            </w:tcBorders>
            <w:shd w:val="clear" w:color="auto" w:fill="auto"/>
            <w:noWrap/>
            <w:vAlign w:val="center"/>
            <w:hideMark/>
          </w:tcPr>
          <w:p w14:paraId="6F23BA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6,75</w:t>
            </w:r>
          </w:p>
        </w:tc>
        <w:tc>
          <w:tcPr>
            <w:tcW w:w="1194" w:type="dxa"/>
            <w:tcBorders>
              <w:top w:val="nil"/>
              <w:left w:val="nil"/>
              <w:bottom w:val="single" w:sz="4" w:space="0" w:color="auto"/>
              <w:right w:val="single" w:sz="4" w:space="0" w:color="auto"/>
            </w:tcBorders>
            <w:shd w:val="clear" w:color="auto" w:fill="auto"/>
            <w:noWrap/>
            <w:vAlign w:val="center"/>
            <w:hideMark/>
          </w:tcPr>
          <w:p w14:paraId="48AEC7F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5,93</w:t>
            </w:r>
          </w:p>
        </w:tc>
      </w:tr>
      <w:tr w:rsidR="00BF12D5" w:rsidRPr="00BD0223" w14:paraId="1D02916D"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88BD7F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CRISTAIS PAULISTA</w:t>
            </w:r>
          </w:p>
        </w:tc>
        <w:tc>
          <w:tcPr>
            <w:tcW w:w="1194" w:type="dxa"/>
            <w:tcBorders>
              <w:top w:val="nil"/>
              <w:left w:val="nil"/>
              <w:bottom w:val="single" w:sz="4" w:space="0" w:color="auto"/>
              <w:right w:val="single" w:sz="4" w:space="0" w:color="auto"/>
            </w:tcBorders>
            <w:shd w:val="clear" w:color="auto" w:fill="auto"/>
            <w:noWrap/>
            <w:vAlign w:val="center"/>
            <w:hideMark/>
          </w:tcPr>
          <w:p w14:paraId="57E9369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2,99</w:t>
            </w:r>
          </w:p>
        </w:tc>
        <w:tc>
          <w:tcPr>
            <w:tcW w:w="1194" w:type="dxa"/>
            <w:tcBorders>
              <w:top w:val="nil"/>
              <w:left w:val="nil"/>
              <w:bottom w:val="single" w:sz="4" w:space="0" w:color="auto"/>
              <w:right w:val="single" w:sz="4" w:space="0" w:color="auto"/>
            </w:tcBorders>
            <w:shd w:val="clear" w:color="auto" w:fill="auto"/>
            <w:noWrap/>
            <w:vAlign w:val="center"/>
            <w:hideMark/>
          </w:tcPr>
          <w:p w14:paraId="28E0DFA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1,93</w:t>
            </w:r>
          </w:p>
        </w:tc>
        <w:tc>
          <w:tcPr>
            <w:tcW w:w="1194" w:type="dxa"/>
            <w:tcBorders>
              <w:top w:val="nil"/>
              <w:left w:val="nil"/>
              <w:bottom w:val="single" w:sz="4" w:space="0" w:color="auto"/>
              <w:right w:val="single" w:sz="4" w:space="0" w:color="auto"/>
            </w:tcBorders>
            <w:shd w:val="clear" w:color="auto" w:fill="auto"/>
            <w:noWrap/>
            <w:vAlign w:val="center"/>
            <w:hideMark/>
          </w:tcPr>
          <w:p w14:paraId="55EFFEF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2,05</w:t>
            </w:r>
          </w:p>
        </w:tc>
        <w:tc>
          <w:tcPr>
            <w:tcW w:w="1194" w:type="dxa"/>
            <w:tcBorders>
              <w:top w:val="nil"/>
              <w:left w:val="nil"/>
              <w:bottom w:val="single" w:sz="4" w:space="0" w:color="auto"/>
              <w:right w:val="single" w:sz="4" w:space="0" w:color="auto"/>
            </w:tcBorders>
            <w:shd w:val="clear" w:color="auto" w:fill="auto"/>
            <w:noWrap/>
            <w:vAlign w:val="center"/>
            <w:hideMark/>
          </w:tcPr>
          <w:p w14:paraId="73158E5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1,67</w:t>
            </w:r>
          </w:p>
        </w:tc>
      </w:tr>
      <w:tr w:rsidR="00BF12D5" w:rsidRPr="00BD0223" w14:paraId="164DF8B7"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691B2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DIRCE REIS</w:t>
            </w:r>
          </w:p>
        </w:tc>
        <w:tc>
          <w:tcPr>
            <w:tcW w:w="1194" w:type="dxa"/>
            <w:tcBorders>
              <w:top w:val="nil"/>
              <w:left w:val="nil"/>
              <w:bottom w:val="single" w:sz="4" w:space="0" w:color="auto"/>
              <w:right w:val="single" w:sz="4" w:space="0" w:color="auto"/>
            </w:tcBorders>
            <w:shd w:val="clear" w:color="auto" w:fill="auto"/>
            <w:noWrap/>
            <w:vAlign w:val="center"/>
            <w:hideMark/>
          </w:tcPr>
          <w:p w14:paraId="1E844E4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0,14</w:t>
            </w:r>
          </w:p>
        </w:tc>
        <w:tc>
          <w:tcPr>
            <w:tcW w:w="1194" w:type="dxa"/>
            <w:tcBorders>
              <w:top w:val="nil"/>
              <w:left w:val="nil"/>
              <w:bottom w:val="single" w:sz="4" w:space="0" w:color="auto"/>
              <w:right w:val="single" w:sz="4" w:space="0" w:color="auto"/>
            </w:tcBorders>
            <w:shd w:val="clear" w:color="auto" w:fill="auto"/>
            <w:noWrap/>
            <w:vAlign w:val="center"/>
            <w:hideMark/>
          </w:tcPr>
          <w:p w14:paraId="54BB55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0,15</w:t>
            </w:r>
          </w:p>
        </w:tc>
        <w:tc>
          <w:tcPr>
            <w:tcW w:w="1194" w:type="dxa"/>
            <w:tcBorders>
              <w:top w:val="nil"/>
              <w:left w:val="nil"/>
              <w:bottom w:val="single" w:sz="4" w:space="0" w:color="auto"/>
              <w:right w:val="single" w:sz="4" w:space="0" w:color="auto"/>
            </w:tcBorders>
            <w:shd w:val="clear" w:color="auto" w:fill="auto"/>
            <w:noWrap/>
            <w:vAlign w:val="center"/>
            <w:hideMark/>
          </w:tcPr>
          <w:p w14:paraId="31CFD90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0,14</w:t>
            </w:r>
          </w:p>
        </w:tc>
        <w:tc>
          <w:tcPr>
            <w:tcW w:w="1194" w:type="dxa"/>
            <w:tcBorders>
              <w:top w:val="nil"/>
              <w:left w:val="nil"/>
              <w:bottom w:val="single" w:sz="4" w:space="0" w:color="auto"/>
              <w:right w:val="single" w:sz="4" w:space="0" w:color="auto"/>
            </w:tcBorders>
            <w:shd w:val="clear" w:color="auto" w:fill="auto"/>
            <w:noWrap/>
            <w:vAlign w:val="center"/>
            <w:hideMark/>
          </w:tcPr>
          <w:p w14:paraId="0DC694F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0,11</w:t>
            </w:r>
          </w:p>
        </w:tc>
      </w:tr>
      <w:tr w:rsidR="00BF12D5" w:rsidRPr="00BD0223" w14:paraId="5CD322E0"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84B394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DOLCINOPOLIS</w:t>
            </w:r>
          </w:p>
        </w:tc>
        <w:tc>
          <w:tcPr>
            <w:tcW w:w="1194" w:type="dxa"/>
            <w:tcBorders>
              <w:top w:val="nil"/>
              <w:left w:val="nil"/>
              <w:bottom w:val="single" w:sz="4" w:space="0" w:color="auto"/>
              <w:right w:val="single" w:sz="4" w:space="0" w:color="auto"/>
            </w:tcBorders>
            <w:shd w:val="clear" w:color="auto" w:fill="auto"/>
            <w:noWrap/>
            <w:vAlign w:val="center"/>
            <w:hideMark/>
          </w:tcPr>
          <w:p w14:paraId="08E2415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0,32</w:t>
            </w:r>
          </w:p>
        </w:tc>
        <w:tc>
          <w:tcPr>
            <w:tcW w:w="1194" w:type="dxa"/>
            <w:tcBorders>
              <w:top w:val="nil"/>
              <w:left w:val="nil"/>
              <w:bottom w:val="single" w:sz="4" w:space="0" w:color="auto"/>
              <w:right w:val="single" w:sz="4" w:space="0" w:color="auto"/>
            </w:tcBorders>
            <w:shd w:val="clear" w:color="auto" w:fill="auto"/>
            <w:noWrap/>
            <w:vAlign w:val="center"/>
            <w:hideMark/>
          </w:tcPr>
          <w:p w14:paraId="6AF1CF4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194" w:type="dxa"/>
            <w:tcBorders>
              <w:top w:val="nil"/>
              <w:left w:val="nil"/>
              <w:bottom w:val="single" w:sz="4" w:space="0" w:color="auto"/>
              <w:right w:val="single" w:sz="4" w:space="0" w:color="auto"/>
            </w:tcBorders>
            <w:shd w:val="clear" w:color="auto" w:fill="auto"/>
            <w:noWrap/>
            <w:vAlign w:val="center"/>
            <w:hideMark/>
          </w:tcPr>
          <w:p w14:paraId="59A95F0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0,27</w:t>
            </w:r>
          </w:p>
        </w:tc>
        <w:tc>
          <w:tcPr>
            <w:tcW w:w="1194" w:type="dxa"/>
            <w:tcBorders>
              <w:top w:val="nil"/>
              <w:left w:val="nil"/>
              <w:bottom w:val="single" w:sz="4" w:space="0" w:color="auto"/>
              <w:right w:val="single" w:sz="4" w:space="0" w:color="auto"/>
            </w:tcBorders>
            <w:shd w:val="clear" w:color="auto" w:fill="auto"/>
            <w:noWrap/>
            <w:vAlign w:val="center"/>
            <w:hideMark/>
          </w:tcPr>
          <w:p w14:paraId="51AFB58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0,23</w:t>
            </w:r>
          </w:p>
        </w:tc>
      </w:tr>
      <w:tr w:rsidR="00BF12D5" w:rsidRPr="00BD0223" w14:paraId="780F5A51"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AEDE5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DUMONT</w:t>
            </w:r>
          </w:p>
        </w:tc>
        <w:tc>
          <w:tcPr>
            <w:tcW w:w="1194" w:type="dxa"/>
            <w:tcBorders>
              <w:top w:val="nil"/>
              <w:left w:val="nil"/>
              <w:bottom w:val="single" w:sz="4" w:space="0" w:color="auto"/>
              <w:right w:val="single" w:sz="4" w:space="0" w:color="auto"/>
            </w:tcBorders>
            <w:shd w:val="clear" w:color="auto" w:fill="auto"/>
            <w:noWrap/>
            <w:vAlign w:val="center"/>
            <w:hideMark/>
          </w:tcPr>
          <w:p w14:paraId="0393288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1,07</w:t>
            </w:r>
          </w:p>
        </w:tc>
        <w:tc>
          <w:tcPr>
            <w:tcW w:w="1194" w:type="dxa"/>
            <w:tcBorders>
              <w:top w:val="nil"/>
              <w:left w:val="nil"/>
              <w:bottom w:val="single" w:sz="4" w:space="0" w:color="auto"/>
              <w:right w:val="single" w:sz="4" w:space="0" w:color="auto"/>
            </w:tcBorders>
            <w:shd w:val="clear" w:color="auto" w:fill="auto"/>
            <w:noWrap/>
            <w:vAlign w:val="center"/>
            <w:hideMark/>
          </w:tcPr>
          <w:p w14:paraId="3F8684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1,03</w:t>
            </w:r>
          </w:p>
        </w:tc>
        <w:tc>
          <w:tcPr>
            <w:tcW w:w="1194" w:type="dxa"/>
            <w:tcBorders>
              <w:top w:val="nil"/>
              <w:left w:val="nil"/>
              <w:bottom w:val="single" w:sz="4" w:space="0" w:color="auto"/>
              <w:right w:val="single" w:sz="4" w:space="0" w:color="auto"/>
            </w:tcBorders>
            <w:shd w:val="clear" w:color="auto" w:fill="auto"/>
            <w:noWrap/>
            <w:vAlign w:val="center"/>
            <w:hideMark/>
          </w:tcPr>
          <w:p w14:paraId="269A05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0,99</w:t>
            </w:r>
          </w:p>
        </w:tc>
        <w:tc>
          <w:tcPr>
            <w:tcW w:w="1194" w:type="dxa"/>
            <w:tcBorders>
              <w:top w:val="nil"/>
              <w:left w:val="nil"/>
              <w:bottom w:val="single" w:sz="4" w:space="0" w:color="auto"/>
              <w:right w:val="single" w:sz="4" w:space="0" w:color="auto"/>
            </w:tcBorders>
            <w:shd w:val="clear" w:color="auto" w:fill="auto"/>
            <w:noWrap/>
            <w:vAlign w:val="center"/>
            <w:hideMark/>
          </w:tcPr>
          <w:p w14:paraId="7DD88FB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0,82</w:t>
            </w:r>
          </w:p>
        </w:tc>
      </w:tr>
      <w:tr w:rsidR="00BF12D5" w:rsidRPr="00BD0223" w14:paraId="63B67476"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008BDA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ELISIARIO</w:t>
            </w:r>
          </w:p>
        </w:tc>
        <w:tc>
          <w:tcPr>
            <w:tcW w:w="1194" w:type="dxa"/>
            <w:tcBorders>
              <w:top w:val="nil"/>
              <w:left w:val="nil"/>
              <w:bottom w:val="single" w:sz="4" w:space="0" w:color="auto"/>
              <w:right w:val="single" w:sz="4" w:space="0" w:color="auto"/>
            </w:tcBorders>
            <w:shd w:val="clear" w:color="auto" w:fill="auto"/>
            <w:noWrap/>
            <w:vAlign w:val="center"/>
            <w:hideMark/>
          </w:tcPr>
          <w:p w14:paraId="6A607C9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1,26</w:t>
            </w:r>
          </w:p>
        </w:tc>
        <w:tc>
          <w:tcPr>
            <w:tcW w:w="1194" w:type="dxa"/>
            <w:tcBorders>
              <w:top w:val="nil"/>
              <w:left w:val="nil"/>
              <w:bottom w:val="single" w:sz="4" w:space="0" w:color="auto"/>
              <w:right w:val="single" w:sz="4" w:space="0" w:color="auto"/>
            </w:tcBorders>
            <w:shd w:val="clear" w:color="auto" w:fill="auto"/>
            <w:noWrap/>
            <w:vAlign w:val="center"/>
            <w:hideMark/>
          </w:tcPr>
          <w:p w14:paraId="1299A82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1,49</w:t>
            </w:r>
          </w:p>
        </w:tc>
        <w:tc>
          <w:tcPr>
            <w:tcW w:w="1194" w:type="dxa"/>
            <w:tcBorders>
              <w:top w:val="nil"/>
              <w:left w:val="nil"/>
              <w:bottom w:val="single" w:sz="4" w:space="0" w:color="auto"/>
              <w:right w:val="single" w:sz="4" w:space="0" w:color="auto"/>
            </w:tcBorders>
            <w:shd w:val="clear" w:color="auto" w:fill="auto"/>
            <w:noWrap/>
            <w:vAlign w:val="center"/>
            <w:hideMark/>
          </w:tcPr>
          <w:p w14:paraId="2BD4666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1,68</w:t>
            </w:r>
          </w:p>
        </w:tc>
        <w:tc>
          <w:tcPr>
            <w:tcW w:w="1194" w:type="dxa"/>
            <w:tcBorders>
              <w:top w:val="nil"/>
              <w:left w:val="nil"/>
              <w:bottom w:val="single" w:sz="4" w:space="0" w:color="auto"/>
              <w:right w:val="single" w:sz="4" w:space="0" w:color="auto"/>
            </w:tcBorders>
            <w:shd w:val="clear" w:color="auto" w:fill="auto"/>
            <w:noWrap/>
            <w:vAlign w:val="center"/>
            <w:hideMark/>
          </w:tcPr>
          <w:p w14:paraId="0E68C0B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1,15</w:t>
            </w:r>
          </w:p>
        </w:tc>
      </w:tr>
      <w:tr w:rsidR="00BF12D5" w:rsidRPr="00BD0223" w14:paraId="2F808941"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99ECB5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EMBAUBA</w:t>
            </w:r>
          </w:p>
        </w:tc>
        <w:tc>
          <w:tcPr>
            <w:tcW w:w="1194" w:type="dxa"/>
            <w:tcBorders>
              <w:top w:val="nil"/>
              <w:left w:val="nil"/>
              <w:bottom w:val="single" w:sz="4" w:space="0" w:color="auto"/>
              <w:right w:val="single" w:sz="4" w:space="0" w:color="auto"/>
            </w:tcBorders>
            <w:shd w:val="clear" w:color="auto" w:fill="auto"/>
            <w:noWrap/>
            <w:vAlign w:val="center"/>
            <w:hideMark/>
          </w:tcPr>
          <w:p w14:paraId="0BEC18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0,13</w:t>
            </w:r>
          </w:p>
        </w:tc>
        <w:tc>
          <w:tcPr>
            <w:tcW w:w="1194" w:type="dxa"/>
            <w:tcBorders>
              <w:top w:val="nil"/>
              <w:left w:val="nil"/>
              <w:bottom w:val="single" w:sz="4" w:space="0" w:color="auto"/>
              <w:right w:val="single" w:sz="4" w:space="0" w:color="auto"/>
            </w:tcBorders>
            <w:shd w:val="clear" w:color="auto" w:fill="auto"/>
            <w:noWrap/>
            <w:vAlign w:val="center"/>
            <w:hideMark/>
          </w:tcPr>
          <w:p w14:paraId="7B75F54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0,12</w:t>
            </w:r>
          </w:p>
        </w:tc>
        <w:tc>
          <w:tcPr>
            <w:tcW w:w="1194" w:type="dxa"/>
            <w:tcBorders>
              <w:top w:val="nil"/>
              <w:left w:val="nil"/>
              <w:bottom w:val="single" w:sz="4" w:space="0" w:color="auto"/>
              <w:right w:val="single" w:sz="4" w:space="0" w:color="auto"/>
            </w:tcBorders>
            <w:shd w:val="clear" w:color="auto" w:fill="auto"/>
            <w:noWrap/>
            <w:vAlign w:val="center"/>
            <w:hideMark/>
          </w:tcPr>
          <w:p w14:paraId="774F261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0,11</w:t>
            </w:r>
          </w:p>
        </w:tc>
        <w:tc>
          <w:tcPr>
            <w:tcW w:w="1194" w:type="dxa"/>
            <w:tcBorders>
              <w:top w:val="nil"/>
              <w:left w:val="nil"/>
              <w:bottom w:val="single" w:sz="4" w:space="0" w:color="auto"/>
              <w:right w:val="single" w:sz="4" w:space="0" w:color="auto"/>
            </w:tcBorders>
            <w:shd w:val="clear" w:color="auto" w:fill="auto"/>
            <w:noWrap/>
            <w:vAlign w:val="center"/>
            <w:hideMark/>
          </w:tcPr>
          <w:p w14:paraId="3274377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0,11</w:t>
            </w:r>
          </w:p>
        </w:tc>
      </w:tr>
      <w:tr w:rsidR="00BF12D5" w:rsidRPr="00BD0223" w14:paraId="7AB7D08D"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11E3ED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ESTRELA D'OESTE</w:t>
            </w:r>
          </w:p>
        </w:tc>
        <w:tc>
          <w:tcPr>
            <w:tcW w:w="1194" w:type="dxa"/>
            <w:tcBorders>
              <w:top w:val="nil"/>
              <w:left w:val="nil"/>
              <w:bottom w:val="single" w:sz="4" w:space="0" w:color="auto"/>
              <w:right w:val="single" w:sz="4" w:space="0" w:color="auto"/>
            </w:tcBorders>
            <w:shd w:val="clear" w:color="auto" w:fill="auto"/>
            <w:noWrap/>
            <w:vAlign w:val="center"/>
            <w:hideMark/>
          </w:tcPr>
          <w:p w14:paraId="305E32E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1,27</w:t>
            </w:r>
          </w:p>
        </w:tc>
        <w:tc>
          <w:tcPr>
            <w:tcW w:w="1194" w:type="dxa"/>
            <w:tcBorders>
              <w:top w:val="nil"/>
              <w:left w:val="nil"/>
              <w:bottom w:val="single" w:sz="4" w:space="0" w:color="auto"/>
              <w:right w:val="single" w:sz="4" w:space="0" w:color="auto"/>
            </w:tcBorders>
            <w:shd w:val="clear" w:color="auto" w:fill="auto"/>
            <w:noWrap/>
            <w:vAlign w:val="center"/>
            <w:hideMark/>
          </w:tcPr>
          <w:p w14:paraId="28D365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1,20</w:t>
            </w:r>
          </w:p>
        </w:tc>
        <w:tc>
          <w:tcPr>
            <w:tcW w:w="1194" w:type="dxa"/>
            <w:tcBorders>
              <w:top w:val="nil"/>
              <w:left w:val="nil"/>
              <w:bottom w:val="single" w:sz="4" w:space="0" w:color="auto"/>
              <w:right w:val="single" w:sz="4" w:space="0" w:color="auto"/>
            </w:tcBorders>
            <w:shd w:val="clear" w:color="auto" w:fill="auto"/>
            <w:noWrap/>
            <w:vAlign w:val="center"/>
            <w:hideMark/>
          </w:tcPr>
          <w:p w14:paraId="50DEC9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1,24</w:t>
            </w:r>
          </w:p>
        </w:tc>
        <w:tc>
          <w:tcPr>
            <w:tcW w:w="1194" w:type="dxa"/>
            <w:tcBorders>
              <w:top w:val="nil"/>
              <w:left w:val="nil"/>
              <w:bottom w:val="single" w:sz="4" w:space="0" w:color="auto"/>
              <w:right w:val="single" w:sz="4" w:space="0" w:color="auto"/>
            </w:tcBorders>
            <w:shd w:val="clear" w:color="auto" w:fill="auto"/>
            <w:noWrap/>
            <w:vAlign w:val="center"/>
            <w:hideMark/>
          </w:tcPr>
          <w:p w14:paraId="0DEA908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1,01</w:t>
            </w:r>
          </w:p>
        </w:tc>
      </w:tr>
      <w:tr w:rsidR="00BF12D5" w:rsidRPr="00BD0223" w14:paraId="188547EC"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8C8A9E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FERNANDO PRESTES</w:t>
            </w:r>
          </w:p>
        </w:tc>
        <w:tc>
          <w:tcPr>
            <w:tcW w:w="1194" w:type="dxa"/>
            <w:tcBorders>
              <w:top w:val="nil"/>
              <w:left w:val="nil"/>
              <w:bottom w:val="single" w:sz="4" w:space="0" w:color="auto"/>
              <w:right w:val="single" w:sz="4" w:space="0" w:color="auto"/>
            </w:tcBorders>
            <w:shd w:val="clear" w:color="auto" w:fill="auto"/>
            <w:noWrap/>
            <w:vAlign w:val="center"/>
            <w:hideMark/>
          </w:tcPr>
          <w:p w14:paraId="452C014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0,92</w:t>
            </w:r>
          </w:p>
        </w:tc>
        <w:tc>
          <w:tcPr>
            <w:tcW w:w="1194" w:type="dxa"/>
            <w:tcBorders>
              <w:top w:val="nil"/>
              <w:left w:val="nil"/>
              <w:bottom w:val="single" w:sz="4" w:space="0" w:color="auto"/>
              <w:right w:val="single" w:sz="4" w:space="0" w:color="auto"/>
            </w:tcBorders>
            <w:shd w:val="clear" w:color="auto" w:fill="auto"/>
            <w:noWrap/>
            <w:vAlign w:val="center"/>
            <w:hideMark/>
          </w:tcPr>
          <w:p w14:paraId="4439D7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0,98</w:t>
            </w:r>
          </w:p>
        </w:tc>
        <w:tc>
          <w:tcPr>
            <w:tcW w:w="1194" w:type="dxa"/>
            <w:tcBorders>
              <w:top w:val="nil"/>
              <w:left w:val="nil"/>
              <w:bottom w:val="single" w:sz="4" w:space="0" w:color="auto"/>
              <w:right w:val="single" w:sz="4" w:space="0" w:color="auto"/>
            </w:tcBorders>
            <w:shd w:val="clear" w:color="auto" w:fill="auto"/>
            <w:noWrap/>
            <w:vAlign w:val="center"/>
            <w:hideMark/>
          </w:tcPr>
          <w:p w14:paraId="7A06D0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0,92</w:t>
            </w:r>
          </w:p>
        </w:tc>
        <w:tc>
          <w:tcPr>
            <w:tcW w:w="1194" w:type="dxa"/>
            <w:tcBorders>
              <w:top w:val="nil"/>
              <w:left w:val="nil"/>
              <w:bottom w:val="single" w:sz="4" w:space="0" w:color="auto"/>
              <w:right w:val="single" w:sz="4" w:space="0" w:color="auto"/>
            </w:tcBorders>
            <w:shd w:val="clear" w:color="auto" w:fill="auto"/>
            <w:noWrap/>
            <w:vAlign w:val="center"/>
            <w:hideMark/>
          </w:tcPr>
          <w:p w14:paraId="726E9CE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0,90</w:t>
            </w:r>
          </w:p>
        </w:tc>
      </w:tr>
      <w:tr w:rsidR="00BF12D5" w:rsidRPr="00BD0223" w14:paraId="625823EB"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C24D6A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FERNANDOPOLIS</w:t>
            </w:r>
          </w:p>
        </w:tc>
        <w:tc>
          <w:tcPr>
            <w:tcW w:w="1194" w:type="dxa"/>
            <w:tcBorders>
              <w:top w:val="nil"/>
              <w:left w:val="nil"/>
              <w:bottom w:val="single" w:sz="4" w:space="0" w:color="auto"/>
              <w:right w:val="single" w:sz="4" w:space="0" w:color="auto"/>
            </w:tcBorders>
            <w:shd w:val="clear" w:color="auto" w:fill="auto"/>
            <w:noWrap/>
            <w:vAlign w:val="center"/>
            <w:hideMark/>
          </w:tcPr>
          <w:p w14:paraId="3C4C1E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13,70</w:t>
            </w:r>
          </w:p>
        </w:tc>
        <w:tc>
          <w:tcPr>
            <w:tcW w:w="1194" w:type="dxa"/>
            <w:tcBorders>
              <w:top w:val="nil"/>
              <w:left w:val="nil"/>
              <w:bottom w:val="single" w:sz="4" w:space="0" w:color="auto"/>
              <w:right w:val="single" w:sz="4" w:space="0" w:color="auto"/>
            </w:tcBorders>
            <w:shd w:val="clear" w:color="auto" w:fill="auto"/>
            <w:noWrap/>
            <w:vAlign w:val="center"/>
            <w:hideMark/>
          </w:tcPr>
          <w:p w14:paraId="4F48B55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14,12</w:t>
            </w:r>
          </w:p>
        </w:tc>
        <w:tc>
          <w:tcPr>
            <w:tcW w:w="1194" w:type="dxa"/>
            <w:tcBorders>
              <w:top w:val="nil"/>
              <w:left w:val="nil"/>
              <w:bottom w:val="single" w:sz="4" w:space="0" w:color="auto"/>
              <w:right w:val="single" w:sz="4" w:space="0" w:color="auto"/>
            </w:tcBorders>
            <w:shd w:val="clear" w:color="auto" w:fill="auto"/>
            <w:noWrap/>
            <w:vAlign w:val="center"/>
            <w:hideMark/>
          </w:tcPr>
          <w:p w14:paraId="336289A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14,60</w:t>
            </w:r>
          </w:p>
        </w:tc>
        <w:tc>
          <w:tcPr>
            <w:tcW w:w="1194" w:type="dxa"/>
            <w:tcBorders>
              <w:top w:val="nil"/>
              <w:left w:val="nil"/>
              <w:bottom w:val="single" w:sz="4" w:space="0" w:color="auto"/>
              <w:right w:val="single" w:sz="4" w:space="0" w:color="auto"/>
            </w:tcBorders>
            <w:shd w:val="clear" w:color="auto" w:fill="auto"/>
            <w:noWrap/>
            <w:vAlign w:val="center"/>
            <w:hideMark/>
          </w:tcPr>
          <w:p w14:paraId="66478F7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11,83</w:t>
            </w:r>
          </w:p>
        </w:tc>
      </w:tr>
      <w:tr w:rsidR="00BF12D5" w:rsidRPr="00BD0223" w14:paraId="38E347AE"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A66DE1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FLOREAL</w:t>
            </w:r>
          </w:p>
        </w:tc>
        <w:tc>
          <w:tcPr>
            <w:tcW w:w="1194" w:type="dxa"/>
            <w:tcBorders>
              <w:top w:val="nil"/>
              <w:left w:val="nil"/>
              <w:bottom w:val="single" w:sz="4" w:space="0" w:color="auto"/>
              <w:right w:val="single" w:sz="4" w:space="0" w:color="auto"/>
            </w:tcBorders>
            <w:shd w:val="clear" w:color="auto" w:fill="auto"/>
            <w:noWrap/>
            <w:vAlign w:val="center"/>
            <w:hideMark/>
          </w:tcPr>
          <w:p w14:paraId="0762EB8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0,11</w:t>
            </w:r>
          </w:p>
        </w:tc>
        <w:tc>
          <w:tcPr>
            <w:tcW w:w="1194" w:type="dxa"/>
            <w:tcBorders>
              <w:top w:val="nil"/>
              <w:left w:val="nil"/>
              <w:bottom w:val="single" w:sz="4" w:space="0" w:color="auto"/>
              <w:right w:val="single" w:sz="4" w:space="0" w:color="auto"/>
            </w:tcBorders>
            <w:shd w:val="clear" w:color="auto" w:fill="auto"/>
            <w:noWrap/>
            <w:vAlign w:val="center"/>
            <w:hideMark/>
          </w:tcPr>
          <w:p w14:paraId="78F2655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0,11</w:t>
            </w:r>
          </w:p>
        </w:tc>
        <w:tc>
          <w:tcPr>
            <w:tcW w:w="1194" w:type="dxa"/>
            <w:tcBorders>
              <w:top w:val="nil"/>
              <w:left w:val="nil"/>
              <w:bottom w:val="single" w:sz="4" w:space="0" w:color="auto"/>
              <w:right w:val="single" w:sz="4" w:space="0" w:color="auto"/>
            </w:tcBorders>
            <w:shd w:val="clear" w:color="auto" w:fill="auto"/>
            <w:noWrap/>
            <w:vAlign w:val="center"/>
            <w:hideMark/>
          </w:tcPr>
          <w:p w14:paraId="0626CFD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0,13</w:t>
            </w:r>
          </w:p>
        </w:tc>
        <w:tc>
          <w:tcPr>
            <w:tcW w:w="1194" w:type="dxa"/>
            <w:tcBorders>
              <w:top w:val="nil"/>
              <w:left w:val="nil"/>
              <w:bottom w:val="single" w:sz="4" w:space="0" w:color="auto"/>
              <w:right w:val="single" w:sz="4" w:space="0" w:color="auto"/>
            </w:tcBorders>
            <w:shd w:val="clear" w:color="auto" w:fill="auto"/>
            <w:noWrap/>
            <w:vAlign w:val="center"/>
            <w:hideMark/>
          </w:tcPr>
          <w:p w14:paraId="1A01248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0,10</w:t>
            </w:r>
          </w:p>
        </w:tc>
      </w:tr>
      <w:tr w:rsidR="00BF12D5" w:rsidRPr="00BD0223" w14:paraId="7965309D"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241A2A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FRANCA</w:t>
            </w:r>
          </w:p>
        </w:tc>
        <w:tc>
          <w:tcPr>
            <w:tcW w:w="1194" w:type="dxa"/>
            <w:tcBorders>
              <w:top w:val="nil"/>
              <w:left w:val="nil"/>
              <w:bottom w:val="single" w:sz="4" w:space="0" w:color="auto"/>
              <w:right w:val="single" w:sz="4" w:space="0" w:color="auto"/>
            </w:tcBorders>
            <w:shd w:val="clear" w:color="auto" w:fill="auto"/>
            <w:noWrap/>
            <w:vAlign w:val="center"/>
            <w:hideMark/>
          </w:tcPr>
          <w:p w14:paraId="2B0881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69,07</w:t>
            </w:r>
          </w:p>
        </w:tc>
        <w:tc>
          <w:tcPr>
            <w:tcW w:w="1194" w:type="dxa"/>
            <w:tcBorders>
              <w:top w:val="nil"/>
              <w:left w:val="nil"/>
              <w:bottom w:val="single" w:sz="4" w:space="0" w:color="auto"/>
              <w:right w:val="single" w:sz="4" w:space="0" w:color="auto"/>
            </w:tcBorders>
            <w:shd w:val="clear" w:color="auto" w:fill="auto"/>
            <w:noWrap/>
            <w:vAlign w:val="center"/>
            <w:hideMark/>
          </w:tcPr>
          <w:p w14:paraId="00585B5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70,52</w:t>
            </w:r>
          </w:p>
        </w:tc>
        <w:tc>
          <w:tcPr>
            <w:tcW w:w="1194" w:type="dxa"/>
            <w:tcBorders>
              <w:top w:val="nil"/>
              <w:left w:val="nil"/>
              <w:bottom w:val="single" w:sz="4" w:space="0" w:color="auto"/>
              <w:right w:val="single" w:sz="4" w:space="0" w:color="auto"/>
            </w:tcBorders>
            <w:shd w:val="clear" w:color="auto" w:fill="auto"/>
            <w:noWrap/>
            <w:vAlign w:val="center"/>
            <w:hideMark/>
          </w:tcPr>
          <w:p w14:paraId="58B578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77,18</w:t>
            </w:r>
          </w:p>
        </w:tc>
        <w:tc>
          <w:tcPr>
            <w:tcW w:w="1194" w:type="dxa"/>
            <w:tcBorders>
              <w:top w:val="nil"/>
              <w:left w:val="nil"/>
              <w:bottom w:val="single" w:sz="4" w:space="0" w:color="auto"/>
              <w:right w:val="single" w:sz="4" w:space="0" w:color="auto"/>
            </w:tcBorders>
            <w:shd w:val="clear" w:color="auto" w:fill="auto"/>
            <w:noWrap/>
            <w:vAlign w:val="center"/>
            <w:hideMark/>
          </w:tcPr>
          <w:p w14:paraId="44EAA9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62,95</w:t>
            </w:r>
          </w:p>
        </w:tc>
      </w:tr>
      <w:tr w:rsidR="00BF12D5" w:rsidRPr="00BD0223" w14:paraId="13E07BB1"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A06FAC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GASTAO VIDIGAL</w:t>
            </w:r>
          </w:p>
        </w:tc>
        <w:tc>
          <w:tcPr>
            <w:tcW w:w="1194" w:type="dxa"/>
            <w:tcBorders>
              <w:top w:val="nil"/>
              <w:left w:val="nil"/>
              <w:bottom w:val="single" w:sz="4" w:space="0" w:color="auto"/>
              <w:right w:val="single" w:sz="4" w:space="0" w:color="auto"/>
            </w:tcBorders>
            <w:shd w:val="clear" w:color="auto" w:fill="auto"/>
            <w:noWrap/>
            <w:vAlign w:val="center"/>
            <w:hideMark/>
          </w:tcPr>
          <w:p w14:paraId="38CECAE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0,25</w:t>
            </w:r>
          </w:p>
        </w:tc>
        <w:tc>
          <w:tcPr>
            <w:tcW w:w="1194" w:type="dxa"/>
            <w:tcBorders>
              <w:top w:val="nil"/>
              <w:left w:val="nil"/>
              <w:bottom w:val="single" w:sz="4" w:space="0" w:color="auto"/>
              <w:right w:val="single" w:sz="4" w:space="0" w:color="auto"/>
            </w:tcBorders>
            <w:shd w:val="clear" w:color="auto" w:fill="auto"/>
            <w:noWrap/>
            <w:vAlign w:val="center"/>
            <w:hideMark/>
          </w:tcPr>
          <w:p w14:paraId="704AE55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0,28</w:t>
            </w:r>
          </w:p>
        </w:tc>
        <w:tc>
          <w:tcPr>
            <w:tcW w:w="1194" w:type="dxa"/>
            <w:tcBorders>
              <w:top w:val="nil"/>
              <w:left w:val="nil"/>
              <w:bottom w:val="single" w:sz="4" w:space="0" w:color="auto"/>
              <w:right w:val="single" w:sz="4" w:space="0" w:color="auto"/>
            </w:tcBorders>
            <w:shd w:val="clear" w:color="auto" w:fill="auto"/>
            <w:noWrap/>
            <w:vAlign w:val="center"/>
            <w:hideMark/>
          </w:tcPr>
          <w:p w14:paraId="044E451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0,24</w:t>
            </w:r>
          </w:p>
        </w:tc>
        <w:tc>
          <w:tcPr>
            <w:tcW w:w="1194" w:type="dxa"/>
            <w:tcBorders>
              <w:top w:val="nil"/>
              <w:left w:val="nil"/>
              <w:bottom w:val="single" w:sz="4" w:space="0" w:color="auto"/>
              <w:right w:val="single" w:sz="4" w:space="0" w:color="auto"/>
            </w:tcBorders>
            <w:shd w:val="clear" w:color="auto" w:fill="auto"/>
            <w:noWrap/>
            <w:vAlign w:val="center"/>
            <w:hideMark/>
          </w:tcPr>
          <w:p w14:paraId="49BDDD5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0,19</w:t>
            </w:r>
          </w:p>
        </w:tc>
      </w:tr>
      <w:tr w:rsidR="00BF12D5" w:rsidRPr="00BD0223" w14:paraId="53F05303"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5F5F42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GENERAL SALGADO</w:t>
            </w:r>
          </w:p>
        </w:tc>
        <w:tc>
          <w:tcPr>
            <w:tcW w:w="1194" w:type="dxa"/>
            <w:tcBorders>
              <w:top w:val="nil"/>
              <w:left w:val="nil"/>
              <w:bottom w:val="single" w:sz="4" w:space="0" w:color="auto"/>
              <w:right w:val="single" w:sz="4" w:space="0" w:color="auto"/>
            </w:tcBorders>
            <w:shd w:val="clear" w:color="auto" w:fill="auto"/>
            <w:noWrap/>
            <w:vAlign w:val="center"/>
            <w:hideMark/>
          </w:tcPr>
          <w:p w14:paraId="67A4D84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1,45</w:t>
            </w:r>
          </w:p>
        </w:tc>
        <w:tc>
          <w:tcPr>
            <w:tcW w:w="1194" w:type="dxa"/>
            <w:tcBorders>
              <w:top w:val="nil"/>
              <w:left w:val="nil"/>
              <w:bottom w:val="single" w:sz="4" w:space="0" w:color="auto"/>
              <w:right w:val="single" w:sz="4" w:space="0" w:color="auto"/>
            </w:tcBorders>
            <w:shd w:val="clear" w:color="auto" w:fill="auto"/>
            <w:noWrap/>
            <w:vAlign w:val="center"/>
            <w:hideMark/>
          </w:tcPr>
          <w:p w14:paraId="3A0B1B8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1,55</w:t>
            </w:r>
          </w:p>
        </w:tc>
        <w:tc>
          <w:tcPr>
            <w:tcW w:w="1194" w:type="dxa"/>
            <w:tcBorders>
              <w:top w:val="nil"/>
              <w:left w:val="nil"/>
              <w:bottom w:val="single" w:sz="4" w:space="0" w:color="auto"/>
              <w:right w:val="single" w:sz="4" w:space="0" w:color="auto"/>
            </w:tcBorders>
            <w:shd w:val="clear" w:color="auto" w:fill="auto"/>
            <w:noWrap/>
            <w:vAlign w:val="center"/>
            <w:hideMark/>
          </w:tcPr>
          <w:p w14:paraId="572ADE4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1,63</w:t>
            </w:r>
          </w:p>
        </w:tc>
        <w:tc>
          <w:tcPr>
            <w:tcW w:w="1194" w:type="dxa"/>
            <w:tcBorders>
              <w:top w:val="nil"/>
              <w:left w:val="nil"/>
              <w:bottom w:val="single" w:sz="4" w:space="0" w:color="auto"/>
              <w:right w:val="single" w:sz="4" w:space="0" w:color="auto"/>
            </w:tcBorders>
            <w:shd w:val="clear" w:color="auto" w:fill="auto"/>
            <w:noWrap/>
            <w:vAlign w:val="center"/>
            <w:hideMark/>
          </w:tcPr>
          <w:p w14:paraId="229F4A4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1,27</w:t>
            </w:r>
          </w:p>
        </w:tc>
      </w:tr>
      <w:tr w:rsidR="00BF12D5" w:rsidRPr="00BD0223" w14:paraId="25AC1557"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5AD8B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GUAIRA</w:t>
            </w:r>
          </w:p>
        </w:tc>
        <w:tc>
          <w:tcPr>
            <w:tcW w:w="1194" w:type="dxa"/>
            <w:tcBorders>
              <w:top w:val="nil"/>
              <w:left w:val="nil"/>
              <w:bottom w:val="single" w:sz="4" w:space="0" w:color="auto"/>
              <w:right w:val="single" w:sz="4" w:space="0" w:color="auto"/>
            </w:tcBorders>
            <w:shd w:val="clear" w:color="auto" w:fill="auto"/>
            <w:noWrap/>
            <w:vAlign w:val="center"/>
            <w:hideMark/>
          </w:tcPr>
          <w:p w14:paraId="2DC05B0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6,00</w:t>
            </w:r>
          </w:p>
        </w:tc>
        <w:tc>
          <w:tcPr>
            <w:tcW w:w="1194" w:type="dxa"/>
            <w:tcBorders>
              <w:top w:val="nil"/>
              <w:left w:val="nil"/>
              <w:bottom w:val="single" w:sz="4" w:space="0" w:color="auto"/>
              <w:right w:val="single" w:sz="4" w:space="0" w:color="auto"/>
            </w:tcBorders>
            <w:shd w:val="clear" w:color="auto" w:fill="auto"/>
            <w:noWrap/>
            <w:vAlign w:val="center"/>
            <w:hideMark/>
          </w:tcPr>
          <w:p w14:paraId="477182D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5,99</w:t>
            </w:r>
          </w:p>
        </w:tc>
        <w:tc>
          <w:tcPr>
            <w:tcW w:w="1194" w:type="dxa"/>
            <w:tcBorders>
              <w:top w:val="nil"/>
              <w:left w:val="nil"/>
              <w:bottom w:val="single" w:sz="4" w:space="0" w:color="auto"/>
              <w:right w:val="single" w:sz="4" w:space="0" w:color="auto"/>
            </w:tcBorders>
            <w:shd w:val="clear" w:color="auto" w:fill="auto"/>
            <w:noWrap/>
            <w:vAlign w:val="center"/>
            <w:hideMark/>
          </w:tcPr>
          <w:p w14:paraId="68B58E1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6,47</w:t>
            </w:r>
          </w:p>
        </w:tc>
        <w:tc>
          <w:tcPr>
            <w:tcW w:w="1194" w:type="dxa"/>
            <w:tcBorders>
              <w:top w:val="nil"/>
              <w:left w:val="nil"/>
              <w:bottom w:val="single" w:sz="4" w:space="0" w:color="auto"/>
              <w:right w:val="single" w:sz="4" w:space="0" w:color="auto"/>
            </w:tcBorders>
            <w:shd w:val="clear" w:color="auto" w:fill="auto"/>
            <w:noWrap/>
            <w:vAlign w:val="center"/>
            <w:hideMark/>
          </w:tcPr>
          <w:p w14:paraId="181982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5,79</w:t>
            </w:r>
          </w:p>
        </w:tc>
      </w:tr>
      <w:tr w:rsidR="00BF12D5" w:rsidRPr="00BD0223" w14:paraId="7DB25719"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55BB6A5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GUAPIACU</w:t>
            </w:r>
          </w:p>
        </w:tc>
        <w:tc>
          <w:tcPr>
            <w:tcW w:w="1194" w:type="dxa"/>
            <w:tcBorders>
              <w:top w:val="nil"/>
              <w:left w:val="nil"/>
              <w:bottom w:val="single" w:sz="4" w:space="0" w:color="auto"/>
              <w:right w:val="single" w:sz="4" w:space="0" w:color="auto"/>
            </w:tcBorders>
            <w:shd w:val="clear" w:color="auto" w:fill="auto"/>
            <w:noWrap/>
            <w:vAlign w:val="center"/>
            <w:hideMark/>
          </w:tcPr>
          <w:p w14:paraId="11EC881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2,44</w:t>
            </w:r>
          </w:p>
        </w:tc>
        <w:tc>
          <w:tcPr>
            <w:tcW w:w="1194" w:type="dxa"/>
            <w:tcBorders>
              <w:top w:val="nil"/>
              <w:left w:val="nil"/>
              <w:bottom w:val="single" w:sz="4" w:space="0" w:color="auto"/>
              <w:right w:val="single" w:sz="4" w:space="0" w:color="auto"/>
            </w:tcBorders>
            <w:shd w:val="clear" w:color="auto" w:fill="auto"/>
            <w:noWrap/>
            <w:vAlign w:val="center"/>
            <w:hideMark/>
          </w:tcPr>
          <w:p w14:paraId="3A2DC26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2,65</w:t>
            </w:r>
          </w:p>
        </w:tc>
        <w:tc>
          <w:tcPr>
            <w:tcW w:w="1194" w:type="dxa"/>
            <w:tcBorders>
              <w:top w:val="nil"/>
              <w:left w:val="nil"/>
              <w:bottom w:val="single" w:sz="4" w:space="0" w:color="auto"/>
              <w:right w:val="single" w:sz="4" w:space="0" w:color="auto"/>
            </w:tcBorders>
            <w:shd w:val="clear" w:color="auto" w:fill="auto"/>
            <w:noWrap/>
            <w:vAlign w:val="center"/>
            <w:hideMark/>
          </w:tcPr>
          <w:p w14:paraId="0888DB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2,81</w:t>
            </w:r>
          </w:p>
        </w:tc>
        <w:tc>
          <w:tcPr>
            <w:tcW w:w="1194" w:type="dxa"/>
            <w:tcBorders>
              <w:top w:val="nil"/>
              <w:left w:val="nil"/>
              <w:bottom w:val="single" w:sz="4" w:space="0" w:color="auto"/>
              <w:right w:val="single" w:sz="4" w:space="0" w:color="auto"/>
            </w:tcBorders>
            <w:shd w:val="clear" w:color="auto" w:fill="auto"/>
            <w:noWrap/>
            <w:vAlign w:val="center"/>
            <w:hideMark/>
          </w:tcPr>
          <w:p w14:paraId="0550895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2,31</w:t>
            </w:r>
          </w:p>
        </w:tc>
      </w:tr>
      <w:tr w:rsidR="00BF12D5" w:rsidRPr="00BD0223" w14:paraId="62D59AEF"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DC461A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GUARA</w:t>
            </w:r>
          </w:p>
        </w:tc>
        <w:tc>
          <w:tcPr>
            <w:tcW w:w="1194" w:type="dxa"/>
            <w:tcBorders>
              <w:top w:val="nil"/>
              <w:left w:val="nil"/>
              <w:bottom w:val="single" w:sz="4" w:space="0" w:color="auto"/>
              <w:right w:val="single" w:sz="4" w:space="0" w:color="auto"/>
            </w:tcBorders>
            <w:shd w:val="clear" w:color="auto" w:fill="auto"/>
            <w:noWrap/>
            <w:vAlign w:val="center"/>
            <w:hideMark/>
          </w:tcPr>
          <w:p w14:paraId="31E2279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2,94</w:t>
            </w:r>
          </w:p>
        </w:tc>
        <w:tc>
          <w:tcPr>
            <w:tcW w:w="1194" w:type="dxa"/>
            <w:tcBorders>
              <w:top w:val="nil"/>
              <w:left w:val="nil"/>
              <w:bottom w:val="single" w:sz="4" w:space="0" w:color="auto"/>
              <w:right w:val="single" w:sz="4" w:space="0" w:color="auto"/>
            </w:tcBorders>
            <w:shd w:val="clear" w:color="auto" w:fill="auto"/>
            <w:noWrap/>
            <w:vAlign w:val="center"/>
            <w:hideMark/>
          </w:tcPr>
          <w:p w14:paraId="4C15BE5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2,78</w:t>
            </w:r>
          </w:p>
        </w:tc>
        <w:tc>
          <w:tcPr>
            <w:tcW w:w="1194" w:type="dxa"/>
            <w:tcBorders>
              <w:top w:val="nil"/>
              <w:left w:val="nil"/>
              <w:bottom w:val="single" w:sz="4" w:space="0" w:color="auto"/>
              <w:right w:val="single" w:sz="4" w:space="0" w:color="auto"/>
            </w:tcBorders>
            <w:shd w:val="clear" w:color="auto" w:fill="auto"/>
            <w:noWrap/>
            <w:vAlign w:val="center"/>
            <w:hideMark/>
          </w:tcPr>
          <w:p w14:paraId="793424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2,85</w:t>
            </w:r>
          </w:p>
        </w:tc>
        <w:tc>
          <w:tcPr>
            <w:tcW w:w="1194" w:type="dxa"/>
            <w:tcBorders>
              <w:top w:val="nil"/>
              <w:left w:val="nil"/>
              <w:bottom w:val="single" w:sz="4" w:space="0" w:color="auto"/>
              <w:right w:val="single" w:sz="4" w:space="0" w:color="auto"/>
            </w:tcBorders>
            <w:shd w:val="clear" w:color="auto" w:fill="auto"/>
            <w:noWrap/>
            <w:vAlign w:val="center"/>
            <w:hideMark/>
          </w:tcPr>
          <w:p w14:paraId="607425A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2,28</w:t>
            </w:r>
          </w:p>
        </w:tc>
      </w:tr>
      <w:tr w:rsidR="00BF12D5" w:rsidRPr="00BD0223" w14:paraId="40DB354F"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7A5BB2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GUARIBA</w:t>
            </w:r>
          </w:p>
        </w:tc>
        <w:tc>
          <w:tcPr>
            <w:tcW w:w="1194" w:type="dxa"/>
            <w:tcBorders>
              <w:top w:val="nil"/>
              <w:left w:val="nil"/>
              <w:bottom w:val="single" w:sz="4" w:space="0" w:color="auto"/>
              <w:right w:val="single" w:sz="4" w:space="0" w:color="auto"/>
            </w:tcBorders>
            <w:shd w:val="clear" w:color="auto" w:fill="auto"/>
            <w:noWrap/>
            <w:vAlign w:val="center"/>
            <w:hideMark/>
          </w:tcPr>
          <w:p w14:paraId="6C09E2C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3,87</w:t>
            </w:r>
          </w:p>
        </w:tc>
        <w:tc>
          <w:tcPr>
            <w:tcW w:w="1194" w:type="dxa"/>
            <w:tcBorders>
              <w:top w:val="nil"/>
              <w:left w:val="nil"/>
              <w:bottom w:val="single" w:sz="4" w:space="0" w:color="auto"/>
              <w:right w:val="single" w:sz="4" w:space="0" w:color="auto"/>
            </w:tcBorders>
            <w:shd w:val="clear" w:color="auto" w:fill="auto"/>
            <w:noWrap/>
            <w:vAlign w:val="center"/>
            <w:hideMark/>
          </w:tcPr>
          <w:p w14:paraId="524E69D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3,75</w:t>
            </w:r>
          </w:p>
        </w:tc>
        <w:tc>
          <w:tcPr>
            <w:tcW w:w="1194" w:type="dxa"/>
            <w:tcBorders>
              <w:top w:val="nil"/>
              <w:left w:val="nil"/>
              <w:bottom w:val="single" w:sz="4" w:space="0" w:color="auto"/>
              <w:right w:val="single" w:sz="4" w:space="0" w:color="auto"/>
            </w:tcBorders>
            <w:shd w:val="clear" w:color="auto" w:fill="auto"/>
            <w:noWrap/>
            <w:vAlign w:val="center"/>
            <w:hideMark/>
          </w:tcPr>
          <w:p w14:paraId="253F9D7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3,81</w:t>
            </w:r>
          </w:p>
        </w:tc>
        <w:tc>
          <w:tcPr>
            <w:tcW w:w="1194" w:type="dxa"/>
            <w:tcBorders>
              <w:top w:val="nil"/>
              <w:left w:val="nil"/>
              <w:bottom w:val="single" w:sz="4" w:space="0" w:color="auto"/>
              <w:right w:val="single" w:sz="4" w:space="0" w:color="auto"/>
            </w:tcBorders>
            <w:shd w:val="clear" w:color="auto" w:fill="auto"/>
            <w:noWrap/>
            <w:vAlign w:val="center"/>
            <w:hideMark/>
          </w:tcPr>
          <w:p w14:paraId="148802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3,23</w:t>
            </w:r>
          </w:p>
        </w:tc>
      </w:tr>
      <w:tr w:rsidR="00BF12D5" w:rsidRPr="00BD0223" w14:paraId="264631B4"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498F3B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GUATAPARA</w:t>
            </w:r>
          </w:p>
        </w:tc>
        <w:tc>
          <w:tcPr>
            <w:tcW w:w="1194" w:type="dxa"/>
            <w:tcBorders>
              <w:top w:val="nil"/>
              <w:left w:val="nil"/>
              <w:bottom w:val="single" w:sz="4" w:space="0" w:color="auto"/>
              <w:right w:val="single" w:sz="4" w:space="0" w:color="auto"/>
            </w:tcBorders>
            <w:shd w:val="clear" w:color="auto" w:fill="auto"/>
            <w:noWrap/>
            <w:vAlign w:val="center"/>
            <w:hideMark/>
          </w:tcPr>
          <w:p w14:paraId="6ACA690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0,77</w:t>
            </w:r>
          </w:p>
        </w:tc>
        <w:tc>
          <w:tcPr>
            <w:tcW w:w="1194" w:type="dxa"/>
            <w:tcBorders>
              <w:top w:val="nil"/>
              <w:left w:val="nil"/>
              <w:bottom w:val="single" w:sz="4" w:space="0" w:color="auto"/>
              <w:right w:val="single" w:sz="4" w:space="0" w:color="auto"/>
            </w:tcBorders>
            <w:shd w:val="clear" w:color="auto" w:fill="auto"/>
            <w:noWrap/>
            <w:vAlign w:val="center"/>
            <w:hideMark/>
          </w:tcPr>
          <w:p w14:paraId="722D130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0,81</w:t>
            </w:r>
          </w:p>
        </w:tc>
        <w:tc>
          <w:tcPr>
            <w:tcW w:w="1194" w:type="dxa"/>
            <w:tcBorders>
              <w:top w:val="nil"/>
              <w:left w:val="nil"/>
              <w:bottom w:val="single" w:sz="4" w:space="0" w:color="auto"/>
              <w:right w:val="single" w:sz="4" w:space="0" w:color="auto"/>
            </w:tcBorders>
            <w:shd w:val="clear" w:color="auto" w:fill="auto"/>
            <w:noWrap/>
            <w:vAlign w:val="center"/>
            <w:hideMark/>
          </w:tcPr>
          <w:p w14:paraId="4640D95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0,77</w:t>
            </w:r>
          </w:p>
        </w:tc>
        <w:tc>
          <w:tcPr>
            <w:tcW w:w="1194" w:type="dxa"/>
            <w:tcBorders>
              <w:top w:val="nil"/>
              <w:left w:val="nil"/>
              <w:bottom w:val="single" w:sz="4" w:space="0" w:color="auto"/>
              <w:right w:val="single" w:sz="4" w:space="0" w:color="auto"/>
            </w:tcBorders>
            <w:shd w:val="clear" w:color="auto" w:fill="auto"/>
            <w:noWrap/>
            <w:vAlign w:val="center"/>
            <w:hideMark/>
          </w:tcPr>
          <w:p w14:paraId="40DE2BE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1,24</w:t>
            </w:r>
          </w:p>
        </w:tc>
      </w:tr>
      <w:tr w:rsidR="00BF12D5" w:rsidRPr="00BD0223" w14:paraId="53414904"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DED8D7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GUZOLANDIA</w:t>
            </w:r>
          </w:p>
        </w:tc>
        <w:tc>
          <w:tcPr>
            <w:tcW w:w="1194" w:type="dxa"/>
            <w:tcBorders>
              <w:top w:val="nil"/>
              <w:left w:val="nil"/>
              <w:bottom w:val="single" w:sz="4" w:space="0" w:color="auto"/>
              <w:right w:val="single" w:sz="4" w:space="0" w:color="auto"/>
            </w:tcBorders>
            <w:shd w:val="clear" w:color="auto" w:fill="auto"/>
            <w:noWrap/>
            <w:vAlign w:val="center"/>
            <w:hideMark/>
          </w:tcPr>
          <w:p w14:paraId="4D5A29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0,65</w:t>
            </w:r>
          </w:p>
        </w:tc>
        <w:tc>
          <w:tcPr>
            <w:tcW w:w="1194" w:type="dxa"/>
            <w:tcBorders>
              <w:top w:val="nil"/>
              <w:left w:val="nil"/>
              <w:bottom w:val="single" w:sz="4" w:space="0" w:color="auto"/>
              <w:right w:val="single" w:sz="4" w:space="0" w:color="auto"/>
            </w:tcBorders>
            <w:shd w:val="clear" w:color="auto" w:fill="auto"/>
            <w:noWrap/>
            <w:vAlign w:val="center"/>
            <w:hideMark/>
          </w:tcPr>
          <w:p w14:paraId="16F481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0,68</w:t>
            </w:r>
          </w:p>
        </w:tc>
        <w:tc>
          <w:tcPr>
            <w:tcW w:w="1194" w:type="dxa"/>
            <w:tcBorders>
              <w:top w:val="nil"/>
              <w:left w:val="nil"/>
              <w:bottom w:val="single" w:sz="4" w:space="0" w:color="auto"/>
              <w:right w:val="single" w:sz="4" w:space="0" w:color="auto"/>
            </w:tcBorders>
            <w:shd w:val="clear" w:color="auto" w:fill="auto"/>
            <w:noWrap/>
            <w:vAlign w:val="center"/>
            <w:hideMark/>
          </w:tcPr>
          <w:p w14:paraId="3D1A221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0,64</w:t>
            </w:r>
          </w:p>
        </w:tc>
        <w:tc>
          <w:tcPr>
            <w:tcW w:w="1194" w:type="dxa"/>
            <w:tcBorders>
              <w:top w:val="nil"/>
              <w:left w:val="nil"/>
              <w:bottom w:val="single" w:sz="4" w:space="0" w:color="auto"/>
              <w:right w:val="single" w:sz="4" w:space="0" w:color="auto"/>
            </w:tcBorders>
            <w:shd w:val="clear" w:color="auto" w:fill="auto"/>
            <w:noWrap/>
            <w:vAlign w:val="center"/>
            <w:hideMark/>
          </w:tcPr>
          <w:p w14:paraId="2E99899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0,49</w:t>
            </w:r>
          </w:p>
        </w:tc>
      </w:tr>
      <w:tr w:rsidR="00BF12D5" w:rsidRPr="00BD0223" w14:paraId="54A02D73"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A9AF76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IBIRA</w:t>
            </w:r>
          </w:p>
        </w:tc>
        <w:tc>
          <w:tcPr>
            <w:tcW w:w="1194" w:type="dxa"/>
            <w:tcBorders>
              <w:top w:val="nil"/>
              <w:left w:val="nil"/>
              <w:bottom w:val="single" w:sz="4" w:space="0" w:color="auto"/>
              <w:right w:val="single" w:sz="4" w:space="0" w:color="auto"/>
            </w:tcBorders>
            <w:shd w:val="clear" w:color="auto" w:fill="auto"/>
            <w:noWrap/>
            <w:vAlign w:val="center"/>
            <w:hideMark/>
          </w:tcPr>
          <w:p w14:paraId="7611A87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1,54</w:t>
            </w:r>
          </w:p>
        </w:tc>
        <w:tc>
          <w:tcPr>
            <w:tcW w:w="1194" w:type="dxa"/>
            <w:tcBorders>
              <w:top w:val="nil"/>
              <w:left w:val="nil"/>
              <w:bottom w:val="single" w:sz="4" w:space="0" w:color="auto"/>
              <w:right w:val="single" w:sz="4" w:space="0" w:color="auto"/>
            </w:tcBorders>
            <w:shd w:val="clear" w:color="auto" w:fill="auto"/>
            <w:noWrap/>
            <w:vAlign w:val="center"/>
            <w:hideMark/>
          </w:tcPr>
          <w:p w14:paraId="1E78E81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1,63</w:t>
            </w:r>
          </w:p>
        </w:tc>
        <w:tc>
          <w:tcPr>
            <w:tcW w:w="1194" w:type="dxa"/>
            <w:tcBorders>
              <w:top w:val="nil"/>
              <w:left w:val="nil"/>
              <w:bottom w:val="single" w:sz="4" w:space="0" w:color="auto"/>
              <w:right w:val="single" w:sz="4" w:space="0" w:color="auto"/>
            </w:tcBorders>
            <w:shd w:val="clear" w:color="auto" w:fill="auto"/>
            <w:noWrap/>
            <w:vAlign w:val="center"/>
            <w:hideMark/>
          </w:tcPr>
          <w:p w14:paraId="1F6BEAB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1,81</w:t>
            </w:r>
          </w:p>
        </w:tc>
        <w:tc>
          <w:tcPr>
            <w:tcW w:w="1194" w:type="dxa"/>
            <w:tcBorders>
              <w:top w:val="nil"/>
              <w:left w:val="nil"/>
              <w:bottom w:val="single" w:sz="4" w:space="0" w:color="auto"/>
              <w:right w:val="single" w:sz="4" w:space="0" w:color="auto"/>
            </w:tcBorders>
            <w:shd w:val="clear" w:color="auto" w:fill="auto"/>
            <w:noWrap/>
            <w:vAlign w:val="center"/>
            <w:hideMark/>
          </w:tcPr>
          <w:p w14:paraId="0A17F86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1,57</w:t>
            </w:r>
          </w:p>
        </w:tc>
      </w:tr>
      <w:tr w:rsidR="00BF12D5" w:rsidRPr="00BD0223" w14:paraId="1CE9AD2F"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FFC85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ICEM</w:t>
            </w:r>
          </w:p>
        </w:tc>
        <w:tc>
          <w:tcPr>
            <w:tcW w:w="1194" w:type="dxa"/>
            <w:tcBorders>
              <w:top w:val="nil"/>
              <w:left w:val="nil"/>
              <w:bottom w:val="single" w:sz="4" w:space="0" w:color="auto"/>
              <w:right w:val="single" w:sz="4" w:space="0" w:color="auto"/>
            </w:tcBorders>
            <w:shd w:val="clear" w:color="auto" w:fill="auto"/>
            <w:noWrap/>
            <w:vAlign w:val="center"/>
            <w:hideMark/>
          </w:tcPr>
          <w:p w14:paraId="35AA6CD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1,21</w:t>
            </w:r>
          </w:p>
        </w:tc>
        <w:tc>
          <w:tcPr>
            <w:tcW w:w="1194" w:type="dxa"/>
            <w:tcBorders>
              <w:top w:val="nil"/>
              <w:left w:val="nil"/>
              <w:bottom w:val="single" w:sz="4" w:space="0" w:color="auto"/>
              <w:right w:val="single" w:sz="4" w:space="0" w:color="auto"/>
            </w:tcBorders>
            <w:shd w:val="clear" w:color="auto" w:fill="auto"/>
            <w:noWrap/>
            <w:vAlign w:val="center"/>
            <w:hideMark/>
          </w:tcPr>
          <w:p w14:paraId="661EB0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1,29</w:t>
            </w:r>
          </w:p>
        </w:tc>
        <w:tc>
          <w:tcPr>
            <w:tcW w:w="1194" w:type="dxa"/>
            <w:tcBorders>
              <w:top w:val="nil"/>
              <w:left w:val="nil"/>
              <w:bottom w:val="single" w:sz="4" w:space="0" w:color="auto"/>
              <w:right w:val="single" w:sz="4" w:space="0" w:color="auto"/>
            </w:tcBorders>
            <w:shd w:val="clear" w:color="auto" w:fill="auto"/>
            <w:noWrap/>
            <w:vAlign w:val="center"/>
            <w:hideMark/>
          </w:tcPr>
          <w:p w14:paraId="427643B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1,30</w:t>
            </w:r>
          </w:p>
        </w:tc>
        <w:tc>
          <w:tcPr>
            <w:tcW w:w="1194" w:type="dxa"/>
            <w:tcBorders>
              <w:top w:val="nil"/>
              <w:left w:val="nil"/>
              <w:bottom w:val="single" w:sz="4" w:space="0" w:color="auto"/>
              <w:right w:val="single" w:sz="4" w:space="0" w:color="auto"/>
            </w:tcBorders>
            <w:shd w:val="clear" w:color="auto" w:fill="auto"/>
            <w:noWrap/>
            <w:vAlign w:val="center"/>
            <w:hideMark/>
          </w:tcPr>
          <w:p w14:paraId="4E11D37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1,02</w:t>
            </w:r>
          </w:p>
        </w:tc>
      </w:tr>
      <w:tr w:rsidR="00BF12D5" w:rsidRPr="00BD0223" w14:paraId="434A33DB"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BA5A5B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IGARAPAVA</w:t>
            </w:r>
          </w:p>
        </w:tc>
        <w:tc>
          <w:tcPr>
            <w:tcW w:w="1194" w:type="dxa"/>
            <w:tcBorders>
              <w:top w:val="nil"/>
              <w:left w:val="nil"/>
              <w:bottom w:val="single" w:sz="4" w:space="0" w:color="auto"/>
              <w:right w:val="single" w:sz="4" w:space="0" w:color="auto"/>
            </w:tcBorders>
            <w:shd w:val="clear" w:color="auto" w:fill="auto"/>
            <w:noWrap/>
            <w:vAlign w:val="center"/>
            <w:hideMark/>
          </w:tcPr>
          <w:p w14:paraId="2CD315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4,39</w:t>
            </w:r>
          </w:p>
        </w:tc>
        <w:tc>
          <w:tcPr>
            <w:tcW w:w="1194" w:type="dxa"/>
            <w:tcBorders>
              <w:top w:val="nil"/>
              <w:left w:val="nil"/>
              <w:bottom w:val="single" w:sz="4" w:space="0" w:color="auto"/>
              <w:right w:val="single" w:sz="4" w:space="0" w:color="auto"/>
            </w:tcBorders>
            <w:shd w:val="clear" w:color="auto" w:fill="auto"/>
            <w:noWrap/>
            <w:vAlign w:val="center"/>
            <w:hideMark/>
          </w:tcPr>
          <w:p w14:paraId="38EAD0E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4,46</w:t>
            </w:r>
          </w:p>
        </w:tc>
        <w:tc>
          <w:tcPr>
            <w:tcW w:w="1194" w:type="dxa"/>
            <w:tcBorders>
              <w:top w:val="nil"/>
              <w:left w:val="nil"/>
              <w:bottom w:val="single" w:sz="4" w:space="0" w:color="auto"/>
              <w:right w:val="single" w:sz="4" w:space="0" w:color="auto"/>
            </w:tcBorders>
            <w:shd w:val="clear" w:color="auto" w:fill="auto"/>
            <w:noWrap/>
            <w:vAlign w:val="center"/>
            <w:hideMark/>
          </w:tcPr>
          <w:p w14:paraId="235D8FA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4,89</w:t>
            </w:r>
          </w:p>
        </w:tc>
        <w:tc>
          <w:tcPr>
            <w:tcW w:w="1194" w:type="dxa"/>
            <w:tcBorders>
              <w:top w:val="nil"/>
              <w:left w:val="nil"/>
              <w:bottom w:val="single" w:sz="4" w:space="0" w:color="auto"/>
              <w:right w:val="single" w:sz="4" w:space="0" w:color="auto"/>
            </w:tcBorders>
            <w:shd w:val="clear" w:color="auto" w:fill="auto"/>
            <w:noWrap/>
            <w:vAlign w:val="center"/>
            <w:hideMark/>
          </w:tcPr>
          <w:p w14:paraId="575DC48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4,57</w:t>
            </w:r>
          </w:p>
        </w:tc>
      </w:tr>
      <w:tr w:rsidR="00BF12D5" w:rsidRPr="00BD0223" w14:paraId="7CD18AA3"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0B442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INDIAPORA</w:t>
            </w:r>
          </w:p>
        </w:tc>
        <w:tc>
          <w:tcPr>
            <w:tcW w:w="1194" w:type="dxa"/>
            <w:tcBorders>
              <w:top w:val="nil"/>
              <w:left w:val="nil"/>
              <w:bottom w:val="single" w:sz="4" w:space="0" w:color="auto"/>
              <w:right w:val="single" w:sz="4" w:space="0" w:color="auto"/>
            </w:tcBorders>
            <w:shd w:val="clear" w:color="auto" w:fill="auto"/>
            <w:noWrap/>
            <w:vAlign w:val="center"/>
            <w:hideMark/>
          </w:tcPr>
          <w:p w14:paraId="6E5CC9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0,56</w:t>
            </w:r>
          </w:p>
        </w:tc>
        <w:tc>
          <w:tcPr>
            <w:tcW w:w="1194" w:type="dxa"/>
            <w:tcBorders>
              <w:top w:val="nil"/>
              <w:left w:val="nil"/>
              <w:bottom w:val="single" w:sz="4" w:space="0" w:color="auto"/>
              <w:right w:val="single" w:sz="4" w:space="0" w:color="auto"/>
            </w:tcBorders>
            <w:shd w:val="clear" w:color="auto" w:fill="auto"/>
            <w:noWrap/>
            <w:vAlign w:val="center"/>
            <w:hideMark/>
          </w:tcPr>
          <w:p w14:paraId="78A8B3E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0,54</w:t>
            </w:r>
          </w:p>
        </w:tc>
        <w:tc>
          <w:tcPr>
            <w:tcW w:w="1194" w:type="dxa"/>
            <w:tcBorders>
              <w:top w:val="nil"/>
              <w:left w:val="nil"/>
              <w:bottom w:val="single" w:sz="4" w:space="0" w:color="auto"/>
              <w:right w:val="single" w:sz="4" w:space="0" w:color="auto"/>
            </w:tcBorders>
            <w:shd w:val="clear" w:color="auto" w:fill="auto"/>
            <w:noWrap/>
            <w:vAlign w:val="center"/>
            <w:hideMark/>
          </w:tcPr>
          <w:p w14:paraId="7B0A025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0,57</w:t>
            </w:r>
          </w:p>
        </w:tc>
        <w:tc>
          <w:tcPr>
            <w:tcW w:w="1194" w:type="dxa"/>
            <w:tcBorders>
              <w:top w:val="nil"/>
              <w:left w:val="nil"/>
              <w:bottom w:val="single" w:sz="4" w:space="0" w:color="auto"/>
              <w:right w:val="single" w:sz="4" w:space="0" w:color="auto"/>
            </w:tcBorders>
            <w:shd w:val="clear" w:color="auto" w:fill="auto"/>
            <w:noWrap/>
            <w:vAlign w:val="center"/>
            <w:hideMark/>
          </w:tcPr>
          <w:p w14:paraId="4A0A00E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0,49</w:t>
            </w:r>
          </w:p>
        </w:tc>
      </w:tr>
      <w:tr w:rsidR="00BF12D5" w:rsidRPr="00BD0223" w14:paraId="13110FBA"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DC07E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IPIGUA</w:t>
            </w:r>
          </w:p>
        </w:tc>
        <w:tc>
          <w:tcPr>
            <w:tcW w:w="1194" w:type="dxa"/>
            <w:tcBorders>
              <w:top w:val="nil"/>
              <w:left w:val="nil"/>
              <w:bottom w:val="single" w:sz="4" w:space="0" w:color="auto"/>
              <w:right w:val="single" w:sz="4" w:space="0" w:color="auto"/>
            </w:tcBorders>
            <w:shd w:val="clear" w:color="auto" w:fill="auto"/>
            <w:noWrap/>
            <w:vAlign w:val="center"/>
            <w:hideMark/>
          </w:tcPr>
          <w:p w14:paraId="2CC40AC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194" w:type="dxa"/>
            <w:tcBorders>
              <w:top w:val="nil"/>
              <w:left w:val="nil"/>
              <w:bottom w:val="single" w:sz="4" w:space="0" w:color="auto"/>
              <w:right w:val="single" w:sz="4" w:space="0" w:color="auto"/>
            </w:tcBorders>
            <w:shd w:val="clear" w:color="auto" w:fill="auto"/>
            <w:noWrap/>
            <w:vAlign w:val="center"/>
            <w:hideMark/>
          </w:tcPr>
          <w:p w14:paraId="77DED5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0,31</w:t>
            </w:r>
          </w:p>
        </w:tc>
        <w:tc>
          <w:tcPr>
            <w:tcW w:w="1194" w:type="dxa"/>
            <w:tcBorders>
              <w:top w:val="nil"/>
              <w:left w:val="nil"/>
              <w:bottom w:val="single" w:sz="4" w:space="0" w:color="auto"/>
              <w:right w:val="single" w:sz="4" w:space="0" w:color="auto"/>
            </w:tcBorders>
            <w:shd w:val="clear" w:color="auto" w:fill="auto"/>
            <w:noWrap/>
            <w:vAlign w:val="center"/>
            <w:hideMark/>
          </w:tcPr>
          <w:p w14:paraId="3AA6F6D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0,31</w:t>
            </w:r>
          </w:p>
        </w:tc>
        <w:tc>
          <w:tcPr>
            <w:tcW w:w="1194" w:type="dxa"/>
            <w:tcBorders>
              <w:top w:val="nil"/>
              <w:left w:val="nil"/>
              <w:bottom w:val="single" w:sz="4" w:space="0" w:color="auto"/>
              <w:right w:val="single" w:sz="4" w:space="0" w:color="auto"/>
            </w:tcBorders>
            <w:shd w:val="clear" w:color="auto" w:fill="auto"/>
            <w:noWrap/>
            <w:vAlign w:val="center"/>
            <w:hideMark/>
          </w:tcPr>
          <w:p w14:paraId="3258C88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0,28</w:t>
            </w:r>
          </w:p>
        </w:tc>
      </w:tr>
      <w:tr w:rsidR="00BF12D5" w:rsidRPr="00BD0223" w14:paraId="131D755E"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09506A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IPUA</w:t>
            </w:r>
          </w:p>
        </w:tc>
        <w:tc>
          <w:tcPr>
            <w:tcW w:w="1194" w:type="dxa"/>
            <w:tcBorders>
              <w:top w:val="nil"/>
              <w:left w:val="nil"/>
              <w:bottom w:val="single" w:sz="4" w:space="0" w:color="auto"/>
              <w:right w:val="single" w:sz="4" w:space="0" w:color="auto"/>
            </w:tcBorders>
            <w:shd w:val="clear" w:color="auto" w:fill="auto"/>
            <w:noWrap/>
            <w:vAlign w:val="center"/>
            <w:hideMark/>
          </w:tcPr>
          <w:p w14:paraId="402CCAF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1,50</w:t>
            </w:r>
          </w:p>
        </w:tc>
        <w:tc>
          <w:tcPr>
            <w:tcW w:w="1194" w:type="dxa"/>
            <w:tcBorders>
              <w:top w:val="nil"/>
              <w:left w:val="nil"/>
              <w:bottom w:val="single" w:sz="4" w:space="0" w:color="auto"/>
              <w:right w:val="single" w:sz="4" w:space="0" w:color="auto"/>
            </w:tcBorders>
            <w:shd w:val="clear" w:color="auto" w:fill="auto"/>
            <w:noWrap/>
            <w:vAlign w:val="center"/>
            <w:hideMark/>
          </w:tcPr>
          <w:p w14:paraId="1174776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1,69</w:t>
            </w:r>
          </w:p>
        </w:tc>
        <w:tc>
          <w:tcPr>
            <w:tcW w:w="1194" w:type="dxa"/>
            <w:tcBorders>
              <w:top w:val="nil"/>
              <w:left w:val="nil"/>
              <w:bottom w:val="single" w:sz="4" w:space="0" w:color="auto"/>
              <w:right w:val="single" w:sz="4" w:space="0" w:color="auto"/>
            </w:tcBorders>
            <w:shd w:val="clear" w:color="auto" w:fill="auto"/>
            <w:noWrap/>
            <w:vAlign w:val="center"/>
            <w:hideMark/>
          </w:tcPr>
          <w:p w14:paraId="3C163B7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1,80</w:t>
            </w:r>
          </w:p>
        </w:tc>
        <w:tc>
          <w:tcPr>
            <w:tcW w:w="1194" w:type="dxa"/>
            <w:tcBorders>
              <w:top w:val="nil"/>
              <w:left w:val="nil"/>
              <w:bottom w:val="single" w:sz="4" w:space="0" w:color="auto"/>
              <w:right w:val="single" w:sz="4" w:space="0" w:color="auto"/>
            </w:tcBorders>
            <w:shd w:val="clear" w:color="auto" w:fill="auto"/>
            <w:noWrap/>
            <w:vAlign w:val="center"/>
            <w:hideMark/>
          </w:tcPr>
          <w:p w14:paraId="3BF3CD7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1,35</w:t>
            </w:r>
          </w:p>
        </w:tc>
      </w:tr>
      <w:tr w:rsidR="00BF12D5" w:rsidRPr="00BD0223" w14:paraId="75A1CB83"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C2C60A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IRAPUA</w:t>
            </w:r>
          </w:p>
        </w:tc>
        <w:tc>
          <w:tcPr>
            <w:tcW w:w="1194" w:type="dxa"/>
            <w:tcBorders>
              <w:top w:val="nil"/>
              <w:left w:val="nil"/>
              <w:bottom w:val="single" w:sz="4" w:space="0" w:color="auto"/>
              <w:right w:val="single" w:sz="4" w:space="0" w:color="auto"/>
            </w:tcBorders>
            <w:shd w:val="clear" w:color="auto" w:fill="auto"/>
            <w:noWrap/>
            <w:vAlign w:val="center"/>
            <w:hideMark/>
          </w:tcPr>
          <w:p w14:paraId="7D84C7C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0,99</w:t>
            </w:r>
          </w:p>
        </w:tc>
        <w:tc>
          <w:tcPr>
            <w:tcW w:w="1194" w:type="dxa"/>
            <w:tcBorders>
              <w:top w:val="nil"/>
              <w:left w:val="nil"/>
              <w:bottom w:val="single" w:sz="4" w:space="0" w:color="auto"/>
              <w:right w:val="single" w:sz="4" w:space="0" w:color="auto"/>
            </w:tcBorders>
            <w:shd w:val="clear" w:color="auto" w:fill="auto"/>
            <w:noWrap/>
            <w:vAlign w:val="center"/>
            <w:hideMark/>
          </w:tcPr>
          <w:p w14:paraId="69F0E05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1,34</w:t>
            </w:r>
          </w:p>
        </w:tc>
        <w:tc>
          <w:tcPr>
            <w:tcW w:w="1194" w:type="dxa"/>
            <w:tcBorders>
              <w:top w:val="nil"/>
              <w:left w:val="nil"/>
              <w:bottom w:val="single" w:sz="4" w:space="0" w:color="auto"/>
              <w:right w:val="single" w:sz="4" w:space="0" w:color="auto"/>
            </w:tcBorders>
            <w:shd w:val="clear" w:color="auto" w:fill="auto"/>
            <w:noWrap/>
            <w:vAlign w:val="center"/>
            <w:hideMark/>
          </w:tcPr>
          <w:p w14:paraId="58DBCC6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1,39</w:t>
            </w:r>
          </w:p>
        </w:tc>
        <w:tc>
          <w:tcPr>
            <w:tcW w:w="1194" w:type="dxa"/>
            <w:tcBorders>
              <w:top w:val="nil"/>
              <w:left w:val="nil"/>
              <w:bottom w:val="single" w:sz="4" w:space="0" w:color="auto"/>
              <w:right w:val="single" w:sz="4" w:space="0" w:color="auto"/>
            </w:tcBorders>
            <w:shd w:val="clear" w:color="auto" w:fill="auto"/>
            <w:noWrap/>
            <w:vAlign w:val="center"/>
            <w:hideMark/>
          </w:tcPr>
          <w:p w14:paraId="033DD1A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1,09</w:t>
            </w:r>
          </w:p>
        </w:tc>
      </w:tr>
      <w:tr w:rsidR="00BF12D5" w:rsidRPr="00BD0223" w14:paraId="02594327"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5B094F7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ITAJOBI</w:t>
            </w:r>
          </w:p>
        </w:tc>
        <w:tc>
          <w:tcPr>
            <w:tcW w:w="1194" w:type="dxa"/>
            <w:tcBorders>
              <w:top w:val="nil"/>
              <w:left w:val="nil"/>
              <w:bottom w:val="single" w:sz="4" w:space="0" w:color="auto"/>
              <w:right w:val="single" w:sz="4" w:space="0" w:color="auto"/>
            </w:tcBorders>
            <w:shd w:val="clear" w:color="auto" w:fill="auto"/>
            <w:noWrap/>
            <w:vAlign w:val="center"/>
            <w:hideMark/>
          </w:tcPr>
          <w:p w14:paraId="0F3B326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2,03</w:t>
            </w:r>
          </w:p>
        </w:tc>
        <w:tc>
          <w:tcPr>
            <w:tcW w:w="1194" w:type="dxa"/>
            <w:tcBorders>
              <w:top w:val="nil"/>
              <w:left w:val="nil"/>
              <w:bottom w:val="single" w:sz="4" w:space="0" w:color="auto"/>
              <w:right w:val="single" w:sz="4" w:space="0" w:color="auto"/>
            </w:tcBorders>
            <w:shd w:val="clear" w:color="auto" w:fill="auto"/>
            <w:noWrap/>
            <w:vAlign w:val="center"/>
            <w:hideMark/>
          </w:tcPr>
          <w:p w14:paraId="6D0836A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2,18</w:t>
            </w:r>
          </w:p>
        </w:tc>
        <w:tc>
          <w:tcPr>
            <w:tcW w:w="1194" w:type="dxa"/>
            <w:tcBorders>
              <w:top w:val="nil"/>
              <w:left w:val="nil"/>
              <w:bottom w:val="single" w:sz="4" w:space="0" w:color="auto"/>
              <w:right w:val="single" w:sz="4" w:space="0" w:color="auto"/>
            </w:tcBorders>
            <w:shd w:val="clear" w:color="auto" w:fill="auto"/>
            <w:noWrap/>
            <w:vAlign w:val="center"/>
            <w:hideMark/>
          </w:tcPr>
          <w:p w14:paraId="6F26BF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2,21</w:t>
            </w:r>
          </w:p>
        </w:tc>
        <w:tc>
          <w:tcPr>
            <w:tcW w:w="1194" w:type="dxa"/>
            <w:tcBorders>
              <w:top w:val="nil"/>
              <w:left w:val="nil"/>
              <w:bottom w:val="single" w:sz="4" w:space="0" w:color="auto"/>
              <w:right w:val="single" w:sz="4" w:space="0" w:color="auto"/>
            </w:tcBorders>
            <w:shd w:val="clear" w:color="auto" w:fill="auto"/>
            <w:noWrap/>
            <w:vAlign w:val="center"/>
            <w:hideMark/>
          </w:tcPr>
          <w:p w14:paraId="3C7C29B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1,88</w:t>
            </w:r>
          </w:p>
        </w:tc>
      </w:tr>
      <w:tr w:rsidR="00BF12D5" w:rsidRPr="00BD0223" w14:paraId="0B9FC2B3"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571D1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lastRenderedPageBreak/>
              <w:t>ITIRAPUA</w:t>
            </w:r>
          </w:p>
        </w:tc>
        <w:tc>
          <w:tcPr>
            <w:tcW w:w="1194" w:type="dxa"/>
            <w:tcBorders>
              <w:top w:val="nil"/>
              <w:left w:val="nil"/>
              <w:bottom w:val="single" w:sz="4" w:space="0" w:color="auto"/>
              <w:right w:val="single" w:sz="4" w:space="0" w:color="auto"/>
            </w:tcBorders>
            <w:shd w:val="clear" w:color="auto" w:fill="auto"/>
            <w:noWrap/>
            <w:vAlign w:val="center"/>
            <w:hideMark/>
          </w:tcPr>
          <w:p w14:paraId="6A78A37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0,75</w:t>
            </w:r>
          </w:p>
        </w:tc>
        <w:tc>
          <w:tcPr>
            <w:tcW w:w="1194" w:type="dxa"/>
            <w:tcBorders>
              <w:top w:val="nil"/>
              <w:left w:val="nil"/>
              <w:bottom w:val="single" w:sz="4" w:space="0" w:color="auto"/>
              <w:right w:val="single" w:sz="4" w:space="0" w:color="auto"/>
            </w:tcBorders>
            <w:shd w:val="clear" w:color="auto" w:fill="auto"/>
            <w:noWrap/>
            <w:vAlign w:val="center"/>
            <w:hideMark/>
          </w:tcPr>
          <w:p w14:paraId="3124DBB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0,80</w:t>
            </w:r>
          </w:p>
        </w:tc>
        <w:tc>
          <w:tcPr>
            <w:tcW w:w="1194" w:type="dxa"/>
            <w:tcBorders>
              <w:top w:val="nil"/>
              <w:left w:val="nil"/>
              <w:bottom w:val="single" w:sz="4" w:space="0" w:color="auto"/>
              <w:right w:val="single" w:sz="4" w:space="0" w:color="auto"/>
            </w:tcBorders>
            <w:shd w:val="clear" w:color="auto" w:fill="auto"/>
            <w:noWrap/>
            <w:vAlign w:val="center"/>
            <w:hideMark/>
          </w:tcPr>
          <w:p w14:paraId="6E0CAA4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0,89</w:t>
            </w:r>
          </w:p>
        </w:tc>
        <w:tc>
          <w:tcPr>
            <w:tcW w:w="1194" w:type="dxa"/>
            <w:tcBorders>
              <w:top w:val="nil"/>
              <w:left w:val="nil"/>
              <w:bottom w:val="single" w:sz="4" w:space="0" w:color="auto"/>
              <w:right w:val="single" w:sz="4" w:space="0" w:color="auto"/>
            </w:tcBorders>
            <w:shd w:val="clear" w:color="auto" w:fill="auto"/>
            <w:noWrap/>
            <w:vAlign w:val="center"/>
            <w:hideMark/>
          </w:tcPr>
          <w:p w14:paraId="76ED609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0,74</w:t>
            </w:r>
          </w:p>
        </w:tc>
      </w:tr>
      <w:tr w:rsidR="00BF12D5" w:rsidRPr="00BD0223" w14:paraId="5B759CEB"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AFCFCE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ITUVERAVA</w:t>
            </w:r>
          </w:p>
        </w:tc>
        <w:tc>
          <w:tcPr>
            <w:tcW w:w="1194" w:type="dxa"/>
            <w:tcBorders>
              <w:top w:val="nil"/>
              <w:left w:val="nil"/>
              <w:bottom w:val="single" w:sz="4" w:space="0" w:color="auto"/>
              <w:right w:val="single" w:sz="4" w:space="0" w:color="auto"/>
            </w:tcBorders>
            <w:shd w:val="clear" w:color="auto" w:fill="auto"/>
            <w:noWrap/>
            <w:vAlign w:val="center"/>
            <w:hideMark/>
          </w:tcPr>
          <w:p w14:paraId="267F2CB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6,35</w:t>
            </w:r>
          </w:p>
        </w:tc>
        <w:tc>
          <w:tcPr>
            <w:tcW w:w="1194" w:type="dxa"/>
            <w:tcBorders>
              <w:top w:val="nil"/>
              <w:left w:val="nil"/>
              <w:bottom w:val="single" w:sz="4" w:space="0" w:color="auto"/>
              <w:right w:val="single" w:sz="4" w:space="0" w:color="auto"/>
            </w:tcBorders>
            <w:shd w:val="clear" w:color="auto" w:fill="auto"/>
            <w:noWrap/>
            <w:vAlign w:val="center"/>
            <w:hideMark/>
          </w:tcPr>
          <w:p w14:paraId="77E4546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6,59</w:t>
            </w:r>
          </w:p>
        </w:tc>
        <w:tc>
          <w:tcPr>
            <w:tcW w:w="1194" w:type="dxa"/>
            <w:tcBorders>
              <w:top w:val="nil"/>
              <w:left w:val="nil"/>
              <w:bottom w:val="single" w:sz="4" w:space="0" w:color="auto"/>
              <w:right w:val="single" w:sz="4" w:space="0" w:color="auto"/>
            </w:tcBorders>
            <w:shd w:val="clear" w:color="auto" w:fill="auto"/>
            <w:noWrap/>
            <w:vAlign w:val="center"/>
            <w:hideMark/>
          </w:tcPr>
          <w:p w14:paraId="0D86FC6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7,48</w:t>
            </w:r>
          </w:p>
        </w:tc>
        <w:tc>
          <w:tcPr>
            <w:tcW w:w="1194" w:type="dxa"/>
            <w:tcBorders>
              <w:top w:val="nil"/>
              <w:left w:val="nil"/>
              <w:bottom w:val="single" w:sz="4" w:space="0" w:color="auto"/>
              <w:right w:val="single" w:sz="4" w:space="0" w:color="auto"/>
            </w:tcBorders>
            <w:shd w:val="clear" w:color="auto" w:fill="auto"/>
            <w:noWrap/>
            <w:vAlign w:val="center"/>
            <w:hideMark/>
          </w:tcPr>
          <w:p w14:paraId="0E8D3D4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6,22</w:t>
            </w:r>
          </w:p>
        </w:tc>
      </w:tr>
      <w:tr w:rsidR="00BF12D5" w:rsidRPr="00BD0223" w14:paraId="633429C4"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A11DD6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JABORANDI</w:t>
            </w:r>
          </w:p>
        </w:tc>
        <w:tc>
          <w:tcPr>
            <w:tcW w:w="1194" w:type="dxa"/>
            <w:tcBorders>
              <w:top w:val="nil"/>
              <w:left w:val="nil"/>
              <w:bottom w:val="single" w:sz="4" w:space="0" w:color="auto"/>
              <w:right w:val="single" w:sz="4" w:space="0" w:color="auto"/>
            </w:tcBorders>
            <w:shd w:val="clear" w:color="auto" w:fill="auto"/>
            <w:noWrap/>
            <w:vAlign w:val="center"/>
            <w:hideMark/>
          </w:tcPr>
          <w:p w14:paraId="2A689AA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0,61</w:t>
            </w:r>
          </w:p>
        </w:tc>
        <w:tc>
          <w:tcPr>
            <w:tcW w:w="1194" w:type="dxa"/>
            <w:tcBorders>
              <w:top w:val="nil"/>
              <w:left w:val="nil"/>
              <w:bottom w:val="single" w:sz="4" w:space="0" w:color="auto"/>
              <w:right w:val="single" w:sz="4" w:space="0" w:color="auto"/>
            </w:tcBorders>
            <w:shd w:val="clear" w:color="auto" w:fill="auto"/>
            <w:noWrap/>
            <w:vAlign w:val="center"/>
            <w:hideMark/>
          </w:tcPr>
          <w:p w14:paraId="0A02D74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0,58</w:t>
            </w:r>
          </w:p>
        </w:tc>
        <w:tc>
          <w:tcPr>
            <w:tcW w:w="1194" w:type="dxa"/>
            <w:tcBorders>
              <w:top w:val="nil"/>
              <w:left w:val="nil"/>
              <w:bottom w:val="single" w:sz="4" w:space="0" w:color="auto"/>
              <w:right w:val="single" w:sz="4" w:space="0" w:color="auto"/>
            </w:tcBorders>
            <w:shd w:val="clear" w:color="auto" w:fill="auto"/>
            <w:noWrap/>
            <w:vAlign w:val="center"/>
            <w:hideMark/>
          </w:tcPr>
          <w:p w14:paraId="2A08D4D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0,52</w:t>
            </w:r>
          </w:p>
        </w:tc>
        <w:tc>
          <w:tcPr>
            <w:tcW w:w="1194" w:type="dxa"/>
            <w:tcBorders>
              <w:top w:val="nil"/>
              <w:left w:val="nil"/>
              <w:bottom w:val="single" w:sz="4" w:space="0" w:color="auto"/>
              <w:right w:val="single" w:sz="4" w:space="0" w:color="auto"/>
            </w:tcBorders>
            <w:shd w:val="clear" w:color="auto" w:fill="auto"/>
            <w:noWrap/>
            <w:vAlign w:val="center"/>
            <w:hideMark/>
          </w:tcPr>
          <w:p w14:paraId="2FDA42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0,43</w:t>
            </w:r>
          </w:p>
        </w:tc>
      </w:tr>
      <w:tr w:rsidR="00BF12D5" w:rsidRPr="00BD0223" w14:paraId="78F8E494"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33324E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JABOTICABAL</w:t>
            </w:r>
          </w:p>
        </w:tc>
        <w:tc>
          <w:tcPr>
            <w:tcW w:w="1194" w:type="dxa"/>
            <w:tcBorders>
              <w:top w:val="nil"/>
              <w:left w:val="nil"/>
              <w:bottom w:val="single" w:sz="4" w:space="0" w:color="auto"/>
              <w:right w:val="single" w:sz="4" w:space="0" w:color="auto"/>
            </w:tcBorders>
            <w:shd w:val="clear" w:color="auto" w:fill="auto"/>
            <w:noWrap/>
            <w:vAlign w:val="center"/>
            <w:hideMark/>
          </w:tcPr>
          <w:p w14:paraId="3C1CD1C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12,73</w:t>
            </w:r>
          </w:p>
        </w:tc>
        <w:tc>
          <w:tcPr>
            <w:tcW w:w="1194" w:type="dxa"/>
            <w:tcBorders>
              <w:top w:val="nil"/>
              <w:left w:val="nil"/>
              <w:bottom w:val="single" w:sz="4" w:space="0" w:color="auto"/>
              <w:right w:val="single" w:sz="4" w:space="0" w:color="auto"/>
            </w:tcBorders>
            <w:shd w:val="clear" w:color="auto" w:fill="auto"/>
            <w:noWrap/>
            <w:vAlign w:val="center"/>
            <w:hideMark/>
          </w:tcPr>
          <w:p w14:paraId="38A850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12,55</w:t>
            </w:r>
          </w:p>
        </w:tc>
        <w:tc>
          <w:tcPr>
            <w:tcW w:w="1194" w:type="dxa"/>
            <w:tcBorders>
              <w:top w:val="nil"/>
              <w:left w:val="nil"/>
              <w:bottom w:val="single" w:sz="4" w:space="0" w:color="auto"/>
              <w:right w:val="single" w:sz="4" w:space="0" w:color="auto"/>
            </w:tcBorders>
            <w:shd w:val="clear" w:color="auto" w:fill="auto"/>
            <w:noWrap/>
            <w:vAlign w:val="center"/>
            <w:hideMark/>
          </w:tcPr>
          <w:p w14:paraId="2C233C7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13,21</w:t>
            </w:r>
          </w:p>
        </w:tc>
        <w:tc>
          <w:tcPr>
            <w:tcW w:w="1194" w:type="dxa"/>
            <w:tcBorders>
              <w:top w:val="nil"/>
              <w:left w:val="nil"/>
              <w:bottom w:val="single" w:sz="4" w:space="0" w:color="auto"/>
              <w:right w:val="single" w:sz="4" w:space="0" w:color="auto"/>
            </w:tcBorders>
            <w:shd w:val="clear" w:color="auto" w:fill="auto"/>
            <w:noWrap/>
            <w:vAlign w:val="center"/>
            <w:hideMark/>
          </w:tcPr>
          <w:p w14:paraId="5ED3A8A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11,29</w:t>
            </w:r>
          </w:p>
        </w:tc>
      </w:tr>
      <w:tr w:rsidR="00BF12D5" w:rsidRPr="00BD0223" w14:paraId="1E6BACB4"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F65F58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JACI</w:t>
            </w:r>
          </w:p>
        </w:tc>
        <w:tc>
          <w:tcPr>
            <w:tcW w:w="1194" w:type="dxa"/>
            <w:tcBorders>
              <w:top w:val="nil"/>
              <w:left w:val="nil"/>
              <w:bottom w:val="single" w:sz="4" w:space="0" w:color="auto"/>
              <w:right w:val="single" w:sz="4" w:space="0" w:color="auto"/>
            </w:tcBorders>
            <w:shd w:val="clear" w:color="auto" w:fill="auto"/>
            <w:noWrap/>
            <w:vAlign w:val="center"/>
            <w:hideMark/>
          </w:tcPr>
          <w:p w14:paraId="05892E5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1,10</w:t>
            </w:r>
          </w:p>
        </w:tc>
        <w:tc>
          <w:tcPr>
            <w:tcW w:w="1194" w:type="dxa"/>
            <w:tcBorders>
              <w:top w:val="nil"/>
              <w:left w:val="nil"/>
              <w:bottom w:val="single" w:sz="4" w:space="0" w:color="auto"/>
              <w:right w:val="single" w:sz="4" w:space="0" w:color="auto"/>
            </w:tcBorders>
            <w:shd w:val="clear" w:color="auto" w:fill="auto"/>
            <w:noWrap/>
            <w:vAlign w:val="center"/>
            <w:hideMark/>
          </w:tcPr>
          <w:p w14:paraId="7AC266A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1,08</w:t>
            </w:r>
          </w:p>
        </w:tc>
        <w:tc>
          <w:tcPr>
            <w:tcW w:w="1194" w:type="dxa"/>
            <w:tcBorders>
              <w:top w:val="nil"/>
              <w:left w:val="nil"/>
              <w:bottom w:val="single" w:sz="4" w:space="0" w:color="auto"/>
              <w:right w:val="single" w:sz="4" w:space="0" w:color="auto"/>
            </w:tcBorders>
            <w:shd w:val="clear" w:color="auto" w:fill="auto"/>
            <w:noWrap/>
            <w:vAlign w:val="center"/>
            <w:hideMark/>
          </w:tcPr>
          <w:p w14:paraId="0EEA4D8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1,07</w:t>
            </w:r>
          </w:p>
        </w:tc>
        <w:tc>
          <w:tcPr>
            <w:tcW w:w="1194" w:type="dxa"/>
            <w:tcBorders>
              <w:top w:val="nil"/>
              <w:left w:val="nil"/>
              <w:bottom w:val="single" w:sz="4" w:space="0" w:color="auto"/>
              <w:right w:val="single" w:sz="4" w:space="0" w:color="auto"/>
            </w:tcBorders>
            <w:shd w:val="clear" w:color="auto" w:fill="auto"/>
            <w:noWrap/>
            <w:vAlign w:val="center"/>
            <w:hideMark/>
          </w:tcPr>
          <w:p w14:paraId="4DADC5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0,89</w:t>
            </w:r>
          </w:p>
        </w:tc>
      </w:tr>
      <w:tr w:rsidR="00BF12D5" w:rsidRPr="00BD0223" w14:paraId="5D11EF02"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3CD3A1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JALES</w:t>
            </w:r>
          </w:p>
        </w:tc>
        <w:tc>
          <w:tcPr>
            <w:tcW w:w="1194" w:type="dxa"/>
            <w:tcBorders>
              <w:top w:val="nil"/>
              <w:left w:val="nil"/>
              <w:bottom w:val="single" w:sz="4" w:space="0" w:color="auto"/>
              <w:right w:val="single" w:sz="4" w:space="0" w:color="auto"/>
            </w:tcBorders>
            <w:shd w:val="clear" w:color="auto" w:fill="auto"/>
            <w:noWrap/>
            <w:vAlign w:val="center"/>
            <w:hideMark/>
          </w:tcPr>
          <w:p w14:paraId="133AC0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10,77</w:t>
            </w:r>
          </w:p>
        </w:tc>
        <w:tc>
          <w:tcPr>
            <w:tcW w:w="1194" w:type="dxa"/>
            <w:tcBorders>
              <w:top w:val="nil"/>
              <w:left w:val="nil"/>
              <w:bottom w:val="single" w:sz="4" w:space="0" w:color="auto"/>
              <w:right w:val="single" w:sz="4" w:space="0" w:color="auto"/>
            </w:tcBorders>
            <w:shd w:val="clear" w:color="auto" w:fill="auto"/>
            <w:noWrap/>
            <w:vAlign w:val="center"/>
            <w:hideMark/>
          </w:tcPr>
          <w:p w14:paraId="4FFAAC0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13,48</w:t>
            </w:r>
          </w:p>
        </w:tc>
        <w:tc>
          <w:tcPr>
            <w:tcW w:w="1194" w:type="dxa"/>
            <w:tcBorders>
              <w:top w:val="nil"/>
              <w:left w:val="nil"/>
              <w:bottom w:val="single" w:sz="4" w:space="0" w:color="auto"/>
              <w:right w:val="single" w:sz="4" w:space="0" w:color="auto"/>
            </w:tcBorders>
            <w:shd w:val="clear" w:color="auto" w:fill="auto"/>
            <w:noWrap/>
            <w:vAlign w:val="center"/>
            <w:hideMark/>
          </w:tcPr>
          <w:p w14:paraId="5EA6869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14,93</w:t>
            </w:r>
          </w:p>
        </w:tc>
        <w:tc>
          <w:tcPr>
            <w:tcW w:w="1194" w:type="dxa"/>
            <w:tcBorders>
              <w:top w:val="nil"/>
              <w:left w:val="nil"/>
              <w:bottom w:val="single" w:sz="4" w:space="0" w:color="auto"/>
              <w:right w:val="single" w:sz="4" w:space="0" w:color="auto"/>
            </w:tcBorders>
            <w:shd w:val="clear" w:color="auto" w:fill="auto"/>
            <w:noWrap/>
            <w:vAlign w:val="center"/>
            <w:hideMark/>
          </w:tcPr>
          <w:p w14:paraId="35857CC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11,46</w:t>
            </w:r>
          </w:p>
        </w:tc>
      </w:tr>
      <w:tr w:rsidR="00BF12D5" w:rsidRPr="00BD0223" w14:paraId="6108E468"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40B09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JARDINOPOLIS</w:t>
            </w:r>
          </w:p>
        </w:tc>
        <w:tc>
          <w:tcPr>
            <w:tcW w:w="1194" w:type="dxa"/>
            <w:tcBorders>
              <w:top w:val="nil"/>
              <w:left w:val="nil"/>
              <w:bottom w:val="single" w:sz="4" w:space="0" w:color="auto"/>
              <w:right w:val="single" w:sz="4" w:space="0" w:color="auto"/>
            </w:tcBorders>
            <w:shd w:val="clear" w:color="auto" w:fill="auto"/>
            <w:noWrap/>
            <w:vAlign w:val="center"/>
            <w:hideMark/>
          </w:tcPr>
          <w:p w14:paraId="067665E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8,37</w:t>
            </w:r>
          </w:p>
        </w:tc>
        <w:tc>
          <w:tcPr>
            <w:tcW w:w="1194" w:type="dxa"/>
            <w:tcBorders>
              <w:top w:val="nil"/>
              <w:left w:val="nil"/>
              <w:bottom w:val="single" w:sz="4" w:space="0" w:color="auto"/>
              <w:right w:val="single" w:sz="4" w:space="0" w:color="auto"/>
            </w:tcBorders>
            <w:shd w:val="clear" w:color="auto" w:fill="auto"/>
            <w:noWrap/>
            <w:vAlign w:val="center"/>
            <w:hideMark/>
          </w:tcPr>
          <w:p w14:paraId="07313D8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8,03</w:t>
            </w:r>
          </w:p>
        </w:tc>
        <w:tc>
          <w:tcPr>
            <w:tcW w:w="1194" w:type="dxa"/>
            <w:tcBorders>
              <w:top w:val="nil"/>
              <w:left w:val="nil"/>
              <w:bottom w:val="single" w:sz="4" w:space="0" w:color="auto"/>
              <w:right w:val="single" w:sz="4" w:space="0" w:color="auto"/>
            </w:tcBorders>
            <w:shd w:val="clear" w:color="auto" w:fill="auto"/>
            <w:noWrap/>
            <w:vAlign w:val="center"/>
            <w:hideMark/>
          </w:tcPr>
          <w:p w14:paraId="0712CE6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7,74</w:t>
            </w:r>
          </w:p>
        </w:tc>
        <w:tc>
          <w:tcPr>
            <w:tcW w:w="1194" w:type="dxa"/>
            <w:tcBorders>
              <w:top w:val="nil"/>
              <w:left w:val="nil"/>
              <w:bottom w:val="single" w:sz="4" w:space="0" w:color="auto"/>
              <w:right w:val="single" w:sz="4" w:space="0" w:color="auto"/>
            </w:tcBorders>
            <w:shd w:val="clear" w:color="auto" w:fill="auto"/>
            <w:noWrap/>
            <w:vAlign w:val="center"/>
            <w:hideMark/>
          </w:tcPr>
          <w:p w14:paraId="7785BF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7,25</w:t>
            </w:r>
          </w:p>
        </w:tc>
      </w:tr>
      <w:tr w:rsidR="00BF12D5" w:rsidRPr="00BD0223" w14:paraId="4B187562"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D2F58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JERIQUARA</w:t>
            </w:r>
          </w:p>
        </w:tc>
        <w:tc>
          <w:tcPr>
            <w:tcW w:w="1194" w:type="dxa"/>
            <w:tcBorders>
              <w:top w:val="nil"/>
              <w:left w:val="nil"/>
              <w:bottom w:val="single" w:sz="4" w:space="0" w:color="auto"/>
              <w:right w:val="single" w:sz="4" w:space="0" w:color="auto"/>
            </w:tcBorders>
            <w:shd w:val="clear" w:color="auto" w:fill="auto"/>
            <w:noWrap/>
            <w:vAlign w:val="center"/>
            <w:hideMark/>
          </w:tcPr>
          <w:p w14:paraId="0C5B58B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0,46</w:t>
            </w:r>
          </w:p>
        </w:tc>
        <w:tc>
          <w:tcPr>
            <w:tcW w:w="1194" w:type="dxa"/>
            <w:tcBorders>
              <w:top w:val="nil"/>
              <w:left w:val="nil"/>
              <w:bottom w:val="single" w:sz="4" w:space="0" w:color="auto"/>
              <w:right w:val="single" w:sz="4" w:space="0" w:color="auto"/>
            </w:tcBorders>
            <w:shd w:val="clear" w:color="auto" w:fill="auto"/>
            <w:noWrap/>
            <w:vAlign w:val="center"/>
            <w:hideMark/>
          </w:tcPr>
          <w:p w14:paraId="2768318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0,56</w:t>
            </w:r>
          </w:p>
        </w:tc>
        <w:tc>
          <w:tcPr>
            <w:tcW w:w="1194" w:type="dxa"/>
            <w:tcBorders>
              <w:top w:val="nil"/>
              <w:left w:val="nil"/>
              <w:bottom w:val="single" w:sz="4" w:space="0" w:color="auto"/>
              <w:right w:val="single" w:sz="4" w:space="0" w:color="auto"/>
            </w:tcBorders>
            <w:shd w:val="clear" w:color="auto" w:fill="auto"/>
            <w:noWrap/>
            <w:vAlign w:val="center"/>
            <w:hideMark/>
          </w:tcPr>
          <w:p w14:paraId="63413D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0,64</w:t>
            </w:r>
          </w:p>
        </w:tc>
        <w:tc>
          <w:tcPr>
            <w:tcW w:w="1194" w:type="dxa"/>
            <w:tcBorders>
              <w:top w:val="nil"/>
              <w:left w:val="nil"/>
              <w:bottom w:val="single" w:sz="4" w:space="0" w:color="auto"/>
              <w:right w:val="single" w:sz="4" w:space="0" w:color="auto"/>
            </w:tcBorders>
            <w:shd w:val="clear" w:color="auto" w:fill="auto"/>
            <w:noWrap/>
            <w:vAlign w:val="center"/>
            <w:hideMark/>
          </w:tcPr>
          <w:p w14:paraId="58E7AE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0,55</w:t>
            </w:r>
          </w:p>
        </w:tc>
      </w:tr>
      <w:tr w:rsidR="00BF12D5" w:rsidRPr="00BD0223" w14:paraId="128921FA"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45BFD6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JOSE BONIFACIO</w:t>
            </w:r>
          </w:p>
        </w:tc>
        <w:tc>
          <w:tcPr>
            <w:tcW w:w="1194" w:type="dxa"/>
            <w:tcBorders>
              <w:top w:val="nil"/>
              <w:left w:val="nil"/>
              <w:bottom w:val="single" w:sz="4" w:space="0" w:color="auto"/>
              <w:right w:val="single" w:sz="4" w:space="0" w:color="auto"/>
            </w:tcBorders>
            <w:shd w:val="clear" w:color="auto" w:fill="auto"/>
            <w:noWrap/>
            <w:vAlign w:val="center"/>
            <w:hideMark/>
          </w:tcPr>
          <w:p w14:paraId="581539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6,33</w:t>
            </w:r>
          </w:p>
        </w:tc>
        <w:tc>
          <w:tcPr>
            <w:tcW w:w="1194" w:type="dxa"/>
            <w:tcBorders>
              <w:top w:val="nil"/>
              <w:left w:val="nil"/>
              <w:bottom w:val="single" w:sz="4" w:space="0" w:color="auto"/>
              <w:right w:val="single" w:sz="4" w:space="0" w:color="auto"/>
            </w:tcBorders>
            <w:shd w:val="clear" w:color="auto" w:fill="auto"/>
            <w:noWrap/>
            <w:vAlign w:val="center"/>
            <w:hideMark/>
          </w:tcPr>
          <w:p w14:paraId="414133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6,75</w:t>
            </w:r>
          </w:p>
        </w:tc>
        <w:tc>
          <w:tcPr>
            <w:tcW w:w="1194" w:type="dxa"/>
            <w:tcBorders>
              <w:top w:val="nil"/>
              <w:left w:val="nil"/>
              <w:bottom w:val="single" w:sz="4" w:space="0" w:color="auto"/>
              <w:right w:val="single" w:sz="4" w:space="0" w:color="auto"/>
            </w:tcBorders>
            <w:shd w:val="clear" w:color="auto" w:fill="auto"/>
            <w:noWrap/>
            <w:vAlign w:val="center"/>
            <w:hideMark/>
          </w:tcPr>
          <w:p w14:paraId="7D66348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6,71</w:t>
            </w:r>
          </w:p>
        </w:tc>
        <w:tc>
          <w:tcPr>
            <w:tcW w:w="1194" w:type="dxa"/>
            <w:tcBorders>
              <w:top w:val="nil"/>
              <w:left w:val="nil"/>
              <w:bottom w:val="single" w:sz="4" w:space="0" w:color="auto"/>
              <w:right w:val="single" w:sz="4" w:space="0" w:color="auto"/>
            </w:tcBorders>
            <w:shd w:val="clear" w:color="auto" w:fill="auto"/>
            <w:noWrap/>
            <w:vAlign w:val="center"/>
            <w:hideMark/>
          </w:tcPr>
          <w:p w14:paraId="54F9E9B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5,32</w:t>
            </w:r>
          </w:p>
        </w:tc>
      </w:tr>
      <w:tr w:rsidR="00BF12D5" w:rsidRPr="00BD0223" w14:paraId="59F5A3A2"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1E9224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LUIS ANTONIO</w:t>
            </w:r>
          </w:p>
        </w:tc>
        <w:tc>
          <w:tcPr>
            <w:tcW w:w="1194" w:type="dxa"/>
            <w:tcBorders>
              <w:top w:val="nil"/>
              <w:left w:val="nil"/>
              <w:bottom w:val="single" w:sz="4" w:space="0" w:color="auto"/>
              <w:right w:val="single" w:sz="4" w:space="0" w:color="auto"/>
            </w:tcBorders>
            <w:shd w:val="clear" w:color="auto" w:fill="auto"/>
            <w:noWrap/>
            <w:vAlign w:val="center"/>
            <w:hideMark/>
          </w:tcPr>
          <w:p w14:paraId="57D4C8F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1,49</w:t>
            </w:r>
          </w:p>
        </w:tc>
        <w:tc>
          <w:tcPr>
            <w:tcW w:w="1194" w:type="dxa"/>
            <w:tcBorders>
              <w:top w:val="nil"/>
              <w:left w:val="nil"/>
              <w:bottom w:val="single" w:sz="4" w:space="0" w:color="auto"/>
              <w:right w:val="single" w:sz="4" w:space="0" w:color="auto"/>
            </w:tcBorders>
            <w:shd w:val="clear" w:color="auto" w:fill="auto"/>
            <w:noWrap/>
            <w:vAlign w:val="center"/>
            <w:hideMark/>
          </w:tcPr>
          <w:p w14:paraId="192DCCE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1,46</w:t>
            </w:r>
          </w:p>
        </w:tc>
        <w:tc>
          <w:tcPr>
            <w:tcW w:w="1194" w:type="dxa"/>
            <w:tcBorders>
              <w:top w:val="nil"/>
              <w:left w:val="nil"/>
              <w:bottom w:val="single" w:sz="4" w:space="0" w:color="auto"/>
              <w:right w:val="single" w:sz="4" w:space="0" w:color="auto"/>
            </w:tcBorders>
            <w:shd w:val="clear" w:color="auto" w:fill="auto"/>
            <w:noWrap/>
            <w:vAlign w:val="center"/>
            <w:hideMark/>
          </w:tcPr>
          <w:p w14:paraId="0D19628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1,51</w:t>
            </w:r>
          </w:p>
        </w:tc>
        <w:tc>
          <w:tcPr>
            <w:tcW w:w="1194" w:type="dxa"/>
            <w:tcBorders>
              <w:top w:val="nil"/>
              <w:left w:val="nil"/>
              <w:bottom w:val="single" w:sz="4" w:space="0" w:color="auto"/>
              <w:right w:val="single" w:sz="4" w:space="0" w:color="auto"/>
            </w:tcBorders>
            <w:shd w:val="clear" w:color="auto" w:fill="auto"/>
            <w:noWrap/>
            <w:vAlign w:val="center"/>
            <w:hideMark/>
          </w:tcPr>
          <w:p w14:paraId="21E49A0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1,17</w:t>
            </w:r>
          </w:p>
        </w:tc>
      </w:tr>
      <w:tr w:rsidR="00BF12D5" w:rsidRPr="00BD0223" w14:paraId="3E7E5D14"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F93545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MACAUBAL</w:t>
            </w:r>
          </w:p>
        </w:tc>
        <w:tc>
          <w:tcPr>
            <w:tcW w:w="1194" w:type="dxa"/>
            <w:tcBorders>
              <w:top w:val="nil"/>
              <w:left w:val="nil"/>
              <w:bottom w:val="single" w:sz="4" w:space="0" w:color="auto"/>
              <w:right w:val="single" w:sz="4" w:space="0" w:color="auto"/>
            </w:tcBorders>
            <w:shd w:val="clear" w:color="auto" w:fill="auto"/>
            <w:noWrap/>
            <w:vAlign w:val="center"/>
            <w:hideMark/>
          </w:tcPr>
          <w:p w14:paraId="121698C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1,04</w:t>
            </w:r>
          </w:p>
        </w:tc>
        <w:tc>
          <w:tcPr>
            <w:tcW w:w="1194" w:type="dxa"/>
            <w:tcBorders>
              <w:top w:val="nil"/>
              <w:left w:val="nil"/>
              <w:bottom w:val="single" w:sz="4" w:space="0" w:color="auto"/>
              <w:right w:val="single" w:sz="4" w:space="0" w:color="auto"/>
            </w:tcBorders>
            <w:shd w:val="clear" w:color="auto" w:fill="auto"/>
            <w:noWrap/>
            <w:vAlign w:val="center"/>
            <w:hideMark/>
          </w:tcPr>
          <w:p w14:paraId="07F076C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1,29</w:t>
            </w:r>
          </w:p>
        </w:tc>
        <w:tc>
          <w:tcPr>
            <w:tcW w:w="1194" w:type="dxa"/>
            <w:tcBorders>
              <w:top w:val="nil"/>
              <w:left w:val="nil"/>
              <w:bottom w:val="single" w:sz="4" w:space="0" w:color="auto"/>
              <w:right w:val="single" w:sz="4" w:space="0" w:color="auto"/>
            </w:tcBorders>
            <w:shd w:val="clear" w:color="auto" w:fill="auto"/>
            <w:noWrap/>
            <w:vAlign w:val="center"/>
            <w:hideMark/>
          </w:tcPr>
          <w:p w14:paraId="2F0920E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1,13</w:t>
            </w:r>
          </w:p>
        </w:tc>
        <w:tc>
          <w:tcPr>
            <w:tcW w:w="1194" w:type="dxa"/>
            <w:tcBorders>
              <w:top w:val="nil"/>
              <w:left w:val="nil"/>
              <w:bottom w:val="single" w:sz="4" w:space="0" w:color="auto"/>
              <w:right w:val="single" w:sz="4" w:space="0" w:color="auto"/>
            </w:tcBorders>
            <w:shd w:val="clear" w:color="auto" w:fill="auto"/>
            <w:noWrap/>
            <w:vAlign w:val="center"/>
            <w:hideMark/>
          </w:tcPr>
          <w:p w14:paraId="0C4141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0,88</w:t>
            </w:r>
          </w:p>
        </w:tc>
      </w:tr>
      <w:tr w:rsidR="00BF12D5" w:rsidRPr="00BD0223" w14:paraId="15ED07A9"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0C5A19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MACEDONIA</w:t>
            </w:r>
          </w:p>
        </w:tc>
        <w:tc>
          <w:tcPr>
            <w:tcW w:w="1194" w:type="dxa"/>
            <w:tcBorders>
              <w:top w:val="nil"/>
              <w:left w:val="nil"/>
              <w:bottom w:val="single" w:sz="4" w:space="0" w:color="auto"/>
              <w:right w:val="single" w:sz="4" w:space="0" w:color="auto"/>
            </w:tcBorders>
            <w:shd w:val="clear" w:color="auto" w:fill="auto"/>
            <w:noWrap/>
            <w:vAlign w:val="center"/>
            <w:hideMark/>
          </w:tcPr>
          <w:p w14:paraId="08D4986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0,47</w:t>
            </w:r>
          </w:p>
        </w:tc>
        <w:tc>
          <w:tcPr>
            <w:tcW w:w="1194" w:type="dxa"/>
            <w:tcBorders>
              <w:top w:val="nil"/>
              <w:left w:val="nil"/>
              <w:bottom w:val="single" w:sz="4" w:space="0" w:color="auto"/>
              <w:right w:val="single" w:sz="4" w:space="0" w:color="auto"/>
            </w:tcBorders>
            <w:shd w:val="clear" w:color="auto" w:fill="auto"/>
            <w:noWrap/>
            <w:vAlign w:val="center"/>
            <w:hideMark/>
          </w:tcPr>
          <w:p w14:paraId="5EE6DDD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0,49</w:t>
            </w:r>
          </w:p>
        </w:tc>
        <w:tc>
          <w:tcPr>
            <w:tcW w:w="1194" w:type="dxa"/>
            <w:tcBorders>
              <w:top w:val="nil"/>
              <w:left w:val="nil"/>
              <w:bottom w:val="single" w:sz="4" w:space="0" w:color="auto"/>
              <w:right w:val="single" w:sz="4" w:space="0" w:color="auto"/>
            </w:tcBorders>
            <w:shd w:val="clear" w:color="auto" w:fill="auto"/>
            <w:noWrap/>
            <w:vAlign w:val="center"/>
            <w:hideMark/>
          </w:tcPr>
          <w:p w14:paraId="59D94C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0,50</w:t>
            </w:r>
          </w:p>
        </w:tc>
        <w:tc>
          <w:tcPr>
            <w:tcW w:w="1194" w:type="dxa"/>
            <w:tcBorders>
              <w:top w:val="nil"/>
              <w:left w:val="nil"/>
              <w:bottom w:val="single" w:sz="4" w:space="0" w:color="auto"/>
              <w:right w:val="single" w:sz="4" w:space="0" w:color="auto"/>
            </w:tcBorders>
            <w:shd w:val="clear" w:color="auto" w:fill="auto"/>
            <w:noWrap/>
            <w:vAlign w:val="center"/>
            <w:hideMark/>
          </w:tcPr>
          <w:p w14:paraId="0060A02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0,44</w:t>
            </w:r>
          </w:p>
        </w:tc>
      </w:tr>
      <w:tr w:rsidR="00BF12D5" w:rsidRPr="00BD0223" w14:paraId="0374FE17"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14B8BC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MAGDA</w:t>
            </w:r>
          </w:p>
        </w:tc>
        <w:tc>
          <w:tcPr>
            <w:tcW w:w="1194" w:type="dxa"/>
            <w:tcBorders>
              <w:top w:val="nil"/>
              <w:left w:val="nil"/>
              <w:bottom w:val="single" w:sz="4" w:space="0" w:color="auto"/>
              <w:right w:val="single" w:sz="4" w:space="0" w:color="auto"/>
            </w:tcBorders>
            <w:shd w:val="clear" w:color="auto" w:fill="auto"/>
            <w:noWrap/>
            <w:vAlign w:val="center"/>
            <w:hideMark/>
          </w:tcPr>
          <w:p w14:paraId="0A3F228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0,47</w:t>
            </w:r>
          </w:p>
        </w:tc>
        <w:tc>
          <w:tcPr>
            <w:tcW w:w="1194" w:type="dxa"/>
            <w:tcBorders>
              <w:top w:val="nil"/>
              <w:left w:val="nil"/>
              <w:bottom w:val="single" w:sz="4" w:space="0" w:color="auto"/>
              <w:right w:val="single" w:sz="4" w:space="0" w:color="auto"/>
            </w:tcBorders>
            <w:shd w:val="clear" w:color="auto" w:fill="auto"/>
            <w:noWrap/>
            <w:vAlign w:val="center"/>
            <w:hideMark/>
          </w:tcPr>
          <w:p w14:paraId="331C660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0,43</w:t>
            </w:r>
          </w:p>
        </w:tc>
        <w:tc>
          <w:tcPr>
            <w:tcW w:w="1194" w:type="dxa"/>
            <w:tcBorders>
              <w:top w:val="nil"/>
              <w:left w:val="nil"/>
              <w:bottom w:val="single" w:sz="4" w:space="0" w:color="auto"/>
              <w:right w:val="single" w:sz="4" w:space="0" w:color="auto"/>
            </w:tcBorders>
            <w:shd w:val="clear" w:color="auto" w:fill="auto"/>
            <w:noWrap/>
            <w:vAlign w:val="center"/>
            <w:hideMark/>
          </w:tcPr>
          <w:p w14:paraId="6383750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0,43</w:t>
            </w:r>
          </w:p>
        </w:tc>
        <w:tc>
          <w:tcPr>
            <w:tcW w:w="1194" w:type="dxa"/>
            <w:tcBorders>
              <w:top w:val="nil"/>
              <w:left w:val="nil"/>
              <w:bottom w:val="single" w:sz="4" w:space="0" w:color="auto"/>
              <w:right w:val="single" w:sz="4" w:space="0" w:color="auto"/>
            </w:tcBorders>
            <w:shd w:val="clear" w:color="auto" w:fill="auto"/>
            <w:noWrap/>
            <w:vAlign w:val="center"/>
            <w:hideMark/>
          </w:tcPr>
          <w:p w14:paraId="452DA7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0,39</w:t>
            </w:r>
          </w:p>
        </w:tc>
      </w:tr>
      <w:tr w:rsidR="00BF12D5" w:rsidRPr="00BD0223" w14:paraId="2B02D2D2"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A447DA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MARAPOAMA</w:t>
            </w:r>
          </w:p>
        </w:tc>
        <w:tc>
          <w:tcPr>
            <w:tcW w:w="1194" w:type="dxa"/>
            <w:tcBorders>
              <w:top w:val="nil"/>
              <w:left w:val="nil"/>
              <w:bottom w:val="single" w:sz="4" w:space="0" w:color="auto"/>
              <w:right w:val="single" w:sz="4" w:space="0" w:color="auto"/>
            </w:tcBorders>
            <w:shd w:val="clear" w:color="auto" w:fill="auto"/>
            <w:noWrap/>
            <w:vAlign w:val="center"/>
            <w:hideMark/>
          </w:tcPr>
          <w:p w14:paraId="7095BD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0,39</w:t>
            </w:r>
          </w:p>
        </w:tc>
        <w:tc>
          <w:tcPr>
            <w:tcW w:w="1194" w:type="dxa"/>
            <w:tcBorders>
              <w:top w:val="nil"/>
              <w:left w:val="nil"/>
              <w:bottom w:val="single" w:sz="4" w:space="0" w:color="auto"/>
              <w:right w:val="single" w:sz="4" w:space="0" w:color="auto"/>
            </w:tcBorders>
            <w:shd w:val="clear" w:color="auto" w:fill="auto"/>
            <w:noWrap/>
            <w:vAlign w:val="center"/>
            <w:hideMark/>
          </w:tcPr>
          <w:p w14:paraId="3B8AEA1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0,41</w:t>
            </w:r>
          </w:p>
        </w:tc>
        <w:tc>
          <w:tcPr>
            <w:tcW w:w="1194" w:type="dxa"/>
            <w:tcBorders>
              <w:top w:val="nil"/>
              <w:left w:val="nil"/>
              <w:bottom w:val="single" w:sz="4" w:space="0" w:color="auto"/>
              <w:right w:val="single" w:sz="4" w:space="0" w:color="auto"/>
            </w:tcBorders>
            <w:shd w:val="clear" w:color="auto" w:fill="auto"/>
            <w:noWrap/>
            <w:vAlign w:val="center"/>
            <w:hideMark/>
          </w:tcPr>
          <w:p w14:paraId="5B434F1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0,41</w:t>
            </w:r>
          </w:p>
        </w:tc>
        <w:tc>
          <w:tcPr>
            <w:tcW w:w="1194" w:type="dxa"/>
            <w:tcBorders>
              <w:top w:val="nil"/>
              <w:left w:val="nil"/>
              <w:bottom w:val="single" w:sz="4" w:space="0" w:color="auto"/>
              <w:right w:val="single" w:sz="4" w:space="0" w:color="auto"/>
            </w:tcBorders>
            <w:shd w:val="clear" w:color="auto" w:fill="auto"/>
            <w:noWrap/>
            <w:vAlign w:val="center"/>
            <w:hideMark/>
          </w:tcPr>
          <w:p w14:paraId="403E24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0,35</w:t>
            </w:r>
          </w:p>
        </w:tc>
      </w:tr>
      <w:tr w:rsidR="00BF12D5" w:rsidRPr="00BD0223" w14:paraId="7F15E771"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65E950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MARINOPOLIS</w:t>
            </w:r>
          </w:p>
        </w:tc>
        <w:tc>
          <w:tcPr>
            <w:tcW w:w="1194" w:type="dxa"/>
            <w:tcBorders>
              <w:top w:val="nil"/>
              <w:left w:val="nil"/>
              <w:bottom w:val="single" w:sz="4" w:space="0" w:color="auto"/>
              <w:right w:val="single" w:sz="4" w:space="0" w:color="auto"/>
            </w:tcBorders>
            <w:shd w:val="clear" w:color="auto" w:fill="auto"/>
            <w:noWrap/>
            <w:vAlign w:val="center"/>
            <w:hideMark/>
          </w:tcPr>
          <w:p w14:paraId="15875BF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0,26</w:t>
            </w:r>
          </w:p>
        </w:tc>
        <w:tc>
          <w:tcPr>
            <w:tcW w:w="1194" w:type="dxa"/>
            <w:tcBorders>
              <w:top w:val="nil"/>
              <w:left w:val="nil"/>
              <w:bottom w:val="single" w:sz="4" w:space="0" w:color="auto"/>
              <w:right w:val="single" w:sz="4" w:space="0" w:color="auto"/>
            </w:tcBorders>
            <w:shd w:val="clear" w:color="auto" w:fill="auto"/>
            <w:noWrap/>
            <w:vAlign w:val="center"/>
            <w:hideMark/>
          </w:tcPr>
          <w:p w14:paraId="04DF342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0,30</w:t>
            </w:r>
          </w:p>
        </w:tc>
        <w:tc>
          <w:tcPr>
            <w:tcW w:w="1194" w:type="dxa"/>
            <w:tcBorders>
              <w:top w:val="nil"/>
              <w:left w:val="nil"/>
              <w:bottom w:val="single" w:sz="4" w:space="0" w:color="auto"/>
              <w:right w:val="single" w:sz="4" w:space="0" w:color="auto"/>
            </w:tcBorders>
            <w:shd w:val="clear" w:color="auto" w:fill="auto"/>
            <w:noWrap/>
            <w:vAlign w:val="center"/>
            <w:hideMark/>
          </w:tcPr>
          <w:p w14:paraId="01E14CF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0,26</w:t>
            </w:r>
          </w:p>
        </w:tc>
        <w:tc>
          <w:tcPr>
            <w:tcW w:w="1194" w:type="dxa"/>
            <w:tcBorders>
              <w:top w:val="nil"/>
              <w:left w:val="nil"/>
              <w:bottom w:val="single" w:sz="4" w:space="0" w:color="auto"/>
              <w:right w:val="single" w:sz="4" w:space="0" w:color="auto"/>
            </w:tcBorders>
            <w:shd w:val="clear" w:color="auto" w:fill="auto"/>
            <w:noWrap/>
            <w:vAlign w:val="center"/>
            <w:hideMark/>
          </w:tcPr>
          <w:p w14:paraId="3B53209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0,20</w:t>
            </w:r>
          </w:p>
        </w:tc>
      </w:tr>
      <w:tr w:rsidR="00BF12D5" w:rsidRPr="00BD0223" w14:paraId="3EF7EDA0"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65CDFC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MENDONCA</w:t>
            </w:r>
          </w:p>
        </w:tc>
        <w:tc>
          <w:tcPr>
            <w:tcW w:w="1194" w:type="dxa"/>
            <w:tcBorders>
              <w:top w:val="nil"/>
              <w:left w:val="nil"/>
              <w:bottom w:val="single" w:sz="4" w:space="0" w:color="auto"/>
              <w:right w:val="single" w:sz="4" w:space="0" w:color="auto"/>
            </w:tcBorders>
            <w:shd w:val="clear" w:color="auto" w:fill="auto"/>
            <w:noWrap/>
            <w:vAlign w:val="center"/>
            <w:hideMark/>
          </w:tcPr>
          <w:p w14:paraId="340277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1,01</w:t>
            </w:r>
          </w:p>
        </w:tc>
        <w:tc>
          <w:tcPr>
            <w:tcW w:w="1194" w:type="dxa"/>
            <w:tcBorders>
              <w:top w:val="nil"/>
              <w:left w:val="nil"/>
              <w:bottom w:val="single" w:sz="4" w:space="0" w:color="auto"/>
              <w:right w:val="single" w:sz="4" w:space="0" w:color="auto"/>
            </w:tcBorders>
            <w:shd w:val="clear" w:color="auto" w:fill="auto"/>
            <w:noWrap/>
            <w:vAlign w:val="center"/>
            <w:hideMark/>
          </w:tcPr>
          <w:p w14:paraId="5DBA62B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1,04</w:t>
            </w:r>
          </w:p>
        </w:tc>
        <w:tc>
          <w:tcPr>
            <w:tcW w:w="1194" w:type="dxa"/>
            <w:tcBorders>
              <w:top w:val="nil"/>
              <w:left w:val="nil"/>
              <w:bottom w:val="single" w:sz="4" w:space="0" w:color="auto"/>
              <w:right w:val="single" w:sz="4" w:space="0" w:color="auto"/>
            </w:tcBorders>
            <w:shd w:val="clear" w:color="auto" w:fill="auto"/>
            <w:noWrap/>
            <w:vAlign w:val="center"/>
            <w:hideMark/>
          </w:tcPr>
          <w:p w14:paraId="5268DFC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1,04</w:t>
            </w:r>
          </w:p>
        </w:tc>
        <w:tc>
          <w:tcPr>
            <w:tcW w:w="1194" w:type="dxa"/>
            <w:tcBorders>
              <w:top w:val="nil"/>
              <w:left w:val="nil"/>
              <w:bottom w:val="single" w:sz="4" w:space="0" w:color="auto"/>
              <w:right w:val="single" w:sz="4" w:space="0" w:color="auto"/>
            </w:tcBorders>
            <w:shd w:val="clear" w:color="auto" w:fill="auto"/>
            <w:noWrap/>
            <w:vAlign w:val="center"/>
            <w:hideMark/>
          </w:tcPr>
          <w:p w14:paraId="1C5D364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0,91</w:t>
            </w:r>
          </w:p>
        </w:tc>
      </w:tr>
      <w:tr w:rsidR="00BF12D5" w:rsidRPr="00BD0223" w14:paraId="27E67C3B"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863F6E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MERIDIANO</w:t>
            </w:r>
          </w:p>
        </w:tc>
        <w:tc>
          <w:tcPr>
            <w:tcW w:w="1194" w:type="dxa"/>
            <w:tcBorders>
              <w:top w:val="nil"/>
              <w:left w:val="nil"/>
              <w:bottom w:val="single" w:sz="4" w:space="0" w:color="auto"/>
              <w:right w:val="single" w:sz="4" w:space="0" w:color="auto"/>
            </w:tcBorders>
            <w:shd w:val="clear" w:color="auto" w:fill="auto"/>
            <w:noWrap/>
            <w:vAlign w:val="center"/>
            <w:hideMark/>
          </w:tcPr>
          <w:p w14:paraId="3E04E03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1,05</w:t>
            </w:r>
          </w:p>
        </w:tc>
        <w:tc>
          <w:tcPr>
            <w:tcW w:w="1194" w:type="dxa"/>
            <w:tcBorders>
              <w:top w:val="nil"/>
              <w:left w:val="nil"/>
              <w:bottom w:val="single" w:sz="4" w:space="0" w:color="auto"/>
              <w:right w:val="single" w:sz="4" w:space="0" w:color="auto"/>
            </w:tcBorders>
            <w:shd w:val="clear" w:color="auto" w:fill="auto"/>
            <w:noWrap/>
            <w:vAlign w:val="center"/>
            <w:hideMark/>
          </w:tcPr>
          <w:p w14:paraId="5C19F94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0,89</w:t>
            </w:r>
          </w:p>
        </w:tc>
        <w:tc>
          <w:tcPr>
            <w:tcW w:w="1194" w:type="dxa"/>
            <w:tcBorders>
              <w:top w:val="nil"/>
              <w:left w:val="nil"/>
              <w:bottom w:val="single" w:sz="4" w:space="0" w:color="auto"/>
              <w:right w:val="single" w:sz="4" w:space="0" w:color="auto"/>
            </w:tcBorders>
            <w:shd w:val="clear" w:color="auto" w:fill="auto"/>
            <w:noWrap/>
            <w:vAlign w:val="center"/>
            <w:hideMark/>
          </w:tcPr>
          <w:p w14:paraId="6B7C7F6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1,02</w:t>
            </w:r>
          </w:p>
        </w:tc>
        <w:tc>
          <w:tcPr>
            <w:tcW w:w="1194" w:type="dxa"/>
            <w:tcBorders>
              <w:top w:val="nil"/>
              <w:left w:val="nil"/>
              <w:bottom w:val="single" w:sz="4" w:space="0" w:color="auto"/>
              <w:right w:val="single" w:sz="4" w:space="0" w:color="auto"/>
            </w:tcBorders>
            <w:shd w:val="clear" w:color="auto" w:fill="auto"/>
            <w:noWrap/>
            <w:vAlign w:val="center"/>
            <w:hideMark/>
          </w:tcPr>
          <w:p w14:paraId="2230096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0,82</w:t>
            </w:r>
          </w:p>
        </w:tc>
      </w:tr>
      <w:tr w:rsidR="00BF12D5" w:rsidRPr="00BD0223" w14:paraId="0E8D7740"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5038B0E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MESOPOLIS</w:t>
            </w:r>
          </w:p>
        </w:tc>
        <w:tc>
          <w:tcPr>
            <w:tcW w:w="1194" w:type="dxa"/>
            <w:tcBorders>
              <w:top w:val="nil"/>
              <w:left w:val="nil"/>
              <w:bottom w:val="single" w:sz="4" w:space="0" w:color="auto"/>
              <w:right w:val="single" w:sz="4" w:space="0" w:color="auto"/>
            </w:tcBorders>
            <w:shd w:val="clear" w:color="auto" w:fill="auto"/>
            <w:noWrap/>
            <w:vAlign w:val="center"/>
            <w:hideMark/>
          </w:tcPr>
          <w:p w14:paraId="29E7AD7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0,17</w:t>
            </w:r>
          </w:p>
        </w:tc>
        <w:tc>
          <w:tcPr>
            <w:tcW w:w="1194" w:type="dxa"/>
            <w:tcBorders>
              <w:top w:val="nil"/>
              <w:left w:val="nil"/>
              <w:bottom w:val="single" w:sz="4" w:space="0" w:color="auto"/>
              <w:right w:val="single" w:sz="4" w:space="0" w:color="auto"/>
            </w:tcBorders>
            <w:shd w:val="clear" w:color="auto" w:fill="auto"/>
            <w:noWrap/>
            <w:vAlign w:val="center"/>
            <w:hideMark/>
          </w:tcPr>
          <w:p w14:paraId="37F596E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0,14</w:t>
            </w:r>
          </w:p>
        </w:tc>
        <w:tc>
          <w:tcPr>
            <w:tcW w:w="1194" w:type="dxa"/>
            <w:tcBorders>
              <w:top w:val="nil"/>
              <w:left w:val="nil"/>
              <w:bottom w:val="single" w:sz="4" w:space="0" w:color="auto"/>
              <w:right w:val="single" w:sz="4" w:space="0" w:color="auto"/>
            </w:tcBorders>
            <w:shd w:val="clear" w:color="auto" w:fill="auto"/>
            <w:noWrap/>
            <w:vAlign w:val="center"/>
            <w:hideMark/>
          </w:tcPr>
          <w:p w14:paraId="63A9EC8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0,14</w:t>
            </w:r>
          </w:p>
        </w:tc>
        <w:tc>
          <w:tcPr>
            <w:tcW w:w="1194" w:type="dxa"/>
            <w:tcBorders>
              <w:top w:val="nil"/>
              <w:left w:val="nil"/>
              <w:bottom w:val="single" w:sz="4" w:space="0" w:color="auto"/>
              <w:right w:val="single" w:sz="4" w:space="0" w:color="auto"/>
            </w:tcBorders>
            <w:shd w:val="clear" w:color="auto" w:fill="auto"/>
            <w:noWrap/>
            <w:vAlign w:val="center"/>
            <w:hideMark/>
          </w:tcPr>
          <w:p w14:paraId="08E32EF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0,11</w:t>
            </w:r>
          </w:p>
        </w:tc>
      </w:tr>
      <w:tr w:rsidR="00BF12D5" w:rsidRPr="00BD0223" w14:paraId="65C3571E"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4248A9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MIGUELOPOLIS</w:t>
            </w:r>
          </w:p>
        </w:tc>
        <w:tc>
          <w:tcPr>
            <w:tcW w:w="1194" w:type="dxa"/>
            <w:tcBorders>
              <w:top w:val="nil"/>
              <w:left w:val="nil"/>
              <w:bottom w:val="single" w:sz="4" w:space="0" w:color="auto"/>
              <w:right w:val="single" w:sz="4" w:space="0" w:color="auto"/>
            </w:tcBorders>
            <w:shd w:val="clear" w:color="auto" w:fill="auto"/>
            <w:noWrap/>
            <w:vAlign w:val="center"/>
            <w:hideMark/>
          </w:tcPr>
          <w:p w14:paraId="68E5D9D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2,79</w:t>
            </w:r>
          </w:p>
        </w:tc>
        <w:tc>
          <w:tcPr>
            <w:tcW w:w="1194" w:type="dxa"/>
            <w:tcBorders>
              <w:top w:val="nil"/>
              <w:left w:val="nil"/>
              <w:bottom w:val="single" w:sz="4" w:space="0" w:color="auto"/>
              <w:right w:val="single" w:sz="4" w:space="0" w:color="auto"/>
            </w:tcBorders>
            <w:shd w:val="clear" w:color="auto" w:fill="auto"/>
            <w:noWrap/>
            <w:vAlign w:val="center"/>
            <w:hideMark/>
          </w:tcPr>
          <w:p w14:paraId="54E2C0C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2,73</w:t>
            </w:r>
          </w:p>
        </w:tc>
        <w:tc>
          <w:tcPr>
            <w:tcW w:w="1194" w:type="dxa"/>
            <w:tcBorders>
              <w:top w:val="nil"/>
              <w:left w:val="nil"/>
              <w:bottom w:val="single" w:sz="4" w:space="0" w:color="auto"/>
              <w:right w:val="single" w:sz="4" w:space="0" w:color="auto"/>
            </w:tcBorders>
            <w:shd w:val="clear" w:color="auto" w:fill="auto"/>
            <w:noWrap/>
            <w:vAlign w:val="center"/>
            <w:hideMark/>
          </w:tcPr>
          <w:p w14:paraId="1A0B856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2,46</w:t>
            </w:r>
          </w:p>
        </w:tc>
        <w:tc>
          <w:tcPr>
            <w:tcW w:w="1194" w:type="dxa"/>
            <w:tcBorders>
              <w:top w:val="nil"/>
              <w:left w:val="nil"/>
              <w:bottom w:val="single" w:sz="4" w:space="0" w:color="auto"/>
              <w:right w:val="single" w:sz="4" w:space="0" w:color="auto"/>
            </w:tcBorders>
            <w:shd w:val="clear" w:color="auto" w:fill="auto"/>
            <w:noWrap/>
            <w:vAlign w:val="center"/>
            <w:hideMark/>
          </w:tcPr>
          <w:p w14:paraId="470A00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2,25</w:t>
            </w:r>
          </w:p>
        </w:tc>
      </w:tr>
      <w:tr w:rsidR="00BF12D5" w:rsidRPr="00BD0223" w14:paraId="11EC1ABB"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1F201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MIRA ESTRELA</w:t>
            </w:r>
          </w:p>
        </w:tc>
        <w:tc>
          <w:tcPr>
            <w:tcW w:w="1194" w:type="dxa"/>
            <w:tcBorders>
              <w:top w:val="nil"/>
              <w:left w:val="nil"/>
              <w:bottom w:val="single" w:sz="4" w:space="0" w:color="auto"/>
              <w:right w:val="single" w:sz="4" w:space="0" w:color="auto"/>
            </w:tcBorders>
            <w:shd w:val="clear" w:color="auto" w:fill="auto"/>
            <w:noWrap/>
            <w:vAlign w:val="center"/>
            <w:hideMark/>
          </w:tcPr>
          <w:p w14:paraId="0C2E73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0,62</w:t>
            </w:r>
          </w:p>
        </w:tc>
        <w:tc>
          <w:tcPr>
            <w:tcW w:w="1194" w:type="dxa"/>
            <w:tcBorders>
              <w:top w:val="nil"/>
              <w:left w:val="nil"/>
              <w:bottom w:val="single" w:sz="4" w:space="0" w:color="auto"/>
              <w:right w:val="single" w:sz="4" w:space="0" w:color="auto"/>
            </w:tcBorders>
            <w:shd w:val="clear" w:color="auto" w:fill="auto"/>
            <w:noWrap/>
            <w:vAlign w:val="center"/>
            <w:hideMark/>
          </w:tcPr>
          <w:p w14:paraId="6D18274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0,61</w:t>
            </w:r>
          </w:p>
        </w:tc>
        <w:tc>
          <w:tcPr>
            <w:tcW w:w="1194" w:type="dxa"/>
            <w:tcBorders>
              <w:top w:val="nil"/>
              <w:left w:val="nil"/>
              <w:bottom w:val="single" w:sz="4" w:space="0" w:color="auto"/>
              <w:right w:val="single" w:sz="4" w:space="0" w:color="auto"/>
            </w:tcBorders>
            <w:shd w:val="clear" w:color="auto" w:fill="auto"/>
            <w:noWrap/>
            <w:vAlign w:val="center"/>
            <w:hideMark/>
          </w:tcPr>
          <w:p w14:paraId="52A6FB6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0,60</w:t>
            </w:r>
          </w:p>
        </w:tc>
        <w:tc>
          <w:tcPr>
            <w:tcW w:w="1194" w:type="dxa"/>
            <w:tcBorders>
              <w:top w:val="nil"/>
              <w:left w:val="nil"/>
              <w:bottom w:val="single" w:sz="4" w:space="0" w:color="auto"/>
              <w:right w:val="single" w:sz="4" w:space="0" w:color="auto"/>
            </w:tcBorders>
            <w:shd w:val="clear" w:color="auto" w:fill="auto"/>
            <w:noWrap/>
            <w:vAlign w:val="center"/>
            <w:hideMark/>
          </w:tcPr>
          <w:p w14:paraId="6B074B9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0,46</w:t>
            </w:r>
          </w:p>
        </w:tc>
      </w:tr>
      <w:tr w:rsidR="00BF12D5" w:rsidRPr="00BD0223" w14:paraId="72F75876"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9CA2C0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MIRASSOL</w:t>
            </w:r>
          </w:p>
        </w:tc>
        <w:tc>
          <w:tcPr>
            <w:tcW w:w="1194" w:type="dxa"/>
            <w:tcBorders>
              <w:top w:val="nil"/>
              <w:left w:val="nil"/>
              <w:bottom w:val="single" w:sz="4" w:space="0" w:color="auto"/>
              <w:right w:val="single" w:sz="4" w:space="0" w:color="auto"/>
            </w:tcBorders>
            <w:shd w:val="clear" w:color="auto" w:fill="auto"/>
            <w:noWrap/>
            <w:vAlign w:val="center"/>
            <w:hideMark/>
          </w:tcPr>
          <w:p w14:paraId="4C072B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14,33</w:t>
            </w:r>
          </w:p>
        </w:tc>
        <w:tc>
          <w:tcPr>
            <w:tcW w:w="1194" w:type="dxa"/>
            <w:tcBorders>
              <w:top w:val="nil"/>
              <w:left w:val="nil"/>
              <w:bottom w:val="single" w:sz="4" w:space="0" w:color="auto"/>
              <w:right w:val="single" w:sz="4" w:space="0" w:color="auto"/>
            </w:tcBorders>
            <w:shd w:val="clear" w:color="auto" w:fill="auto"/>
            <w:noWrap/>
            <w:vAlign w:val="center"/>
            <w:hideMark/>
          </w:tcPr>
          <w:p w14:paraId="4A27767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14,22</w:t>
            </w:r>
          </w:p>
        </w:tc>
        <w:tc>
          <w:tcPr>
            <w:tcW w:w="1194" w:type="dxa"/>
            <w:tcBorders>
              <w:top w:val="nil"/>
              <w:left w:val="nil"/>
              <w:bottom w:val="single" w:sz="4" w:space="0" w:color="auto"/>
              <w:right w:val="single" w:sz="4" w:space="0" w:color="auto"/>
            </w:tcBorders>
            <w:shd w:val="clear" w:color="auto" w:fill="auto"/>
            <w:noWrap/>
            <w:vAlign w:val="center"/>
            <w:hideMark/>
          </w:tcPr>
          <w:p w14:paraId="66F79E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15,07</w:t>
            </w:r>
          </w:p>
        </w:tc>
        <w:tc>
          <w:tcPr>
            <w:tcW w:w="1194" w:type="dxa"/>
            <w:tcBorders>
              <w:top w:val="nil"/>
              <w:left w:val="nil"/>
              <w:bottom w:val="single" w:sz="4" w:space="0" w:color="auto"/>
              <w:right w:val="single" w:sz="4" w:space="0" w:color="auto"/>
            </w:tcBorders>
            <w:shd w:val="clear" w:color="auto" w:fill="auto"/>
            <w:noWrap/>
            <w:vAlign w:val="center"/>
            <w:hideMark/>
          </w:tcPr>
          <w:p w14:paraId="447FB95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10,88</w:t>
            </w:r>
          </w:p>
        </w:tc>
      </w:tr>
      <w:tr w:rsidR="00BF12D5" w:rsidRPr="00BD0223" w14:paraId="5AC4B695"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60996B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MIRASSOLANDIA</w:t>
            </w:r>
          </w:p>
        </w:tc>
        <w:tc>
          <w:tcPr>
            <w:tcW w:w="1194" w:type="dxa"/>
            <w:tcBorders>
              <w:top w:val="nil"/>
              <w:left w:val="nil"/>
              <w:bottom w:val="single" w:sz="4" w:space="0" w:color="auto"/>
              <w:right w:val="single" w:sz="4" w:space="0" w:color="auto"/>
            </w:tcBorders>
            <w:shd w:val="clear" w:color="auto" w:fill="auto"/>
            <w:noWrap/>
            <w:vAlign w:val="center"/>
            <w:hideMark/>
          </w:tcPr>
          <w:p w14:paraId="08E88B7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0,52</w:t>
            </w:r>
          </w:p>
        </w:tc>
        <w:tc>
          <w:tcPr>
            <w:tcW w:w="1194" w:type="dxa"/>
            <w:tcBorders>
              <w:top w:val="nil"/>
              <w:left w:val="nil"/>
              <w:bottom w:val="single" w:sz="4" w:space="0" w:color="auto"/>
              <w:right w:val="single" w:sz="4" w:space="0" w:color="auto"/>
            </w:tcBorders>
            <w:shd w:val="clear" w:color="auto" w:fill="auto"/>
            <w:noWrap/>
            <w:vAlign w:val="center"/>
            <w:hideMark/>
          </w:tcPr>
          <w:p w14:paraId="5C3BB7B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0,55</w:t>
            </w:r>
          </w:p>
        </w:tc>
        <w:tc>
          <w:tcPr>
            <w:tcW w:w="1194" w:type="dxa"/>
            <w:tcBorders>
              <w:top w:val="nil"/>
              <w:left w:val="nil"/>
              <w:bottom w:val="single" w:sz="4" w:space="0" w:color="auto"/>
              <w:right w:val="single" w:sz="4" w:space="0" w:color="auto"/>
            </w:tcBorders>
            <w:shd w:val="clear" w:color="auto" w:fill="auto"/>
            <w:noWrap/>
            <w:vAlign w:val="center"/>
            <w:hideMark/>
          </w:tcPr>
          <w:p w14:paraId="7A03AC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0,51</w:t>
            </w:r>
          </w:p>
        </w:tc>
        <w:tc>
          <w:tcPr>
            <w:tcW w:w="1194" w:type="dxa"/>
            <w:tcBorders>
              <w:top w:val="nil"/>
              <w:left w:val="nil"/>
              <w:bottom w:val="single" w:sz="4" w:space="0" w:color="auto"/>
              <w:right w:val="single" w:sz="4" w:space="0" w:color="auto"/>
            </w:tcBorders>
            <w:shd w:val="clear" w:color="auto" w:fill="auto"/>
            <w:noWrap/>
            <w:vAlign w:val="center"/>
            <w:hideMark/>
          </w:tcPr>
          <w:p w14:paraId="7A02DC2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0,45</w:t>
            </w:r>
          </w:p>
        </w:tc>
      </w:tr>
      <w:tr w:rsidR="00BF12D5" w:rsidRPr="00BD0223" w14:paraId="61B4F5E6"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79D5A0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MONCOES</w:t>
            </w:r>
          </w:p>
        </w:tc>
        <w:tc>
          <w:tcPr>
            <w:tcW w:w="1194" w:type="dxa"/>
            <w:tcBorders>
              <w:top w:val="nil"/>
              <w:left w:val="nil"/>
              <w:bottom w:val="single" w:sz="4" w:space="0" w:color="auto"/>
              <w:right w:val="single" w:sz="4" w:space="0" w:color="auto"/>
            </w:tcBorders>
            <w:shd w:val="clear" w:color="auto" w:fill="auto"/>
            <w:noWrap/>
            <w:vAlign w:val="center"/>
            <w:hideMark/>
          </w:tcPr>
          <w:p w14:paraId="7A94A27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0,31</w:t>
            </w:r>
          </w:p>
        </w:tc>
        <w:tc>
          <w:tcPr>
            <w:tcW w:w="1194" w:type="dxa"/>
            <w:tcBorders>
              <w:top w:val="nil"/>
              <w:left w:val="nil"/>
              <w:bottom w:val="single" w:sz="4" w:space="0" w:color="auto"/>
              <w:right w:val="single" w:sz="4" w:space="0" w:color="auto"/>
            </w:tcBorders>
            <w:shd w:val="clear" w:color="auto" w:fill="auto"/>
            <w:noWrap/>
            <w:vAlign w:val="center"/>
            <w:hideMark/>
          </w:tcPr>
          <w:p w14:paraId="33290E0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0,38</w:t>
            </w:r>
          </w:p>
        </w:tc>
        <w:tc>
          <w:tcPr>
            <w:tcW w:w="1194" w:type="dxa"/>
            <w:tcBorders>
              <w:top w:val="nil"/>
              <w:left w:val="nil"/>
              <w:bottom w:val="single" w:sz="4" w:space="0" w:color="auto"/>
              <w:right w:val="single" w:sz="4" w:space="0" w:color="auto"/>
            </w:tcBorders>
            <w:shd w:val="clear" w:color="auto" w:fill="auto"/>
            <w:noWrap/>
            <w:vAlign w:val="center"/>
            <w:hideMark/>
          </w:tcPr>
          <w:p w14:paraId="490C5DA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0,46</w:t>
            </w:r>
          </w:p>
        </w:tc>
        <w:tc>
          <w:tcPr>
            <w:tcW w:w="1194" w:type="dxa"/>
            <w:tcBorders>
              <w:top w:val="nil"/>
              <w:left w:val="nil"/>
              <w:bottom w:val="single" w:sz="4" w:space="0" w:color="auto"/>
              <w:right w:val="single" w:sz="4" w:space="0" w:color="auto"/>
            </w:tcBorders>
            <w:shd w:val="clear" w:color="auto" w:fill="auto"/>
            <w:noWrap/>
            <w:vAlign w:val="center"/>
            <w:hideMark/>
          </w:tcPr>
          <w:p w14:paraId="7A71256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0,35</w:t>
            </w:r>
          </w:p>
        </w:tc>
      </w:tr>
      <w:tr w:rsidR="00BF12D5" w:rsidRPr="00BD0223" w14:paraId="6D9D36F3"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64A60C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MONTE ALTO</w:t>
            </w:r>
          </w:p>
        </w:tc>
        <w:tc>
          <w:tcPr>
            <w:tcW w:w="1194" w:type="dxa"/>
            <w:tcBorders>
              <w:top w:val="nil"/>
              <w:left w:val="nil"/>
              <w:bottom w:val="single" w:sz="4" w:space="0" w:color="auto"/>
              <w:right w:val="single" w:sz="4" w:space="0" w:color="auto"/>
            </w:tcBorders>
            <w:shd w:val="clear" w:color="auto" w:fill="auto"/>
            <w:noWrap/>
            <w:vAlign w:val="center"/>
            <w:hideMark/>
          </w:tcPr>
          <w:p w14:paraId="1E6FA5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8,12</w:t>
            </w:r>
          </w:p>
        </w:tc>
        <w:tc>
          <w:tcPr>
            <w:tcW w:w="1194" w:type="dxa"/>
            <w:tcBorders>
              <w:top w:val="nil"/>
              <w:left w:val="nil"/>
              <w:bottom w:val="single" w:sz="4" w:space="0" w:color="auto"/>
              <w:right w:val="single" w:sz="4" w:space="0" w:color="auto"/>
            </w:tcBorders>
            <w:shd w:val="clear" w:color="auto" w:fill="auto"/>
            <w:noWrap/>
            <w:vAlign w:val="center"/>
            <w:hideMark/>
          </w:tcPr>
          <w:p w14:paraId="3C2E3A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8,15</w:t>
            </w:r>
          </w:p>
        </w:tc>
        <w:tc>
          <w:tcPr>
            <w:tcW w:w="1194" w:type="dxa"/>
            <w:tcBorders>
              <w:top w:val="nil"/>
              <w:left w:val="nil"/>
              <w:bottom w:val="single" w:sz="4" w:space="0" w:color="auto"/>
              <w:right w:val="single" w:sz="4" w:space="0" w:color="auto"/>
            </w:tcBorders>
            <w:shd w:val="clear" w:color="auto" w:fill="auto"/>
            <w:noWrap/>
            <w:vAlign w:val="center"/>
            <w:hideMark/>
          </w:tcPr>
          <w:p w14:paraId="5480A6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8,44</w:t>
            </w:r>
          </w:p>
        </w:tc>
        <w:tc>
          <w:tcPr>
            <w:tcW w:w="1194" w:type="dxa"/>
            <w:tcBorders>
              <w:top w:val="nil"/>
              <w:left w:val="nil"/>
              <w:bottom w:val="single" w:sz="4" w:space="0" w:color="auto"/>
              <w:right w:val="single" w:sz="4" w:space="0" w:color="auto"/>
            </w:tcBorders>
            <w:shd w:val="clear" w:color="auto" w:fill="auto"/>
            <w:noWrap/>
            <w:vAlign w:val="center"/>
            <w:hideMark/>
          </w:tcPr>
          <w:p w14:paraId="667690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7,12</w:t>
            </w:r>
          </w:p>
        </w:tc>
      </w:tr>
      <w:tr w:rsidR="00BF12D5" w:rsidRPr="00BD0223" w14:paraId="73EF582E"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351F08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MONTE APRAZIVEL</w:t>
            </w:r>
          </w:p>
        </w:tc>
        <w:tc>
          <w:tcPr>
            <w:tcW w:w="1194" w:type="dxa"/>
            <w:tcBorders>
              <w:top w:val="nil"/>
              <w:left w:val="nil"/>
              <w:bottom w:val="single" w:sz="4" w:space="0" w:color="auto"/>
              <w:right w:val="single" w:sz="4" w:space="0" w:color="auto"/>
            </w:tcBorders>
            <w:shd w:val="clear" w:color="auto" w:fill="auto"/>
            <w:noWrap/>
            <w:vAlign w:val="center"/>
            <w:hideMark/>
          </w:tcPr>
          <w:p w14:paraId="398451D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3,43</w:t>
            </w:r>
          </w:p>
        </w:tc>
        <w:tc>
          <w:tcPr>
            <w:tcW w:w="1194" w:type="dxa"/>
            <w:tcBorders>
              <w:top w:val="nil"/>
              <w:left w:val="nil"/>
              <w:bottom w:val="single" w:sz="4" w:space="0" w:color="auto"/>
              <w:right w:val="single" w:sz="4" w:space="0" w:color="auto"/>
            </w:tcBorders>
            <w:shd w:val="clear" w:color="auto" w:fill="auto"/>
            <w:noWrap/>
            <w:vAlign w:val="center"/>
            <w:hideMark/>
          </w:tcPr>
          <w:p w14:paraId="2443874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3,40</w:t>
            </w:r>
          </w:p>
        </w:tc>
        <w:tc>
          <w:tcPr>
            <w:tcW w:w="1194" w:type="dxa"/>
            <w:tcBorders>
              <w:top w:val="nil"/>
              <w:left w:val="nil"/>
              <w:bottom w:val="single" w:sz="4" w:space="0" w:color="auto"/>
              <w:right w:val="single" w:sz="4" w:space="0" w:color="auto"/>
            </w:tcBorders>
            <w:shd w:val="clear" w:color="auto" w:fill="auto"/>
            <w:noWrap/>
            <w:vAlign w:val="center"/>
            <w:hideMark/>
          </w:tcPr>
          <w:p w14:paraId="4DAAA7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3,17</w:t>
            </w:r>
          </w:p>
        </w:tc>
        <w:tc>
          <w:tcPr>
            <w:tcW w:w="1194" w:type="dxa"/>
            <w:tcBorders>
              <w:top w:val="nil"/>
              <w:left w:val="nil"/>
              <w:bottom w:val="single" w:sz="4" w:space="0" w:color="auto"/>
              <w:right w:val="single" w:sz="4" w:space="0" w:color="auto"/>
            </w:tcBorders>
            <w:shd w:val="clear" w:color="auto" w:fill="auto"/>
            <w:noWrap/>
            <w:vAlign w:val="center"/>
            <w:hideMark/>
          </w:tcPr>
          <w:p w14:paraId="26D5D23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2,44</w:t>
            </w:r>
          </w:p>
        </w:tc>
      </w:tr>
      <w:tr w:rsidR="00BF12D5" w:rsidRPr="00BD0223" w14:paraId="3774E059"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016DDB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MONTE AZUL PAULISTA</w:t>
            </w:r>
          </w:p>
        </w:tc>
        <w:tc>
          <w:tcPr>
            <w:tcW w:w="1194" w:type="dxa"/>
            <w:tcBorders>
              <w:top w:val="nil"/>
              <w:left w:val="nil"/>
              <w:bottom w:val="single" w:sz="4" w:space="0" w:color="auto"/>
              <w:right w:val="single" w:sz="4" w:space="0" w:color="auto"/>
            </w:tcBorders>
            <w:shd w:val="clear" w:color="auto" w:fill="auto"/>
            <w:noWrap/>
            <w:vAlign w:val="center"/>
            <w:hideMark/>
          </w:tcPr>
          <w:p w14:paraId="48456D6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2,76</w:t>
            </w:r>
          </w:p>
        </w:tc>
        <w:tc>
          <w:tcPr>
            <w:tcW w:w="1194" w:type="dxa"/>
            <w:tcBorders>
              <w:top w:val="nil"/>
              <w:left w:val="nil"/>
              <w:bottom w:val="single" w:sz="4" w:space="0" w:color="auto"/>
              <w:right w:val="single" w:sz="4" w:space="0" w:color="auto"/>
            </w:tcBorders>
            <w:shd w:val="clear" w:color="auto" w:fill="auto"/>
            <w:noWrap/>
            <w:vAlign w:val="center"/>
            <w:hideMark/>
          </w:tcPr>
          <w:p w14:paraId="2A830F2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2,92</w:t>
            </w:r>
          </w:p>
        </w:tc>
        <w:tc>
          <w:tcPr>
            <w:tcW w:w="1194" w:type="dxa"/>
            <w:tcBorders>
              <w:top w:val="nil"/>
              <w:left w:val="nil"/>
              <w:bottom w:val="single" w:sz="4" w:space="0" w:color="auto"/>
              <w:right w:val="single" w:sz="4" w:space="0" w:color="auto"/>
            </w:tcBorders>
            <w:shd w:val="clear" w:color="auto" w:fill="auto"/>
            <w:noWrap/>
            <w:vAlign w:val="center"/>
            <w:hideMark/>
          </w:tcPr>
          <w:p w14:paraId="00E8A2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2,85</w:t>
            </w:r>
          </w:p>
        </w:tc>
        <w:tc>
          <w:tcPr>
            <w:tcW w:w="1194" w:type="dxa"/>
            <w:tcBorders>
              <w:top w:val="nil"/>
              <w:left w:val="nil"/>
              <w:bottom w:val="single" w:sz="4" w:space="0" w:color="auto"/>
              <w:right w:val="single" w:sz="4" w:space="0" w:color="auto"/>
            </w:tcBorders>
            <w:shd w:val="clear" w:color="auto" w:fill="auto"/>
            <w:noWrap/>
            <w:vAlign w:val="center"/>
            <w:hideMark/>
          </w:tcPr>
          <w:p w14:paraId="77A2B13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2,34</w:t>
            </w:r>
          </w:p>
        </w:tc>
      </w:tr>
      <w:tr w:rsidR="00BF12D5" w:rsidRPr="00BD0223" w14:paraId="7FE9F22B"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9CF8E3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MORRO AGUDO</w:t>
            </w:r>
          </w:p>
        </w:tc>
        <w:tc>
          <w:tcPr>
            <w:tcW w:w="1194" w:type="dxa"/>
            <w:tcBorders>
              <w:top w:val="nil"/>
              <w:left w:val="nil"/>
              <w:bottom w:val="single" w:sz="4" w:space="0" w:color="auto"/>
              <w:right w:val="single" w:sz="4" w:space="0" w:color="auto"/>
            </w:tcBorders>
            <w:shd w:val="clear" w:color="auto" w:fill="auto"/>
            <w:noWrap/>
            <w:vAlign w:val="center"/>
            <w:hideMark/>
          </w:tcPr>
          <w:p w14:paraId="4A8FFD0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3,05</w:t>
            </w:r>
          </w:p>
        </w:tc>
        <w:tc>
          <w:tcPr>
            <w:tcW w:w="1194" w:type="dxa"/>
            <w:tcBorders>
              <w:top w:val="nil"/>
              <w:left w:val="nil"/>
              <w:bottom w:val="single" w:sz="4" w:space="0" w:color="auto"/>
              <w:right w:val="single" w:sz="4" w:space="0" w:color="auto"/>
            </w:tcBorders>
            <w:shd w:val="clear" w:color="auto" w:fill="auto"/>
            <w:noWrap/>
            <w:vAlign w:val="center"/>
            <w:hideMark/>
          </w:tcPr>
          <w:p w14:paraId="10EA7A4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3,22</w:t>
            </w:r>
          </w:p>
        </w:tc>
        <w:tc>
          <w:tcPr>
            <w:tcW w:w="1194" w:type="dxa"/>
            <w:tcBorders>
              <w:top w:val="nil"/>
              <w:left w:val="nil"/>
              <w:bottom w:val="single" w:sz="4" w:space="0" w:color="auto"/>
              <w:right w:val="single" w:sz="4" w:space="0" w:color="auto"/>
            </w:tcBorders>
            <w:shd w:val="clear" w:color="auto" w:fill="auto"/>
            <w:noWrap/>
            <w:vAlign w:val="center"/>
            <w:hideMark/>
          </w:tcPr>
          <w:p w14:paraId="0E61473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3,31</w:t>
            </w:r>
          </w:p>
        </w:tc>
        <w:tc>
          <w:tcPr>
            <w:tcW w:w="1194" w:type="dxa"/>
            <w:tcBorders>
              <w:top w:val="nil"/>
              <w:left w:val="nil"/>
              <w:bottom w:val="single" w:sz="4" w:space="0" w:color="auto"/>
              <w:right w:val="single" w:sz="4" w:space="0" w:color="auto"/>
            </w:tcBorders>
            <w:shd w:val="clear" w:color="auto" w:fill="auto"/>
            <w:noWrap/>
            <w:vAlign w:val="center"/>
            <w:hideMark/>
          </w:tcPr>
          <w:p w14:paraId="44F4D70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2,63</w:t>
            </w:r>
          </w:p>
        </w:tc>
      </w:tr>
      <w:tr w:rsidR="00BF12D5" w:rsidRPr="00BD0223" w14:paraId="07E342D5"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CFC588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NEVES PAULISTA</w:t>
            </w:r>
          </w:p>
        </w:tc>
        <w:tc>
          <w:tcPr>
            <w:tcW w:w="1194" w:type="dxa"/>
            <w:tcBorders>
              <w:top w:val="nil"/>
              <w:left w:val="nil"/>
              <w:bottom w:val="single" w:sz="4" w:space="0" w:color="auto"/>
              <w:right w:val="single" w:sz="4" w:space="0" w:color="auto"/>
            </w:tcBorders>
            <w:shd w:val="clear" w:color="auto" w:fill="auto"/>
            <w:noWrap/>
            <w:vAlign w:val="center"/>
            <w:hideMark/>
          </w:tcPr>
          <w:p w14:paraId="07DD051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1,15</w:t>
            </w:r>
          </w:p>
        </w:tc>
        <w:tc>
          <w:tcPr>
            <w:tcW w:w="1194" w:type="dxa"/>
            <w:tcBorders>
              <w:top w:val="nil"/>
              <w:left w:val="nil"/>
              <w:bottom w:val="single" w:sz="4" w:space="0" w:color="auto"/>
              <w:right w:val="single" w:sz="4" w:space="0" w:color="auto"/>
            </w:tcBorders>
            <w:shd w:val="clear" w:color="auto" w:fill="auto"/>
            <w:noWrap/>
            <w:vAlign w:val="center"/>
            <w:hideMark/>
          </w:tcPr>
          <w:p w14:paraId="451919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1,11</w:t>
            </w:r>
          </w:p>
        </w:tc>
        <w:tc>
          <w:tcPr>
            <w:tcW w:w="1194" w:type="dxa"/>
            <w:tcBorders>
              <w:top w:val="nil"/>
              <w:left w:val="nil"/>
              <w:bottom w:val="single" w:sz="4" w:space="0" w:color="auto"/>
              <w:right w:val="single" w:sz="4" w:space="0" w:color="auto"/>
            </w:tcBorders>
            <w:shd w:val="clear" w:color="auto" w:fill="auto"/>
            <w:noWrap/>
            <w:vAlign w:val="center"/>
            <w:hideMark/>
          </w:tcPr>
          <w:p w14:paraId="6EE97FB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1,04</w:t>
            </w:r>
          </w:p>
        </w:tc>
        <w:tc>
          <w:tcPr>
            <w:tcW w:w="1194" w:type="dxa"/>
            <w:tcBorders>
              <w:top w:val="nil"/>
              <w:left w:val="nil"/>
              <w:bottom w:val="single" w:sz="4" w:space="0" w:color="auto"/>
              <w:right w:val="single" w:sz="4" w:space="0" w:color="auto"/>
            </w:tcBorders>
            <w:shd w:val="clear" w:color="auto" w:fill="auto"/>
            <w:noWrap/>
            <w:vAlign w:val="center"/>
            <w:hideMark/>
          </w:tcPr>
          <w:p w14:paraId="0ED476E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0,94</w:t>
            </w:r>
          </w:p>
        </w:tc>
      </w:tr>
      <w:tr w:rsidR="00BF12D5" w:rsidRPr="00BD0223" w14:paraId="30DBF0E5"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487AB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NHANDEARA</w:t>
            </w:r>
          </w:p>
        </w:tc>
        <w:tc>
          <w:tcPr>
            <w:tcW w:w="1194" w:type="dxa"/>
            <w:tcBorders>
              <w:top w:val="nil"/>
              <w:left w:val="nil"/>
              <w:bottom w:val="single" w:sz="4" w:space="0" w:color="auto"/>
              <w:right w:val="single" w:sz="4" w:space="0" w:color="auto"/>
            </w:tcBorders>
            <w:shd w:val="clear" w:color="auto" w:fill="auto"/>
            <w:noWrap/>
            <w:vAlign w:val="center"/>
            <w:hideMark/>
          </w:tcPr>
          <w:p w14:paraId="53DCDA4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1,91</w:t>
            </w:r>
          </w:p>
        </w:tc>
        <w:tc>
          <w:tcPr>
            <w:tcW w:w="1194" w:type="dxa"/>
            <w:tcBorders>
              <w:top w:val="nil"/>
              <w:left w:val="nil"/>
              <w:bottom w:val="single" w:sz="4" w:space="0" w:color="auto"/>
              <w:right w:val="single" w:sz="4" w:space="0" w:color="auto"/>
            </w:tcBorders>
            <w:shd w:val="clear" w:color="auto" w:fill="auto"/>
            <w:noWrap/>
            <w:vAlign w:val="center"/>
            <w:hideMark/>
          </w:tcPr>
          <w:p w14:paraId="5AADB9F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2,00</w:t>
            </w:r>
          </w:p>
        </w:tc>
        <w:tc>
          <w:tcPr>
            <w:tcW w:w="1194" w:type="dxa"/>
            <w:tcBorders>
              <w:top w:val="nil"/>
              <w:left w:val="nil"/>
              <w:bottom w:val="single" w:sz="4" w:space="0" w:color="auto"/>
              <w:right w:val="single" w:sz="4" w:space="0" w:color="auto"/>
            </w:tcBorders>
            <w:shd w:val="clear" w:color="auto" w:fill="auto"/>
            <w:noWrap/>
            <w:vAlign w:val="center"/>
            <w:hideMark/>
          </w:tcPr>
          <w:p w14:paraId="55C3339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2,03</w:t>
            </w:r>
          </w:p>
        </w:tc>
        <w:tc>
          <w:tcPr>
            <w:tcW w:w="1194" w:type="dxa"/>
            <w:tcBorders>
              <w:top w:val="nil"/>
              <w:left w:val="nil"/>
              <w:bottom w:val="single" w:sz="4" w:space="0" w:color="auto"/>
              <w:right w:val="single" w:sz="4" w:space="0" w:color="auto"/>
            </w:tcBorders>
            <w:shd w:val="clear" w:color="auto" w:fill="auto"/>
            <w:noWrap/>
            <w:vAlign w:val="center"/>
            <w:hideMark/>
          </w:tcPr>
          <w:p w14:paraId="3C9EBD9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1,74</w:t>
            </w:r>
          </w:p>
        </w:tc>
      </w:tr>
      <w:tr w:rsidR="00BF12D5" w:rsidRPr="00BD0223" w14:paraId="20ED852E"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0B54D0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NIPOA</w:t>
            </w:r>
          </w:p>
        </w:tc>
        <w:tc>
          <w:tcPr>
            <w:tcW w:w="1194" w:type="dxa"/>
            <w:tcBorders>
              <w:top w:val="nil"/>
              <w:left w:val="nil"/>
              <w:bottom w:val="single" w:sz="4" w:space="0" w:color="auto"/>
              <w:right w:val="single" w:sz="4" w:space="0" w:color="auto"/>
            </w:tcBorders>
            <w:shd w:val="clear" w:color="auto" w:fill="auto"/>
            <w:noWrap/>
            <w:vAlign w:val="center"/>
            <w:hideMark/>
          </w:tcPr>
          <w:p w14:paraId="46588BC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0,57</w:t>
            </w:r>
          </w:p>
        </w:tc>
        <w:tc>
          <w:tcPr>
            <w:tcW w:w="1194" w:type="dxa"/>
            <w:tcBorders>
              <w:top w:val="nil"/>
              <w:left w:val="nil"/>
              <w:bottom w:val="single" w:sz="4" w:space="0" w:color="auto"/>
              <w:right w:val="single" w:sz="4" w:space="0" w:color="auto"/>
            </w:tcBorders>
            <w:shd w:val="clear" w:color="auto" w:fill="auto"/>
            <w:noWrap/>
            <w:vAlign w:val="center"/>
            <w:hideMark/>
          </w:tcPr>
          <w:p w14:paraId="4DF694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0,65</w:t>
            </w:r>
          </w:p>
        </w:tc>
        <w:tc>
          <w:tcPr>
            <w:tcW w:w="1194" w:type="dxa"/>
            <w:tcBorders>
              <w:top w:val="nil"/>
              <w:left w:val="nil"/>
              <w:bottom w:val="single" w:sz="4" w:space="0" w:color="auto"/>
              <w:right w:val="single" w:sz="4" w:space="0" w:color="auto"/>
            </w:tcBorders>
            <w:shd w:val="clear" w:color="auto" w:fill="auto"/>
            <w:noWrap/>
            <w:vAlign w:val="center"/>
            <w:hideMark/>
          </w:tcPr>
          <w:p w14:paraId="07AFB84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0,60</w:t>
            </w:r>
          </w:p>
        </w:tc>
        <w:tc>
          <w:tcPr>
            <w:tcW w:w="1194" w:type="dxa"/>
            <w:tcBorders>
              <w:top w:val="nil"/>
              <w:left w:val="nil"/>
              <w:bottom w:val="single" w:sz="4" w:space="0" w:color="auto"/>
              <w:right w:val="single" w:sz="4" w:space="0" w:color="auto"/>
            </w:tcBorders>
            <w:shd w:val="clear" w:color="auto" w:fill="auto"/>
            <w:noWrap/>
            <w:vAlign w:val="center"/>
            <w:hideMark/>
          </w:tcPr>
          <w:p w14:paraId="7B3E52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0,50</w:t>
            </w:r>
          </w:p>
        </w:tc>
      </w:tr>
      <w:tr w:rsidR="00BF12D5" w:rsidRPr="00BD0223" w14:paraId="6EFE443E"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531AFE2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NOVA CANAA PAULISTA</w:t>
            </w:r>
          </w:p>
        </w:tc>
        <w:tc>
          <w:tcPr>
            <w:tcW w:w="1194" w:type="dxa"/>
            <w:tcBorders>
              <w:top w:val="nil"/>
              <w:left w:val="nil"/>
              <w:bottom w:val="single" w:sz="4" w:space="0" w:color="auto"/>
              <w:right w:val="single" w:sz="4" w:space="0" w:color="auto"/>
            </w:tcBorders>
            <w:shd w:val="clear" w:color="auto" w:fill="auto"/>
            <w:noWrap/>
            <w:vAlign w:val="center"/>
            <w:hideMark/>
          </w:tcPr>
          <w:p w14:paraId="4D9583E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0,23</w:t>
            </w:r>
          </w:p>
        </w:tc>
        <w:tc>
          <w:tcPr>
            <w:tcW w:w="1194" w:type="dxa"/>
            <w:tcBorders>
              <w:top w:val="nil"/>
              <w:left w:val="nil"/>
              <w:bottom w:val="single" w:sz="4" w:space="0" w:color="auto"/>
              <w:right w:val="single" w:sz="4" w:space="0" w:color="auto"/>
            </w:tcBorders>
            <w:shd w:val="clear" w:color="auto" w:fill="auto"/>
            <w:noWrap/>
            <w:vAlign w:val="center"/>
            <w:hideMark/>
          </w:tcPr>
          <w:p w14:paraId="7BF1E4F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0,21</w:t>
            </w:r>
          </w:p>
        </w:tc>
        <w:tc>
          <w:tcPr>
            <w:tcW w:w="1194" w:type="dxa"/>
            <w:tcBorders>
              <w:top w:val="nil"/>
              <w:left w:val="nil"/>
              <w:bottom w:val="single" w:sz="4" w:space="0" w:color="auto"/>
              <w:right w:val="single" w:sz="4" w:space="0" w:color="auto"/>
            </w:tcBorders>
            <w:shd w:val="clear" w:color="auto" w:fill="auto"/>
            <w:noWrap/>
            <w:vAlign w:val="center"/>
            <w:hideMark/>
          </w:tcPr>
          <w:p w14:paraId="09E9025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0,16</w:t>
            </w:r>
          </w:p>
        </w:tc>
        <w:tc>
          <w:tcPr>
            <w:tcW w:w="1194" w:type="dxa"/>
            <w:tcBorders>
              <w:top w:val="nil"/>
              <w:left w:val="nil"/>
              <w:bottom w:val="single" w:sz="4" w:space="0" w:color="auto"/>
              <w:right w:val="single" w:sz="4" w:space="0" w:color="auto"/>
            </w:tcBorders>
            <w:shd w:val="clear" w:color="auto" w:fill="auto"/>
            <w:noWrap/>
            <w:vAlign w:val="center"/>
            <w:hideMark/>
          </w:tcPr>
          <w:p w14:paraId="4B0A8E3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0,14</w:t>
            </w:r>
          </w:p>
        </w:tc>
      </w:tr>
      <w:tr w:rsidR="00BF12D5" w:rsidRPr="00BD0223" w14:paraId="2F74BF70"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B8CF92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NOVA CASTILHO</w:t>
            </w:r>
          </w:p>
        </w:tc>
        <w:tc>
          <w:tcPr>
            <w:tcW w:w="1194" w:type="dxa"/>
            <w:tcBorders>
              <w:top w:val="nil"/>
              <w:left w:val="nil"/>
              <w:bottom w:val="single" w:sz="4" w:space="0" w:color="auto"/>
              <w:right w:val="single" w:sz="4" w:space="0" w:color="auto"/>
            </w:tcBorders>
            <w:shd w:val="clear" w:color="auto" w:fill="auto"/>
            <w:noWrap/>
            <w:vAlign w:val="center"/>
            <w:hideMark/>
          </w:tcPr>
          <w:p w14:paraId="5A4040E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0,08</w:t>
            </w:r>
          </w:p>
        </w:tc>
        <w:tc>
          <w:tcPr>
            <w:tcW w:w="1194" w:type="dxa"/>
            <w:tcBorders>
              <w:top w:val="nil"/>
              <w:left w:val="nil"/>
              <w:bottom w:val="single" w:sz="4" w:space="0" w:color="auto"/>
              <w:right w:val="single" w:sz="4" w:space="0" w:color="auto"/>
            </w:tcBorders>
            <w:shd w:val="clear" w:color="auto" w:fill="auto"/>
            <w:noWrap/>
            <w:vAlign w:val="center"/>
            <w:hideMark/>
          </w:tcPr>
          <w:p w14:paraId="6E0622D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0,07</w:t>
            </w:r>
          </w:p>
        </w:tc>
        <w:tc>
          <w:tcPr>
            <w:tcW w:w="1194" w:type="dxa"/>
            <w:tcBorders>
              <w:top w:val="nil"/>
              <w:left w:val="nil"/>
              <w:bottom w:val="single" w:sz="4" w:space="0" w:color="auto"/>
              <w:right w:val="single" w:sz="4" w:space="0" w:color="auto"/>
            </w:tcBorders>
            <w:shd w:val="clear" w:color="auto" w:fill="auto"/>
            <w:noWrap/>
            <w:vAlign w:val="center"/>
            <w:hideMark/>
          </w:tcPr>
          <w:p w14:paraId="7C74C01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0,03</w:t>
            </w:r>
          </w:p>
        </w:tc>
        <w:tc>
          <w:tcPr>
            <w:tcW w:w="1194" w:type="dxa"/>
            <w:tcBorders>
              <w:top w:val="nil"/>
              <w:left w:val="nil"/>
              <w:bottom w:val="single" w:sz="4" w:space="0" w:color="auto"/>
              <w:right w:val="single" w:sz="4" w:space="0" w:color="auto"/>
            </w:tcBorders>
            <w:shd w:val="clear" w:color="auto" w:fill="auto"/>
            <w:noWrap/>
            <w:vAlign w:val="center"/>
            <w:hideMark/>
          </w:tcPr>
          <w:p w14:paraId="25FB298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0,04</w:t>
            </w:r>
          </w:p>
        </w:tc>
      </w:tr>
      <w:tr w:rsidR="00BF12D5" w:rsidRPr="00BD0223" w14:paraId="407796D7"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CE109A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NOVAIS</w:t>
            </w:r>
          </w:p>
        </w:tc>
        <w:tc>
          <w:tcPr>
            <w:tcW w:w="1194" w:type="dxa"/>
            <w:tcBorders>
              <w:top w:val="nil"/>
              <w:left w:val="nil"/>
              <w:bottom w:val="single" w:sz="4" w:space="0" w:color="auto"/>
              <w:right w:val="single" w:sz="4" w:space="0" w:color="auto"/>
            </w:tcBorders>
            <w:shd w:val="clear" w:color="auto" w:fill="auto"/>
            <w:noWrap/>
            <w:vAlign w:val="center"/>
            <w:hideMark/>
          </w:tcPr>
          <w:p w14:paraId="503BF6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194" w:type="dxa"/>
            <w:tcBorders>
              <w:top w:val="nil"/>
              <w:left w:val="nil"/>
              <w:bottom w:val="single" w:sz="4" w:space="0" w:color="auto"/>
              <w:right w:val="single" w:sz="4" w:space="0" w:color="auto"/>
            </w:tcBorders>
            <w:shd w:val="clear" w:color="auto" w:fill="auto"/>
            <w:noWrap/>
            <w:vAlign w:val="center"/>
            <w:hideMark/>
          </w:tcPr>
          <w:p w14:paraId="27704E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0,27</w:t>
            </w:r>
          </w:p>
        </w:tc>
        <w:tc>
          <w:tcPr>
            <w:tcW w:w="1194" w:type="dxa"/>
            <w:tcBorders>
              <w:top w:val="nil"/>
              <w:left w:val="nil"/>
              <w:bottom w:val="single" w:sz="4" w:space="0" w:color="auto"/>
              <w:right w:val="single" w:sz="4" w:space="0" w:color="auto"/>
            </w:tcBorders>
            <w:shd w:val="clear" w:color="auto" w:fill="auto"/>
            <w:noWrap/>
            <w:vAlign w:val="center"/>
            <w:hideMark/>
          </w:tcPr>
          <w:p w14:paraId="1A8E0A6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0,25</w:t>
            </w:r>
          </w:p>
        </w:tc>
        <w:tc>
          <w:tcPr>
            <w:tcW w:w="1194" w:type="dxa"/>
            <w:tcBorders>
              <w:top w:val="nil"/>
              <w:left w:val="nil"/>
              <w:bottom w:val="single" w:sz="4" w:space="0" w:color="auto"/>
              <w:right w:val="single" w:sz="4" w:space="0" w:color="auto"/>
            </w:tcBorders>
            <w:shd w:val="clear" w:color="auto" w:fill="auto"/>
            <w:noWrap/>
            <w:vAlign w:val="center"/>
            <w:hideMark/>
          </w:tcPr>
          <w:p w14:paraId="5631683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0,22</w:t>
            </w:r>
          </w:p>
        </w:tc>
      </w:tr>
      <w:tr w:rsidR="00BF12D5" w:rsidRPr="00BD0223" w14:paraId="11164119"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6E28A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NOVO HORIZONTE</w:t>
            </w:r>
          </w:p>
        </w:tc>
        <w:tc>
          <w:tcPr>
            <w:tcW w:w="1194" w:type="dxa"/>
            <w:tcBorders>
              <w:top w:val="nil"/>
              <w:left w:val="nil"/>
              <w:bottom w:val="single" w:sz="4" w:space="0" w:color="auto"/>
              <w:right w:val="single" w:sz="4" w:space="0" w:color="auto"/>
            </w:tcBorders>
            <w:shd w:val="clear" w:color="auto" w:fill="auto"/>
            <w:noWrap/>
            <w:vAlign w:val="center"/>
            <w:hideMark/>
          </w:tcPr>
          <w:p w14:paraId="7BF871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4,96</w:t>
            </w:r>
          </w:p>
        </w:tc>
        <w:tc>
          <w:tcPr>
            <w:tcW w:w="1194" w:type="dxa"/>
            <w:tcBorders>
              <w:top w:val="nil"/>
              <w:left w:val="nil"/>
              <w:bottom w:val="single" w:sz="4" w:space="0" w:color="auto"/>
              <w:right w:val="single" w:sz="4" w:space="0" w:color="auto"/>
            </w:tcBorders>
            <w:shd w:val="clear" w:color="auto" w:fill="auto"/>
            <w:noWrap/>
            <w:vAlign w:val="center"/>
            <w:hideMark/>
          </w:tcPr>
          <w:p w14:paraId="051D85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5,55</w:t>
            </w:r>
          </w:p>
        </w:tc>
        <w:tc>
          <w:tcPr>
            <w:tcW w:w="1194" w:type="dxa"/>
            <w:tcBorders>
              <w:top w:val="nil"/>
              <w:left w:val="nil"/>
              <w:bottom w:val="single" w:sz="4" w:space="0" w:color="auto"/>
              <w:right w:val="single" w:sz="4" w:space="0" w:color="auto"/>
            </w:tcBorders>
            <w:shd w:val="clear" w:color="auto" w:fill="auto"/>
            <w:noWrap/>
            <w:vAlign w:val="center"/>
            <w:hideMark/>
          </w:tcPr>
          <w:p w14:paraId="588C1DE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5,41</w:t>
            </w:r>
          </w:p>
        </w:tc>
        <w:tc>
          <w:tcPr>
            <w:tcW w:w="1194" w:type="dxa"/>
            <w:tcBorders>
              <w:top w:val="nil"/>
              <w:left w:val="nil"/>
              <w:bottom w:val="single" w:sz="4" w:space="0" w:color="auto"/>
              <w:right w:val="single" w:sz="4" w:space="0" w:color="auto"/>
            </w:tcBorders>
            <w:shd w:val="clear" w:color="auto" w:fill="auto"/>
            <w:noWrap/>
            <w:vAlign w:val="center"/>
            <w:hideMark/>
          </w:tcPr>
          <w:p w14:paraId="126393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4,40</w:t>
            </w:r>
          </w:p>
        </w:tc>
      </w:tr>
      <w:tr w:rsidR="00BF12D5" w:rsidRPr="00BD0223" w14:paraId="4AEA3AAA"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DCC0CF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NUPORANGA</w:t>
            </w:r>
          </w:p>
        </w:tc>
        <w:tc>
          <w:tcPr>
            <w:tcW w:w="1194" w:type="dxa"/>
            <w:tcBorders>
              <w:top w:val="nil"/>
              <w:left w:val="nil"/>
              <w:bottom w:val="single" w:sz="4" w:space="0" w:color="auto"/>
              <w:right w:val="single" w:sz="4" w:space="0" w:color="auto"/>
            </w:tcBorders>
            <w:shd w:val="clear" w:color="auto" w:fill="auto"/>
            <w:noWrap/>
            <w:vAlign w:val="center"/>
            <w:hideMark/>
          </w:tcPr>
          <w:p w14:paraId="3819172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0,71</w:t>
            </w:r>
          </w:p>
        </w:tc>
        <w:tc>
          <w:tcPr>
            <w:tcW w:w="1194" w:type="dxa"/>
            <w:tcBorders>
              <w:top w:val="nil"/>
              <w:left w:val="nil"/>
              <w:bottom w:val="single" w:sz="4" w:space="0" w:color="auto"/>
              <w:right w:val="single" w:sz="4" w:space="0" w:color="auto"/>
            </w:tcBorders>
            <w:shd w:val="clear" w:color="auto" w:fill="auto"/>
            <w:noWrap/>
            <w:vAlign w:val="center"/>
            <w:hideMark/>
          </w:tcPr>
          <w:p w14:paraId="3599DCF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0,76</w:t>
            </w:r>
          </w:p>
        </w:tc>
        <w:tc>
          <w:tcPr>
            <w:tcW w:w="1194" w:type="dxa"/>
            <w:tcBorders>
              <w:top w:val="nil"/>
              <w:left w:val="nil"/>
              <w:bottom w:val="single" w:sz="4" w:space="0" w:color="auto"/>
              <w:right w:val="single" w:sz="4" w:space="0" w:color="auto"/>
            </w:tcBorders>
            <w:shd w:val="clear" w:color="auto" w:fill="auto"/>
            <w:noWrap/>
            <w:vAlign w:val="center"/>
            <w:hideMark/>
          </w:tcPr>
          <w:p w14:paraId="6ABF4A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0,84</w:t>
            </w:r>
          </w:p>
        </w:tc>
        <w:tc>
          <w:tcPr>
            <w:tcW w:w="1194" w:type="dxa"/>
            <w:tcBorders>
              <w:top w:val="nil"/>
              <w:left w:val="nil"/>
              <w:bottom w:val="single" w:sz="4" w:space="0" w:color="auto"/>
              <w:right w:val="single" w:sz="4" w:space="0" w:color="auto"/>
            </w:tcBorders>
            <w:shd w:val="clear" w:color="auto" w:fill="auto"/>
            <w:noWrap/>
            <w:vAlign w:val="center"/>
            <w:hideMark/>
          </w:tcPr>
          <w:p w14:paraId="4792198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0,70</w:t>
            </w:r>
          </w:p>
        </w:tc>
      </w:tr>
      <w:tr w:rsidR="00BF12D5" w:rsidRPr="00BD0223" w14:paraId="4B4AE1EA"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6D977C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OLIMPIA</w:t>
            </w:r>
          </w:p>
        </w:tc>
        <w:tc>
          <w:tcPr>
            <w:tcW w:w="1194" w:type="dxa"/>
            <w:tcBorders>
              <w:top w:val="nil"/>
              <w:left w:val="nil"/>
              <w:bottom w:val="single" w:sz="4" w:space="0" w:color="auto"/>
              <w:right w:val="single" w:sz="4" w:space="0" w:color="auto"/>
            </w:tcBorders>
            <w:shd w:val="clear" w:color="auto" w:fill="auto"/>
            <w:noWrap/>
            <w:vAlign w:val="center"/>
            <w:hideMark/>
          </w:tcPr>
          <w:p w14:paraId="2FD5F0D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10,34</w:t>
            </w:r>
          </w:p>
        </w:tc>
        <w:tc>
          <w:tcPr>
            <w:tcW w:w="1194" w:type="dxa"/>
            <w:tcBorders>
              <w:top w:val="nil"/>
              <w:left w:val="nil"/>
              <w:bottom w:val="single" w:sz="4" w:space="0" w:color="auto"/>
              <w:right w:val="single" w:sz="4" w:space="0" w:color="auto"/>
            </w:tcBorders>
            <w:shd w:val="clear" w:color="auto" w:fill="auto"/>
            <w:noWrap/>
            <w:vAlign w:val="center"/>
            <w:hideMark/>
          </w:tcPr>
          <w:p w14:paraId="3D84CA6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11,39</w:t>
            </w:r>
          </w:p>
        </w:tc>
        <w:tc>
          <w:tcPr>
            <w:tcW w:w="1194" w:type="dxa"/>
            <w:tcBorders>
              <w:top w:val="nil"/>
              <w:left w:val="nil"/>
              <w:bottom w:val="single" w:sz="4" w:space="0" w:color="auto"/>
              <w:right w:val="single" w:sz="4" w:space="0" w:color="auto"/>
            </w:tcBorders>
            <w:shd w:val="clear" w:color="auto" w:fill="auto"/>
            <w:noWrap/>
            <w:vAlign w:val="center"/>
            <w:hideMark/>
          </w:tcPr>
          <w:p w14:paraId="2A56E0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11,60</w:t>
            </w:r>
          </w:p>
        </w:tc>
        <w:tc>
          <w:tcPr>
            <w:tcW w:w="1194" w:type="dxa"/>
            <w:tcBorders>
              <w:top w:val="nil"/>
              <w:left w:val="nil"/>
              <w:bottom w:val="single" w:sz="4" w:space="0" w:color="auto"/>
              <w:right w:val="single" w:sz="4" w:space="0" w:color="auto"/>
            </w:tcBorders>
            <w:shd w:val="clear" w:color="auto" w:fill="auto"/>
            <w:noWrap/>
            <w:vAlign w:val="center"/>
            <w:hideMark/>
          </w:tcPr>
          <w:p w14:paraId="61FD3E4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9,91</w:t>
            </w:r>
          </w:p>
        </w:tc>
      </w:tr>
      <w:tr w:rsidR="00BF12D5" w:rsidRPr="00BD0223" w14:paraId="19CA3D90"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2C9A9B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ONDA VERDE</w:t>
            </w:r>
          </w:p>
        </w:tc>
        <w:tc>
          <w:tcPr>
            <w:tcW w:w="1194" w:type="dxa"/>
            <w:tcBorders>
              <w:top w:val="nil"/>
              <w:left w:val="nil"/>
              <w:bottom w:val="single" w:sz="4" w:space="0" w:color="auto"/>
              <w:right w:val="single" w:sz="4" w:space="0" w:color="auto"/>
            </w:tcBorders>
            <w:shd w:val="clear" w:color="auto" w:fill="auto"/>
            <w:noWrap/>
            <w:vAlign w:val="center"/>
            <w:hideMark/>
          </w:tcPr>
          <w:p w14:paraId="5D80DE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2,16</w:t>
            </w:r>
          </w:p>
        </w:tc>
        <w:tc>
          <w:tcPr>
            <w:tcW w:w="1194" w:type="dxa"/>
            <w:tcBorders>
              <w:top w:val="nil"/>
              <w:left w:val="nil"/>
              <w:bottom w:val="single" w:sz="4" w:space="0" w:color="auto"/>
              <w:right w:val="single" w:sz="4" w:space="0" w:color="auto"/>
            </w:tcBorders>
            <w:shd w:val="clear" w:color="auto" w:fill="auto"/>
            <w:noWrap/>
            <w:vAlign w:val="center"/>
            <w:hideMark/>
          </w:tcPr>
          <w:p w14:paraId="33DBE28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1,85</w:t>
            </w:r>
          </w:p>
        </w:tc>
        <w:tc>
          <w:tcPr>
            <w:tcW w:w="1194" w:type="dxa"/>
            <w:tcBorders>
              <w:top w:val="nil"/>
              <w:left w:val="nil"/>
              <w:bottom w:val="single" w:sz="4" w:space="0" w:color="auto"/>
              <w:right w:val="single" w:sz="4" w:space="0" w:color="auto"/>
            </w:tcBorders>
            <w:shd w:val="clear" w:color="auto" w:fill="auto"/>
            <w:noWrap/>
            <w:vAlign w:val="center"/>
            <w:hideMark/>
          </w:tcPr>
          <w:p w14:paraId="158DDFE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1,69</w:t>
            </w:r>
          </w:p>
        </w:tc>
        <w:tc>
          <w:tcPr>
            <w:tcW w:w="1194" w:type="dxa"/>
            <w:tcBorders>
              <w:top w:val="nil"/>
              <w:left w:val="nil"/>
              <w:bottom w:val="single" w:sz="4" w:space="0" w:color="auto"/>
              <w:right w:val="single" w:sz="4" w:space="0" w:color="auto"/>
            </w:tcBorders>
            <w:shd w:val="clear" w:color="auto" w:fill="auto"/>
            <w:noWrap/>
            <w:vAlign w:val="center"/>
            <w:hideMark/>
          </w:tcPr>
          <w:p w14:paraId="7ED3AE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1,72</w:t>
            </w:r>
          </w:p>
        </w:tc>
      </w:tr>
      <w:tr w:rsidR="00BF12D5" w:rsidRPr="00BD0223" w14:paraId="1F1BB4F6"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EA8805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ORINDIUVA</w:t>
            </w:r>
          </w:p>
        </w:tc>
        <w:tc>
          <w:tcPr>
            <w:tcW w:w="1194" w:type="dxa"/>
            <w:tcBorders>
              <w:top w:val="nil"/>
              <w:left w:val="nil"/>
              <w:bottom w:val="single" w:sz="4" w:space="0" w:color="auto"/>
              <w:right w:val="single" w:sz="4" w:space="0" w:color="auto"/>
            </w:tcBorders>
            <w:shd w:val="clear" w:color="auto" w:fill="auto"/>
            <w:noWrap/>
            <w:vAlign w:val="center"/>
            <w:hideMark/>
          </w:tcPr>
          <w:p w14:paraId="2151AC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0,60</w:t>
            </w:r>
          </w:p>
        </w:tc>
        <w:tc>
          <w:tcPr>
            <w:tcW w:w="1194" w:type="dxa"/>
            <w:tcBorders>
              <w:top w:val="nil"/>
              <w:left w:val="nil"/>
              <w:bottom w:val="single" w:sz="4" w:space="0" w:color="auto"/>
              <w:right w:val="single" w:sz="4" w:space="0" w:color="auto"/>
            </w:tcBorders>
            <w:shd w:val="clear" w:color="auto" w:fill="auto"/>
            <w:noWrap/>
            <w:vAlign w:val="center"/>
            <w:hideMark/>
          </w:tcPr>
          <w:p w14:paraId="554646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0,62</w:t>
            </w:r>
          </w:p>
        </w:tc>
        <w:tc>
          <w:tcPr>
            <w:tcW w:w="1194" w:type="dxa"/>
            <w:tcBorders>
              <w:top w:val="nil"/>
              <w:left w:val="nil"/>
              <w:bottom w:val="single" w:sz="4" w:space="0" w:color="auto"/>
              <w:right w:val="single" w:sz="4" w:space="0" w:color="auto"/>
            </w:tcBorders>
            <w:shd w:val="clear" w:color="auto" w:fill="auto"/>
            <w:noWrap/>
            <w:vAlign w:val="center"/>
            <w:hideMark/>
          </w:tcPr>
          <w:p w14:paraId="041A297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0,64</w:t>
            </w:r>
          </w:p>
        </w:tc>
        <w:tc>
          <w:tcPr>
            <w:tcW w:w="1194" w:type="dxa"/>
            <w:tcBorders>
              <w:top w:val="nil"/>
              <w:left w:val="nil"/>
              <w:bottom w:val="single" w:sz="4" w:space="0" w:color="auto"/>
              <w:right w:val="single" w:sz="4" w:space="0" w:color="auto"/>
            </w:tcBorders>
            <w:shd w:val="clear" w:color="auto" w:fill="auto"/>
            <w:noWrap/>
            <w:vAlign w:val="center"/>
            <w:hideMark/>
          </w:tcPr>
          <w:p w14:paraId="7AB57A2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0,68</w:t>
            </w:r>
          </w:p>
        </w:tc>
      </w:tr>
      <w:tr w:rsidR="00BF12D5" w:rsidRPr="00BD0223" w14:paraId="6B57297C"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4F9FAD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ORLANDIA</w:t>
            </w:r>
          </w:p>
        </w:tc>
        <w:tc>
          <w:tcPr>
            <w:tcW w:w="1194" w:type="dxa"/>
            <w:tcBorders>
              <w:top w:val="nil"/>
              <w:left w:val="nil"/>
              <w:bottom w:val="single" w:sz="4" w:space="0" w:color="auto"/>
              <w:right w:val="single" w:sz="4" w:space="0" w:color="auto"/>
            </w:tcBorders>
            <w:shd w:val="clear" w:color="auto" w:fill="auto"/>
            <w:noWrap/>
            <w:vAlign w:val="center"/>
            <w:hideMark/>
          </w:tcPr>
          <w:p w14:paraId="0518C9C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7,23</w:t>
            </w:r>
          </w:p>
        </w:tc>
        <w:tc>
          <w:tcPr>
            <w:tcW w:w="1194" w:type="dxa"/>
            <w:tcBorders>
              <w:top w:val="nil"/>
              <w:left w:val="nil"/>
              <w:bottom w:val="single" w:sz="4" w:space="0" w:color="auto"/>
              <w:right w:val="single" w:sz="4" w:space="0" w:color="auto"/>
            </w:tcBorders>
            <w:shd w:val="clear" w:color="auto" w:fill="auto"/>
            <w:noWrap/>
            <w:vAlign w:val="center"/>
            <w:hideMark/>
          </w:tcPr>
          <w:p w14:paraId="230259B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8,01</w:t>
            </w:r>
          </w:p>
        </w:tc>
        <w:tc>
          <w:tcPr>
            <w:tcW w:w="1194" w:type="dxa"/>
            <w:tcBorders>
              <w:top w:val="nil"/>
              <w:left w:val="nil"/>
              <w:bottom w:val="single" w:sz="4" w:space="0" w:color="auto"/>
              <w:right w:val="single" w:sz="4" w:space="0" w:color="auto"/>
            </w:tcBorders>
            <w:shd w:val="clear" w:color="auto" w:fill="auto"/>
            <w:noWrap/>
            <w:vAlign w:val="center"/>
            <w:hideMark/>
          </w:tcPr>
          <w:p w14:paraId="2C38D40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8,28</w:t>
            </w:r>
          </w:p>
        </w:tc>
        <w:tc>
          <w:tcPr>
            <w:tcW w:w="1194" w:type="dxa"/>
            <w:tcBorders>
              <w:top w:val="nil"/>
              <w:left w:val="nil"/>
              <w:bottom w:val="single" w:sz="4" w:space="0" w:color="auto"/>
              <w:right w:val="single" w:sz="4" w:space="0" w:color="auto"/>
            </w:tcBorders>
            <w:shd w:val="clear" w:color="auto" w:fill="auto"/>
            <w:noWrap/>
            <w:vAlign w:val="center"/>
            <w:hideMark/>
          </w:tcPr>
          <w:p w14:paraId="1B2B68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7,18</w:t>
            </w:r>
          </w:p>
        </w:tc>
      </w:tr>
      <w:tr w:rsidR="00BF12D5" w:rsidRPr="00BD0223" w14:paraId="7F87FF51"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9DF7DB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OUROESTE</w:t>
            </w:r>
          </w:p>
        </w:tc>
        <w:tc>
          <w:tcPr>
            <w:tcW w:w="1194" w:type="dxa"/>
            <w:tcBorders>
              <w:top w:val="nil"/>
              <w:left w:val="nil"/>
              <w:bottom w:val="single" w:sz="4" w:space="0" w:color="auto"/>
              <w:right w:val="single" w:sz="4" w:space="0" w:color="auto"/>
            </w:tcBorders>
            <w:shd w:val="clear" w:color="auto" w:fill="auto"/>
            <w:noWrap/>
            <w:vAlign w:val="center"/>
            <w:hideMark/>
          </w:tcPr>
          <w:p w14:paraId="5DE5F5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2,21</w:t>
            </w:r>
          </w:p>
        </w:tc>
        <w:tc>
          <w:tcPr>
            <w:tcW w:w="1194" w:type="dxa"/>
            <w:tcBorders>
              <w:top w:val="nil"/>
              <w:left w:val="nil"/>
              <w:bottom w:val="single" w:sz="4" w:space="0" w:color="auto"/>
              <w:right w:val="single" w:sz="4" w:space="0" w:color="auto"/>
            </w:tcBorders>
            <w:shd w:val="clear" w:color="auto" w:fill="auto"/>
            <w:noWrap/>
            <w:vAlign w:val="center"/>
            <w:hideMark/>
          </w:tcPr>
          <w:p w14:paraId="59F6AFF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2,15</w:t>
            </w:r>
          </w:p>
        </w:tc>
        <w:tc>
          <w:tcPr>
            <w:tcW w:w="1194" w:type="dxa"/>
            <w:tcBorders>
              <w:top w:val="nil"/>
              <w:left w:val="nil"/>
              <w:bottom w:val="single" w:sz="4" w:space="0" w:color="auto"/>
              <w:right w:val="single" w:sz="4" w:space="0" w:color="auto"/>
            </w:tcBorders>
            <w:shd w:val="clear" w:color="auto" w:fill="auto"/>
            <w:noWrap/>
            <w:vAlign w:val="center"/>
            <w:hideMark/>
          </w:tcPr>
          <w:p w14:paraId="67C972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2,33</w:t>
            </w:r>
          </w:p>
        </w:tc>
        <w:tc>
          <w:tcPr>
            <w:tcW w:w="1194" w:type="dxa"/>
            <w:tcBorders>
              <w:top w:val="nil"/>
              <w:left w:val="nil"/>
              <w:bottom w:val="single" w:sz="4" w:space="0" w:color="auto"/>
              <w:right w:val="single" w:sz="4" w:space="0" w:color="auto"/>
            </w:tcBorders>
            <w:shd w:val="clear" w:color="auto" w:fill="auto"/>
            <w:noWrap/>
            <w:vAlign w:val="center"/>
            <w:hideMark/>
          </w:tcPr>
          <w:p w14:paraId="3629E0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w:t>
            </w:r>
          </w:p>
        </w:tc>
      </w:tr>
      <w:tr w:rsidR="00BF12D5" w:rsidRPr="00BD0223" w14:paraId="3F468822"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F5AC28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PALESTINA</w:t>
            </w:r>
          </w:p>
        </w:tc>
        <w:tc>
          <w:tcPr>
            <w:tcW w:w="1194" w:type="dxa"/>
            <w:tcBorders>
              <w:top w:val="nil"/>
              <w:left w:val="nil"/>
              <w:bottom w:val="single" w:sz="4" w:space="0" w:color="auto"/>
              <w:right w:val="single" w:sz="4" w:space="0" w:color="auto"/>
            </w:tcBorders>
            <w:shd w:val="clear" w:color="auto" w:fill="auto"/>
            <w:noWrap/>
            <w:vAlign w:val="center"/>
            <w:hideMark/>
          </w:tcPr>
          <w:p w14:paraId="77E4C7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1,20</w:t>
            </w:r>
          </w:p>
        </w:tc>
        <w:tc>
          <w:tcPr>
            <w:tcW w:w="1194" w:type="dxa"/>
            <w:tcBorders>
              <w:top w:val="nil"/>
              <w:left w:val="nil"/>
              <w:bottom w:val="single" w:sz="4" w:space="0" w:color="auto"/>
              <w:right w:val="single" w:sz="4" w:space="0" w:color="auto"/>
            </w:tcBorders>
            <w:shd w:val="clear" w:color="auto" w:fill="auto"/>
            <w:noWrap/>
            <w:vAlign w:val="center"/>
            <w:hideMark/>
          </w:tcPr>
          <w:p w14:paraId="1EBD9E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1,29</w:t>
            </w:r>
          </w:p>
        </w:tc>
        <w:tc>
          <w:tcPr>
            <w:tcW w:w="1194" w:type="dxa"/>
            <w:tcBorders>
              <w:top w:val="nil"/>
              <w:left w:val="nil"/>
              <w:bottom w:val="single" w:sz="4" w:space="0" w:color="auto"/>
              <w:right w:val="single" w:sz="4" w:space="0" w:color="auto"/>
            </w:tcBorders>
            <w:shd w:val="clear" w:color="auto" w:fill="auto"/>
            <w:noWrap/>
            <w:vAlign w:val="center"/>
            <w:hideMark/>
          </w:tcPr>
          <w:p w14:paraId="6B6EA9B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1,28</w:t>
            </w:r>
          </w:p>
        </w:tc>
        <w:tc>
          <w:tcPr>
            <w:tcW w:w="1194" w:type="dxa"/>
            <w:tcBorders>
              <w:top w:val="nil"/>
              <w:left w:val="nil"/>
              <w:bottom w:val="single" w:sz="4" w:space="0" w:color="auto"/>
              <w:right w:val="single" w:sz="4" w:space="0" w:color="auto"/>
            </w:tcBorders>
            <w:shd w:val="clear" w:color="auto" w:fill="auto"/>
            <w:noWrap/>
            <w:vAlign w:val="center"/>
            <w:hideMark/>
          </w:tcPr>
          <w:p w14:paraId="0F72B9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1,10</w:t>
            </w:r>
          </w:p>
        </w:tc>
      </w:tr>
      <w:tr w:rsidR="00BF12D5" w:rsidRPr="00BD0223" w14:paraId="0D287F14"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FE155A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lastRenderedPageBreak/>
              <w:t>PALMARES PAULISTA</w:t>
            </w:r>
          </w:p>
        </w:tc>
        <w:tc>
          <w:tcPr>
            <w:tcW w:w="1194" w:type="dxa"/>
            <w:tcBorders>
              <w:top w:val="nil"/>
              <w:left w:val="nil"/>
              <w:bottom w:val="single" w:sz="4" w:space="0" w:color="auto"/>
              <w:right w:val="single" w:sz="4" w:space="0" w:color="auto"/>
            </w:tcBorders>
            <w:shd w:val="clear" w:color="auto" w:fill="auto"/>
            <w:noWrap/>
            <w:vAlign w:val="center"/>
            <w:hideMark/>
          </w:tcPr>
          <w:p w14:paraId="529E835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0,40</w:t>
            </w:r>
          </w:p>
        </w:tc>
        <w:tc>
          <w:tcPr>
            <w:tcW w:w="1194" w:type="dxa"/>
            <w:tcBorders>
              <w:top w:val="nil"/>
              <w:left w:val="nil"/>
              <w:bottom w:val="single" w:sz="4" w:space="0" w:color="auto"/>
              <w:right w:val="single" w:sz="4" w:space="0" w:color="auto"/>
            </w:tcBorders>
            <w:shd w:val="clear" w:color="auto" w:fill="auto"/>
            <w:noWrap/>
            <w:vAlign w:val="center"/>
            <w:hideMark/>
          </w:tcPr>
          <w:p w14:paraId="26224F0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0,45</w:t>
            </w:r>
          </w:p>
        </w:tc>
        <w:tc>
          <w:tcPr>
            <w:tcW w:w="1194" w:type="dxa"/>
            <w:tcBorders>
              <w:top w:val="nil"/>
              <w:left w:val="nil"/>
              <w:bottom w:val="single" w:sz="4" w:space="0" w:color="auto"/>
              <w:right w:val="single" w:sz="4" w:space="0" w:color="auto"/>
            </w:tcBorders>
            <w:shd w:val="clear" w:color="auto" w:fill="auto"/>
            <w:noWrap/>
            <w:vAlign w:val="center"/>
            <w:hideMark/>
          </w:tcPr>
          <w:p w14:paraId="0D3E2A3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0,44</w:t>
            </w:r>
          </w:p>
        </w:tc>
        <w:tc>
          <w:tcPr>
            <w:tcW w:w="1194" w:type="dxa"/>
            <w:tcBorders>
              <w:top w:val="nil"/>
              <w:left w:val="nil"/>
              <w:bottom w:val="single" w:sz="4" w:space="0" w:color="auto"/>
              <w:right w:val="single" w:sz="4" w:space="0" w:color="auto"/>
            </w:tcBorders>
            <w:shd w:val="clear" w:color="auto" w:fill="auto"/>
            <w:noWrap/>
            <w:vAlign w:val="center"/>
            <w:hideMark/>
          </w:tcPr>
          <w:p w14:paraId="24E5563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0,39</w:t>
            </w:r>
          </w:p>
        </w:tc>
      </w:tr>
      <w:tr w:rsidR="00BF12D5" w:rsidRPr="00BD0223" w14:paraId="0A61CF15"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59FDD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PALMEIRA D'OESTE</w:t>
            </w:r>
          </w:p>
        </w:tc>
        <w:tc>
          <w:tcPr>
            <w:tcW w:w="1194" w:type="dxa"/>
            <w:tcBorders>
              <w:top w:val="nil"/>
              <w:left w:val="nil"/>
              <w:bottom w:val="single" w:sz="4" w:space="0" w:color="auto"/>
              <w:right w:val="single" w:sz="4" w:space="0" w:color="auto"/>
            </w:tcBorders>
            <w:shd w:val="clear" w:color="auto" w:fill="auto"/>
            <w:noWrap/>
            <w:vAlign w:val="center"/>
            <w:hideMark/>
          </w:tcPr>
          <w:p w14:paraId="41057E1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1,49</w:t>
            </w:r>
          </w:p>
        </w:tc>
        <w:tc>
          <w:tcPr>
            <w:tcW w:w="1194" w:type="dxa"/>
            <w:tcBorders>
              <w:top w:val="nil"/>
              <w:left w:val="nil"/>
              <w:bottom w:val="single" w:sz="4" w:space="0" w:color="auto"/>
              <w:right w:val="single" w:sz="4" w:space="0" w:color="auto"/>
            </w:tcBorders>
            <w:shd w:val="clear" w:color="auto" w:fill="auto"/>
            <w:noWrap/>
            <w:vAlign w:val="center"/>
            <w:hideMark/>
          </w:tcPr>
          <w:p w14:paraId="0AC413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1,44</w:t>
            </w:r>
          </w:p>
        </w:tc>
        <w:tc>
          <w:tcPr>
            <w:tcW w:w="1194" w:type="dxa"/>
            <w:tcBorders>
              <w:top w:val="nil"/>
              <w:left w:val="nil"/>
              <w:bottom w:val="single" w:sz="4" w:space="0" w:color="auto"/>
              <w:right w:val="single" w:sz="4" w:space="0" w:color="auto"/>
            </w:tcBorders>
            <w:shd w:val="clear" w:color="auto" w:fill="auto"/>
            <w:noWrap/>
            <w:vAlign w:val="center"/>
            <w:hideMark/>
          </w:tcPr>
          <w:p w14:paraId="1F2FBD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1,43</w:t>
            </w:r>
          </w:p>
        </w:tc>
        <w:tc>
          <w:tcPr>
            <w:tcW w:w="1194" w:type="dxa"/>
            <w:tcBorders>
              <w:top w:val="nil"/>
              <w:left w:val="nil"/>
              <w:bottom w:val="single" w:sz="4" w:space="0" w:color="auto"/>
              <w:right w:val="single" w:sz="4" w:space="0" w:color="auto"/>
            </w:tcBorders>
            <w:shd w:val="clear" w:color="auto" w:fill="auto"/>
            <w:noWrap/>
            <w:vAlign w:val="center"/>
            <w:hideMark/>
          </w:tcPr>
          <w:p w14:paraId="058996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1,28</w:t>
            </w:r>
          </w:p>
        </w:tc>
      </w:tr>
      <w:tr w:rsidR="00BF12D5" w:rsidRPr="00BD0223" w14:paraId="7812A320"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552180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PARAISO</w:t>
            </w:r>
          </w:p>
        </w:tc>
        <w:tc>
          <w:tcPr>
            <w:tcW w:w="1194" w:type="dxa"/>
            <w:tcBorders>
              <w:top w:val="nil"/>
              <w:left w:val="nil"/>
              <w:bottom w:val="single" w:sz="4" w:space="0" w:color="auto"/>
              <w:right w:val="single" w:sz="4" w:space="0" w:color="auto"/>
            </w:tcBorders>
            <w:shd w:val="clear" w:color="auto" w:fill="auto"/>
            <w:noWrap/>
            <w:vAlign w:val="center"/>
            <w:hideMark/>
          </w:tcPr>
          <w:p w14:paraId="197044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0,42</w:t>
            </w:r>
          </w:p>
        </w:tc>
        <w:tc>
          <w:tcPr>
            <w:tcW w:w="1194" w:type="dxa"/>
            <w:tcBorders>
              <w:top w:val="nil"/>
              <w:left w:val="nil"/>
              <w:bottom w:val="single" w:sz="4" w:space="0" w:color="auto"/>
              <w:right w:val="single" w:sz="4" w:space="0" w:color="auto"/>
            </w:tcBorders>
            <w:shd w:val="clear" w:color="auto" w:fill="auto"/>
            <w:noWrap/>
            <w:vAlign w:val="center"/>
            <w:hideMark/>
          </w:tcPr>
          <w:p w14:paraId="0310C1B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0,47</w:t>
            </w:r>
          </w:p>
        </w:tc>
        <w:tc>
          <w:tcPr>
            <w:tcW w:w="1194" w:type="dxa"/>
            <w:tcBorders>
              <w:top w:val="nil"/>
              <w:left w:val="nil"/>
              <w:bottom w:val="single" w:sz="4" w:space="0" w:color="auto"/>
              <w:right w:val="single" w:sz="4" w:space="0" w:color="auto"/>
            </w:tcBorders>
            <w:shd w:val="clear" w:color="auto" w:fill="auto"/>
            <w:noWrap/>
            <w:vAlign w:val="center"/>
            <w:hideMark/>
          </w:tcPr>
          <w:p w14:paraId="34E3605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0,46</w:t>
            </w:r>
          </w:p>
        </w:tc>
        <w:tc>
          <w:tcPr>
            <w:tcW w:w="1194" w:type="dxa"/>
            <w:tcBorders>
              <w:top w:val="nil"/>
              <w:left w:val="nil"/>
              <w:bottom w:val="single" w:sz="4" w:space="0" w:color="auto"/>
              <w:right w:val="single" w:sz="4" w:space="0" w:color="auto"/>
            </w:tcBorders>
            <w:shd w:val="clear" w:color="auto" w:fill="auto"/>
            <w:noWrap/>
            <w:vAlign w:val="center"/>
            <w:hideMark/>
          </w:tcPr>
          <w:p w14:paraId="11F4D16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0,38</w:t>
            </w:r>
          </w:p>
        </w:tc>
      </w:tr>
      <w:tr w:rsidR="00BF12D5" w:rsidRPr="00BD0223" w14:paraId="18B37C6F"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E08F7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PARANAPUA</w:t>
            </w:r>
          </w:p>
        </w:tc>
        <w:tc>
          <w:tcPr>
            <w:tcW w:w="1194" w:type="dxa"/>
            <w:tcBorders>
              <w:top w:val="nil"/>
              <w:left w:val="nil"/>
              <w:bottom w:val="single" w:sz="4" w:space="0" w:color="auto"/>
              <w:right w:val="single" w:sz="4" w:space="0" w:color="auto"/>
            </w:tcBorders>
            <w:shd w:val="clear" w:color="auto" w:fill="auto"/>
            <w:noWrap/>
            <w:vAlign w:val="center"/>
            <w:hideMark/>
          </w:tcPr>
          <w:p w14:paraId="3914E3E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0,53</w:t>
            </w:r>
          </w:p>
        </w:tc>
        <w:tc>
          <w:tcPr>
            <w:tcW w:w="1194" w:type="dxa"/>
            <w:tcBorders>
              <w:top w:val="nil"/>
              <w:left w:val="nil"/>
              <w:bottom w:val="single" w:sz="4" w:space="0" w:color="auto"/>
              <w:right w:val="single" w:sz="4" w:space="0" w:color="auto"/>
            </w:tcBorders>
            <w:shd w:val="clear" w:color="auto" w:fill="auto"/>
            <w:noWrap/>
            <w:vAlign w:val="center"/>
            <w:hideMark/>
          </w:tcPr>
          <w:p w14:paraId="7177F1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0,52</w:t>
            </w:r>
          </w:p>
        </w:tc>
        <w:tc>
          <w:tcPr>
            <w:tcW w:w="1194" w:type="dxa"/>
            <w:tcBorders>
              <w:top w:val="nil"/>
              <w:left w:val="nil"/>
              <w:bottom w:val="single" w:sz="4" w:space="0" w:color="auto"/>
              <w:right w:val="single" w:sz="4" w:space="0" w:color="auto"/>
            </w:tcBorders>
            <w:shd w:val="clear" w:color="auto" w:fill="auto"/>
            <w:noWrap/>
            <w:vAlign w:val="center"/>
            <w:hideMark/>
          </w:tcPr>
          <w:p w14:paraId="2176D57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0,51</w:t>
            </w:r>
          </w:p>
        </w:tc>
        <w:tc>
          <w:tcPr>
            <w:tcW w:w="1194" w:type="dxa"/>
            <w:tcBorders>
              <w:top w:val="nil"/>
              <w:left w:val="nil"/>
              <w:bottom w:val="single" w:sz="4" w:space="0" w:color="auto"/>
              <w:right w:val="single" w:sz="4" w:space="0" w:color="auto"/>
            </w:tcBorders>
            <w:shd w:val="clear" w:color="auto" w:fill="auto"/>
            <w:noWrap/>
            <w:vAlign w:val="center"/>
            <w:hideMark/>
          </w:tcPr>
          <w:p w14:paraId="66E9216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0,43</w:t>
            </w:r>
          </w:p>
        </w:tc>
      </w:tr>
      <w:tr w:rsidR="00BF12D5" w:rsidRPr="00BD0223" w14:paraId="724F345C"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8B9662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PARISI</w:t>
            </w:r>
          </w:p>
        </w:tc>
        <w:tc>
          <w:tcPr>
            <w:tcW w:w="1194" w:type="dxa"/>
            <w:tcBorders>
              <w:top w:val="nil"/>
              <w:left w:val="nil"/>
              <w:bottom w:val="single" w:sz="4" w:space="0" w:color="auto"/>
              <w:right w:val="single" w:sz="4" w:space="0" w:color="auto"/>
            </w:tcBorders>
            <w:shd w:val="clear" w:color="auto" w:fill="auto"/>
            <w:noWrap/>
            <w:vAlign w:val="center"/>
            <w:hideMark/>
          </w:tcPr>
          <w:p w14:paraId="3B907F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0,24</w:t>
            </w:r>
          </w:p>
        </w:tc>
        <w:tc>
          <w:tcPr>
            <w:tcW w:w="1194" w:type="dxa"/>
            <w:tcBorders>
              <w:top w:val="nil"/>
              <w:left w:val="nil"/>
              <w:bottom w:val="single" w:sz="4" w:space="0" w:color="auto"/>
              <w:right w:val="single" w:sz="4" w:space="0" w:color="auto"/>
            </w:tcBorders>
            <w:shd w:val="clear" w:color="auto" w:fill="auto"/>
            <w:noWrap/>
            <w:vAlign w:val="center"/>
            <w:hideMark/>
          </w:tcPr>
          <w:p w14:paraId="317DAD7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0,27</w:t>
            </w:r>
          </w:p>
        </w:tc>
        <w:tc>
          <w:tcPr>
            <w:tcW w:w="1194" w:type="dxa"/>
            <w:tcBorders>
              <w:top w:val="nil"/>
              <w:left w:val="nil"/>
              <w:bottom w:val="single" w:sz="4" w:space="0" w:color="auto"/>
              <w:right w:val="single" w:sz="4" w:space="0" w:color="auto"/>
            </w:tcBorders>
            <w:shd w:val="clear" w:color="auto" w:fill="auto"/>
            <w:noWrap/>
            <w:vAlign w:val="center"/>
            <w:hideMark/>
          </w:tcPr>
          <w:p w14:paraId="3D75785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0,27</w:t>
            </w:r>
          </w:p>
        </w:tc>
        <w:tc>
          <w:tcPr>
            <w:tcW w:w="1194" w:type="dxa"/>
            <w:tcBorders>
              <w:top w:val="nil"/>
              <w:left w:val="nil"/>
              <w:bottom w:val="single" w:sz="4" w:space="0" w:color="auto"/>
              <w:right w:val="single" w:sz="4" w:space="0" w:color="auto"/>
            </w:tcBorders>
            <w:shd w:val="clear" w:color="auto" w:fill="auto"/>
            <w:noWrap/>
            <w:vAlign w:val="center"/>
            <w:hideMark/>
          </w:tcPr>
          <w:p w14:paraId="5E976D7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0,25</w:t>
            </w:r>
          </w:p>
        </w:tc>
      </w:tr>
      <w:tr w:rsidR="00BF12D5" w:rsidRPr="00BD0223" w14:paraId="7A55F487"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398AE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PATROCINIO PAULISTA</w:t>
            </w:r>
          </w:p>
        </w:tc>
        <w:tc>
          <w:tcPr>
            <w:tcW w:w="1194" w:type="dxa"/>
            <w:tcBorders>
              <w:top w:val="nil"/>
              <w:left w:val="nil"/>
              <w:bottom w:val="single" w:sz="4" w:space="0" w:color="auto"/>
              <w:right w:val="single" w:sz="4" w:space="0" w:color="auto"/>
            </w:tcBorders>
            <w:shd w:val="clear" w:color="auto" w:fill="auto"/>
            <w:noWrap/>
            <w:vAlign w:val="center"/>
            <w:hideMark/>
          </w:tcPr>
          <w:p w14:paraId="7360A3D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w:t>
            </w:r>
          </w:p>
        </w:tc>
        <w:tc>
          <w:tcPr>
            <w:tcW w:w="1194" w:type="dxa"/>
            <w:tcBorders>
              <w:top w:val="nil"/>
              <w:left w:val="nil"/>
              <w:bottom w:val="single" w:sz="4" w:space="0" w:color="auto"/>
              <w:right w:val="single" w:sz="4" w:space="0" w:color="auto"/>
            </w:tcBorders>
            <w:shd w:val="clear" w:color="auto" w:fill="auto"/>
            <w:noWrap/>
            <w:vAlign w:val="center"/>
            <w:hideMark/>
          </w:tcPr>
          <w:p w14:paraId="5D7A2E7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2,33</w:t>
            </w:r>
          </w:p>
        </w:tc>
        <w:tc>
          <w:tcPr>
            <w:tcW w:w="1194" w:type="dxa"/>
            <w:tcBorders>
              <w:top w:val="nil"/>
              <w:left w:val="nil"/>
              <w:bottom w:val="single" w:sz="4" w:space="0" w:color="auto"/>
              <w:right w:val="single" w:sz="4" w:space="0" w:color="auto"/>
            </w:tcBorders>
            <w:shd w:val="clear" w:color="auto" w:fill="auto"/>
            <w:noWrap/>
            <w:vAlign w:val="center"/>
            <w:hideMark/>
          </w:tcPr>
          <w:p w14:paraId="33568B6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2,72</w:t>
            </w:r>
          </w:p>
        </w:tc>
        <w:tc>
          <w:tcPr>
            <w:tcW w:w="1194" w:type="dxa"/>
            <w:tcBorders>
              <w:top w:val="nil"/>
              <w:left w:val="nil"/>
              <w:bottom w:val="single" w:sz="4" w:space="0" w:color="auto"/>
              <w:right w:val="single" w:sz="4" w:space="0" w:color="auto"/>
            </w:tcBorders>
            <w:shd w:val="clear" w:color="auto" w:fill="auto"/>
            <w:noWrap/>
            <w:vAlign w:val="center"/>
            <w:hideMark/>
          </w:tcPr>
          <w:p w14:paraId="1A2E39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2,29</w:t>
            </w:r>
          </w:p>
        </w:tc>
      </w:tr>
      <w:tr w:rsidR="00BF12D5" w:rsidRPr="00BD0223" w14:paraId="433B4E8C"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E92E16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PAULO DE FARIA</w:t>
            </w:r>
          </w:p>
        </w:tc>
        <w:tc>
          <w:tcPr>
            <w:tcW w:w="1194" w:type="dxa"/>
            <w:tcBorders>
              <w:top w:val="nil"/>
              <w:left w:val="nil"/>
              <w:bottom w:val="single" w:sz="4" w:space="0" w:color="auto"/>
              <w:right w:val="single" w:sz="4" w:space="0" w:color="auto"/>
            </w:tcBorders>
            <w:shd w:val="clear" w:color="auto" w:fill="auto"/>
            <w:noWrap/>
            <w:vAlign w:val="center"/>
            <w:hideMark/>
          </w:tcPr>
          <w:p w14:paraId="73DEA1C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1,01</w:t>
            </w:r>
          </w:p>
        </w:tc>
        <w:tc>
          <w:tcPr>
            <w:tcW w:w="1194" w:type="dxa"/>
            <w:tcBorders>
              <w:top w:val="nil"/>
              <w:left w:val="nil"/>
              <w:bottom w:val="single" w:sz="4" w:space="0" w:color="auto"/>
              <w:right w:val="single" w:sz="4" w:space="0" w:color="auto"/>
            </w:tcBorders>
            <w:shd w:val="clear" w:color="auto" w:fill="auto"/>
            <w:noWrap/>
            <w:vAlign w:val="center"/>
            <w:hideMark/>
          </w:tcPr>
          <w:p w14:paraId="3EF2572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1,00</w:t>
            </w:r>
          </w:p>
        </w:tc>
        <w:tc>
          <w:tcPr>
            <w:tcW w:w="1194" w:type="dxa"/>
            <w:tcBorders>
              <w:top w:val="nil"/>
              <w:left w:val="nil"/>
              <w:bottom w:val="single" w:sz="4" w:space="0" w:color="auto"/>
              <w:right w:val="single" w:sz="4" w:space="0" w:color="auto"/>
            </w:tcBorders>
            <w:shd w:val="clear" w:color="auto" w:fill="auto"/>
            <w:noWrap/>
            <w:vAlign w:val="center"/>
            <w:hideMark/>
          </w:tcPr>
          <w:p w14:paraId="7206E5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0,93</w:t>
            </w:r>
          </w:p>
        </w:tc>
        <w:tc>
          <w:tcPr>
            <w:tcW w:w="1194" w:type="dxa"/>
            <w:tcBorders>
              <w:top w:val="nil"/>
              <w:left w:val="nil"/>
              <w:bottom w:val="single" w:sz="4" w:space="0" w:color="auto"/>
              <w:right w:val="single" w:sz="4" w:space="0" w:color="auto"/>
            </w:tcBorders>
            <w:shd w:val="clear" w:color="auto" w:fill="auto"/>
            <w:noWrap/>
            <w:vAlign w:val="center"/>
            <w:hideMark/>
          </w:tcPr>
          <w:p w14:paraId="0DAD0F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0,71</w:t>
            </w:r>
          </w:p>
        </w:tc>
      </w:tr>
      <w:tr w:rsidR="00BF12D5" w:rsidRPr="00BD0223" w14:paraId="131D9691"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55412A0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PEDRANOPOLIS</w:t>
            </w:r>
          </w:p>
        </w:tc>
        <w:tc>
          <w:tcPr>
            <w:tcW w:w="1194" w:type="dxa"/>
            <w:tcBorders>
              <w:top w:val="nil"/>
              <w:left w:val="nil"/>
              <w:bottom w:val="single" w:sz="4" w:space="0" w:color="auto"/>
              <w:right w:val="single" w:sz="4" w:space="0" w:color="auto"/>
            </w:tcBorders>
            <w:shd w:val="clear" w:color="auto" w:fill="auto"/>
            <w:noWrap/>
            <w:vAlign w:val="center"/>
            <w:hideMark/>
          </w:tcPr>
          <w:p w14:paraId="3FF607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0,22</w:t>
            </w:r>
          </w:p>
        </w:tc>
        <w:tc>
          <w:tcPr>
            <w:tcW w:w="1194" w:type="dxa"/>
            <w:tcBorders>
              <w:top w:val="nil"/>
              <w:left w:val="nil"/>
              <w:bottom w:val="single" w:sz="4" w:space="0" w:color="auto"/>
              <w:right w:val="single" w:sz="4" w:space="0" w:color="auto"/>
            </w:tcBorders>
            <w:shd w:val="clear" w:color="auto" w:fill="auto"/>
            <w:noWrap/>
            <w:vAlign w:val="center"/>
            <w:hideMark/>
          </w:tcPr>
          <w:p w14:paraId="5C98816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0,22</w:t>
            </w:r>
          </w:p>
        </w:tc>
        <w:tc>
          <w:tcPr>
            <w:tcW w:w="1194" w:type="dxa"/>
            <w:tcBorders>
              <w:top w:val="nil"/>
              <w:left w:val="nil"/>
              <w:bottom w:val="single" w:sz="4" w:space="0" w:color="auto"/>
              <w:right w:val="single" w:sz="4" w:space="0" w:color="auto"/>
            </w:tcBorders>
            <w:shd w:val="clear" w:color="auto" w:fill="auto"/>
            <w:noWrap/>
            <w:vAlign w:val="center"/>
            <w:hideMark/>
          </w:tcPr>
          <w:p w14:paraId="61A917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0,23</w:t>
            </w:r>
          </w:p>
        </w:tc>
        <w:tc>
          <w:tcPr>
            <w:tcW w:w="1194" w:type="dxa"/>
            <w:tcBorders>
              <w:top w:val="nil"/>
              <w:left w:val="nil"/>
              <w:bottom w:val="single" w:sz="4" w:space="0" w:color="auto"/>
              <w:right w:val="single" w:sz="4" w:space="0" w:color="auto"/>
            </w:tcBorders>
            <w:shd w:val="clear" w:color="auto" w:fill="auto"/>
            <w:noWrap/>
            <w:vAlign w:val="center"/>
            <w:hideMark/>
          </w:tcPr>
          <w:p w14:paraId="2EEE9D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0,16</w:t>
            </w:r>
          </w:p>
        </w:tc>
      </w:tr>
      <w:tr w:rsidR="00BF12D5" w:rsidRPr="00BD0223" w14:paraId="575E4CA5"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125E2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PEDREGULHO</w:t>
            </w:r>
          </w:p>
        </w:tc>
        <w:tc>
          <w:tcPr>
            <w:tcW w:w="1194" w:type="dxa"/>
            <w:tcBorders>
              <w:top w:val="nil"/>
              <w:left w:val="nil"/>
              <w:bottom w:val="single" w:sz="4" w:space="0" w:color="auto"/>
              <w:right w:val="single" w:sz="4" w:space="0" w:color="auto"/>
            </w:tcBorders>
            <w:shd w:val="clear" w:color="auto" w:fill="auto"/>
            <w:noWrap/>
            <w:vAlign w:val="center"/>
            <w:hideMark/>
          </w:tcPr>
          <w:p w14:paraId="5568D6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1,89</w:t>
            </w:r>
          </w:p>
        </w:tc>
        <w:tc>
          <w:tcPr>
            <w:tcW w:w="1194" w:type="dxa"/>
            <w:tcBorders>
              <w:top w:val="nil"/>
              <w:left w:val="nil"/>
              <w:bottom w:val="single" w:sz="4" w:space="0" w:color="auto"/>
              <w:right w:val="single" w:sz="4" w:space="0" w:color="auto"/>
            </w:tcBorders>
            <w:shd w:val="clear" w:color="auto" w:fill="auto"/>
            <w:noWrap/>
            <w:vAlign w:val="center"/>
            <w:hideMark/>
          </w:tcPr>
          <w:p w14:paraId="320492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2,04</w:t>
            </w:r>
          </w:p>
        </w:tc>
        <w:tc>
          <w:tcPr>
            <w:tcW w:w="1194" w:type="dxa"/>
            <w:tcBorders>
              <w:top w:val="nil"/>
              <w:left w:val="nil"/>
              <w:bottom w:val="single" w:sz="4" w:space="0" w:color="auto"/>
              <w:right w:val="single" w:sz="4" w:space="0" w:color="auto"/>
            </w:tcBorders>
            <w:shd w:val="clear" w:color="auto" w:fill="auto"/>
            <w:noWrap/>
            <w:vAlign w:val="center"/>
            <w:hideMark/>
          </w:tcPr>
          <w:p w14:paraId="748425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2,19</w:t>
            </w:r>
          </w:p>
        </w:tc>
        <w:tc>
          <w:tcPr>
            <w:tcW w:w="1194" w:type="dxa"/>
            <w:tcBorders>
              <w:top w:val="nil"/>
              <w:left w:val="nil"/>
              <w:bottom w:val="single" w:sz="4" w:space="0" w:color="auto"/>
              <w:right w:val="single" w:sz="4" w:space="0" w:color="auto"/>
            </w:tcBorders>
            <w:shd w:val="clear" w:color="auto" w:fill="auto"/>
            <w:noWrap/>
            <w:vAlign w:val="center"/>
            <w:hideMark/>
          </w:tcPr>
          <w:p w14:paraId="0CA6001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1,85</w:t>
            </w:r>
          </w:p>
        </w:tc>
      </w:tr>
      <w:tr w:rsidR="00BF12D5" w:rsidRPr="00BD0223" w14:paraId="7EF74DB4"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57AF2B0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PINDORAMA</w:t>
            </w:r>
          </w:p>
        </w:tc>
        <w:tc>
          <w:tcPr>
            <w:tcW w:w="1194" w:type="dxa"/>
            <w:tcBorders>
              <w:top w:val="nil"/>
              <w:left w:val="nil"/>
              <w:bottom w:val="single" w:sz="4" w:space="0" w:color="auto"/>
              <w:right w:val="single" w:sz="4" w:space="0" w:color="auto"/>
            </w:tcBorders>
            <w:shd w:val="clear" w:color="auto" w:fill="auto"/>
            <w:noWrap/>
            <w:vAlign w:val="center"/>
            <w:hideMark/>
          </w:tcPr>
          <w:p w14:paraId="7613C57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1,91</w:t>
            </w:r>
          </w:p>
        </w:tc>
        <w:tc>
          <w:tcPr>
            <w:tcW w:w="1194" w:type="dxa"/>
            <w:tcBorders>
              <w:top w:val="nil"/>
              <w:left w:val="nil"/>
              <w:bottom w:val="single" w:sz="4" w:space="0" w:color="auto"/>
              <w:right w:val="single" w:sz="4" w:space="0" w:color="auto"/>
            </w:tcBorders>
            <w:shd w:val="clear" w:color="auto" w:fill="auto"/>
            <w:noWrap/>
            <w:vAlign w:val="center"/>
            <w:hideMark/>
          </w:tcPr>
          <w:p w14:paraId="6F8BA9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2,05</w:t>
            </w:r>
          </w:p>
        </w:tc>
        <w:tc>
          <w:tcPr>
            <w:tcW w:w="1194" w:type="dxa"/>
            <w:tcBorders>
              <w:top w:val="nil"/>
              <w:left w:val="nil"/>
              <w:bottom w:val="single" w:sz="4" w:space="0" w:color="auto"/>
              <w:right w:val="single" w:sz="4" w:space="0" w:color="auto"/>
            </w:tcBorders>
            <w:shd w:val="clear" w:color="auto" w:fill="auto"/>
            <w:noWrap/>
            <w:vAlign w:val="center"/>
            <w:hideMark/>
          </w:tcPr>
          <w:p w14:paraId="5BFDADE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1,95</w:t>
            </w:r>
          </w:p>
        </w:tc>
        <w:tc>
          <w:tcPr>
            <w:tcW w:w="1194" w:type="dxa"/>
            <w:tcBorders>
              <w:top w:val="nil"/>
              <w:left w:val="nil"/>
              <w:bottom w:val="single" w:sz="4" w:space="0" w:color="auto"/>
              <w:right w:val="single" w:sz="4" w:space="0" w:color="auto"/>
            </w:tcBorders>
            <w:shd w:val="clear" w:color="auto" w:fill="auto"/>
            <w:noWrap/>
            <w:vAlign w:val="center"/>
            <w:hideMark/>
          </w:tcPr>
          <w:p w14:paraId="2E04888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1,76</w:t>
            </w:r>
          </w:p>
        </w:tc>
      </w:tr>
      <w:tr w:rsidR="00BF12D5" w:rsidRPr="00BD0223" w14:paraId="4D9BF05C"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06CF35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PIRANGI</w:t>
            </w:r>
          </w:p>
        </w:tc>
        <w:tc>
          <w:tcPr>
            <w:tcW w:w="1194" w:type="dxa"/>
            <w:tcBorders>
              <w:top w:val="nil"/>
              <w:left w:val="nil"/>
              <w:bottom w:val="single" w:sz="4" w:space="0" w:color="auto"/>
              <w:right w:val="single" w:sz="4" w:space="0" w:color="auto"/>
            </w:tcBorders>
            <w:shd w:val="clear" w:color="auto" w:fill="auto"/>
            <w:noWrap/>
            <w:vAlign w:val="center"/>
            <w:hideMark/>
          </w:tcPr>
          <w:p w14:paraId="1EC041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1,35</w:t>
            </w:r>
          </w:p>
        </w:tc>
        <w:tc>
          <w:tcPr>
            <w:tcW w:w="1194" w:type="dxa"/>
            <w:tcBorders>
              <w:top w:val="nil"/>
              <w:left w:val="nil"/>
              <w:bottom w:val="single" w:sz="4" w:space="0" w:color="auto"/>
              <w:right w:val="single" w:sz="4" w:space="0" w:color="auto"/>
            </w:tcBorders>
            <w:shd w:val="clear" w:color="auto" w:fill="auto"/>
            <w:noWrap/>
            <w:vAlign w:val="center"/>
            <w:hideMark/>
          </w:tcPr>
          <w:p w14:paraId="50A4411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1,44</w:t>
            </w:r>
          </w:p>
        </w:tc>
        <w:tc>
          <w:tcPr>
            <w:tcW w:w="1194" w:type="dxa"/>
            <w:tcBorders>
              <w:top w:val="nil"/>
              <w:left w:val="nil"/>
              <w:bottom w:val="single" w:sz="4" w:space="0" w:color="auto"/>
              <w:right w:val="single" w:sz="4" w:space="0" w:color="auto"/>
            </w:tcBorders>
            <w:shd w:val="clear" w:color="auto" w:fill="auto"/>
            <w:noWrap/>
            <w:vAlign w:val="center"/>
            <w:hideMark/>
          </w:tcPr>
          <w:p w14:paraId="4861245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1,57</w:t>
            </w:r>
          </w:p>
        </w:tc>
        <w:tc>
          <w:tcPr>
            <w:tcW w:w="1194" w:type="dxa"/>
            <w:tcBorders>
              <w:top w:val="nil"/>
              <w:left w:val="nil"/>
              <w:bottom w:val="single" w:sz="4" w:space="0" w:color="auto"/>
              <w:right w:val="single" w:sz="4" w:space="0" w:color="auto"/>
            </w:tcBorders>
            <w:shd w:val="clear" w:color="auto" w:fill="auto"/>
            <w:noWrap/>
            <w:vAlign w:val="center"/>
            <w:hideMark/>
          </w:tcPr>
          <w:p w14:paraId="51BCA89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1,19</w:t>
            </w:r>
          </w:p>
        </w:tc>
      </w:tr>
      <w:tr w:rsidR="00BF12D5" w:rsidRPr="00BD0223" w14:paraId="2F787DFA"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260D4E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PITANGUEIRAS</w:t>
            </w:r>
          </w:p>
        </w:tc>
        <w:tc>
          <w:tcPr>
            <w:tcW w:w="1194" w:type="dxa"/>
            <w:tcBorders>
              <w:top w:val="nil"/>
              <w:left w:val="nil"/>
              <w:bottom w:val="single" w:sz="4" w:space="0" w:color="auto"/>
              <w:right w:val="single" w:sz="4" w:space="0" w:color="auto"/>
            </w:tcBorders>
            <w:shd w:val="clear" w:color="auto" w:fill="auto"/>
            <w:noWrap/>
            <w:vAlign w:val="center"/>
            <w:hideMark/>
          </w:tcPr>
          <w:p w14:paraId="07D4C02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2,91</w:t>
            </w:r>
          </w:p>
        </w:tc>
        <w:tc>
          <w:tcPr>
            <w:tcW w:w="1194" w:type="dxa"/>
            <w:tcBorders>
              <w:top w:val="nil"/>
              <w:left w:val="nil"/>
              <w:bottom w:val="single" w:sz="4" w:space="0" w:color="auto"/>
              <w:right w:val="single" w:sz="4" w:space="0" w:color="auto"/>
            </w:tcBorders>
            <w:shd w:val="clear" w:color="auto" w:fill="auto"/>
            <w:noWrap/>
            <w:vAlign w:val="center"/>
            <w:hideMark/>
          </w:tcPr>
          <w:p w14:paraId="07DCFD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2,95</w:t>
            </w:r>
          </w:p>
        </w:tc>
        <w:tc>
          <w:tcPr>
            <w:tcW w:w="1194" w:type="dxa"/>
            <w:tcBorders>
              <w:top w:val="nil"/>
              <w:left w:val="nil"/>
              <w:bottom w:val="single" w:sz="4" w:space="0" w:color="auto"/>
              <w:right w:val="single" w:sz="4" w:space="0" w:color="auto"/>
            </w:tcBorders>
            <w:shd w:val="clear" w:color="auto" w:fill="auto"/>
            <w:noWrap/>
            <w:vAlign w:val="center"/>
            <w:hideMark/>
          </w:tcPr>
          <w:p w14:paraId="43E5985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3,11</w:t>
            </w:r>
          </w:p>
        </w:tc>
        <w:tc>
          <w:tcPr>
            <w:tcW w:w="1194" w:type="dxa"/>
            <w:tcBorders>
              <w:top w:val="nil"/>
              <w:left w:val="nil"/>
              <w:bottom w:val="single" w:sz="4" w:space="0" w:color="auto"/>
              <w:right w:val="single" w:sz="4" w:space="0" w:color="auto"/>
            </w:tcBorders>
            <w:shd w:val="clear" w:color="auto" w:fill="auto"/>
            <w:noWrap/>
            <w:vAlign w:val="center"/>
            <w:hideMark/>
          </w:tcPr>
          <w:p w14:paraId="5A133F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2,70</w:t>
            </w:r>
          </w:p>
        </w:tc>
      </w:tr>
      <w:tr w:rsidR="00BF12D5" w:rsidRPr="00BD0223" w14:paraId="29DA0BE8"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C859D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POLONI</w:t>
            </w:r>
          </w:p>
        </w:tc>
        <w:tc>
          <w:tcPr>
            <w:tcW w:w="1194" w:type="dxa"/>
            <w:tcBorders>
              <w:top w:val="nil"/>
              <w:left w:val="nil"/>
              <w:bottom w:val="single" w:sz="4" w:space="0" w:color="auto"/>
              <w:right w:val="single" w:sz="4" w:space="0" w:color="auto"/>
            </w:tcBorders>
            <w:shd w:val="clear" w:color="auto" w:fill="auto"/>
            <w:noWrap/>
            <w:vAlign w:val="center"/>
            <w:hideMark/>
          </w:tcPr>
          <w:p w14:paraId="6CEC0B3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0,82</w:t>
            </w:r>
          </w:p>
        </w:tc>
        <w:tc>
          <w:tcPr>
            <w:tcW w:w="1194" w:type="dxa"/>
            <w:tcBorders>
              <w:top w:val="nil"/>
              <w:left w:val="nil"/>
              <w:bottom w:val="single" w:sz="4" w:space="0" w:color="auto"/>
              <w:right w:val="single" w:sz="4" w:space="0" w:color="auto"/>
            </w:tcBorders>
            <w:shd w:val="clear" w:color="auto" w:fill="auto"/>
            <w:noWrap/>
            <w:vAlign w:val="center"/>
            <w:hideMark/>
          </w:tcPr>
          <w:p w14:paraId="3676E91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0,84</w:t>
            </w:r>
          </w:p>
        </w:tc>
        <w:tc>
          <w:tcPr>
            <w:tcW w:w="1194" w:type="dxa"/>
            <w:tcBorders>
              <w:top w:val="nil"/>
              <w:left w:val="nil"/>
              <w:bottom w:val="single" w:sz="4" w:space="0" w:color="auto"/>
              <w:right w:val="single" w:sz="4" w:space="0" w:color="auto"/>
            </w:tcBorders>
            <w:shd w:val="clear" w:color="auto" w:fill="auto"/>
            <w:noWrap/>
            <w:vAlign w:val="center"/>
            <w:hideMark/>
          </w:tcPr>
          <w:p w14:paraId="0AD9D6E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0,80</w:t>
            </w:r>
          </w:p>
        </w:tc>
        <w:tc>
          <w:tcPr>
            <w:tcW w:w="1194" w:type="dxa"/>
            <w:tcBorders>
              <w:top w:val="nil"/>
              <w:left w:val="nil"/>
              <w:bottom w:val="single" w:sz="4" w:space="0" w:color="auto"/>
              <w:right w:val="single" w:sz="4" w:space="0" w:color="auto"/>
            </w:tcBorders>
            <w:shd w:val="clear" w:color="auto" w:fill="auto"/>
            <w:noWrap/>
            <w:vAlign w:val="center"/>
            <w:hideMark/>
          </w:tcPr>
          <w:p w14:paraId="6217105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0,62</w:t>
            </w:r>
          </w:p>
        </w:tc>
      </w:tr>
      <w:tr w:rsidR="00BF12D5" w:rsidRPr="00BD0223" w14:paraId="7CF9B4E1"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D078F4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PONTAL</w:t>
            </w:r>
          </w:p>
        </w:tc>
        <w:tc>
          <w:tcPr>
            <w:tcW w:w="1194" w:type="dxa"/>
            <w:tcBorders>
              <w:top w:val="nil"/>
              <w:left w:val="nil"/>
              <w:bottom w:val="single" w:sz="4" w:space="0" w:color="auto"/>
              <w:right w:val="single" w:sz="4" w:space="0" w:color="auto"/>
            </w:tcBorders>
            <w:shd w:val="clear" w:color="auto" w:fill="auto"/>
            <w:noWrap/>
            <w:vAlign w:val="center"/>
            <w:hideMark/>
          </w:tcPr>
          <w:p w14:paraId="160FB7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2,50</w:t>
            </w:r>
          </w:p>
        </w:tc>
        <w:tc>
          <w:tcPr>
            <w:tcW w:w="1194" w:type="dxa"/>
            <w:tcBorders>
              <w:top w:val="nil"/>
              <w:left w:val="nil"/>
              <w:bottom w:val="single" w:sz="4" w:space="0" w:color="auto"/>
              <w:right w:val="single" w:sz="4" w:space="0" w:color="auto"/>
            </w:tcBorders>
            <w:shd w:val="clear" w:color="auto" w:fill="auto"/>
            <w:noWrap/>
            <w:vAlign w:val="center"/>
            <w:hideMark/>
          </w:tcPr>
          <w:p w14:paraId="740D47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2,44</w:t>
            </w:r>
          </w:p>
        </w:tc>
        <w:tc>
          <w:tcPr>
            <w:tcW w:w="1194" w:type="dxa"/>
            <w:tcBorders>
              <w:top w:val="nil"/>
              <w:left w:val="nil"/>
              <w:bottom w:val="single" w:sz="4" w:space="0" w:color="auto"/>
              <w:right w:val="single" w:sz="4" w:space="0" w:color="auto"/>
            </w:tcBorders>
            <w:shd w:val="clear" w:color="auto" w:fill="auto"/>
            <w:noWrap/>
            <w:vAlign w:val="center"/>
            <w:hideMark/>
          </w:tcPr>
          <w:p w14:paraId="3C7A8FB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2,65</w:t>
            </w:r>
          </w:p>
        </w:tc>
        <w:tc>
          <w:tcPr>
            <w:tcW w:w="1194" w:type="dxa"/>
            <w:tcBorders>
              <w:top w:val="nil"/>
              <w:left w:val="nil"/>
              <w:bottom w:val="single" w:sz="4" w:space="0" w:color="auto"/>
              <w:right w:val="single" w:sz="4" w:space="0" w:color="auto"/>
            </w:tcBorders>
            <w:shd w:val="clear" w:color="auto" w:fill="auto"/>
            <w:noWrap/>
            <w:vAlign w:val="center"/>
            <w:hideMark/>
          </w:tcPr>
          <w:p w14:paraId="44E76AD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2,14</w:t>
            </w:r>
          </w:p>
        </w:tc>
      </w:tr>
      <w:tr w:rsidR="00BF12D5" w:rsidRPr="00BD0223" w14:paraId="678F465F"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29D1D9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PONTES GESTAL</w:t>
            </w:r>
          </w:p>
        </w:tc>
        <w:tc>
          <w:tcPr>
            <w:tcW w:w="1194" w:type="dxa"/>
            <w:tcBorders>
              <w:top w:val="nil"/>
              <w:left w:val="nil"/>
              <w:bottom w:val="single" w:sz="4" w:space="0" w:color="auto"/>
              <w:right w:val="single" w:sz="4" w:space="0" w:color="auto"/>
            </w:tcBorders>
            <w:shd w:val="clear" w:color="auto" w:fill="auto"/>
            <w:noWrap/>
            <w:vAlign w:val="center"/>
            <w:hideMark/>
          </w:tcPr>
          <w:p w14:paraId="3084FB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0,23</w:t>
            </w:r>
          </w:p>
        </w:tc>
        <w:tc>
          <w:tcPr>
            <w:tcW w:w="1194" w:type="dxa"/>
            <w:tcBorders>
              <w:top w:val="nil"/>
              <w:left w:val="nil"/>
              <w:bottom w:val="single" w:sz="4" w:space="0" w:color="auto"/>
              <w:right w:val="single" w:sz="4" w:space="0" w:color="auto"/>
            </w:tcBorders>
            <w:shd w:val="clear" w:color="auto" w:fill="auto"/>
            <w:noWrap/>
            <w:vAlign w:val="center"/>
            <w:hideMark/>
          </w:tcPr>
          <w:p w14:paraId="78AF638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0,24</w:t>
            </w:r>
          </w:p>
        </w:tc>
        <w:tc>
          <w:tcPr>
            <w:tcW w:w="1194" w:type="dxa"/>
            <w:tcBorders>
              <w:top w:val="nil"/>
              <w:left w:val="nil"/>
              <w:bottom w:val="single" w:sz="4" w:space="0" w:color="auto"/>
              <w:right w:val="single" w:sz="4" w:space="0" w:color="auto"/>
            </w:tcBorders>
            <w:shd w:val="clear" w:color="auto" w:fill="auto"/>
            <w:noWrap/>
            <w:vAlign w:val="center"/>
            <w:hideMark/>
          </w:tcPr>
          <w:p w14:paraId="7B8B5DA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0,24</w:t>
            </w:r>
          </w:p>
        </w:tc>
        <w:tc>
          <w:tcPr>
            <w:tcW w:w="1194" w:type="dxa"/>
            <w:tcBorders>
              <w:top w:val="nil"/>
              <w:left w:val="nil"/>
              <w:bottom w:val="single" w:sz="4" w:space="0" w:color="auto"/>
              <w:right w:val="single" w:sz="4" w:space="0" w:color="auto"/>
            </w:tcBorders>
            <w:shd w:val="clear" w:color="auto" w:fill="auto"/>
            <w:noWrap/>
            <w:vAlign w:val="center"/>
            <w:hideMark/>
          </w:tcPr>
          <w:p w14:paraId="2C94E7D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0,19</w:t>
            </w:r>
          </w:p>
        </w:tc>
      </w:tr>
      <w:tr w:rsidR="00BF12D5" w:rsidRPr="00BD0223" w14:paraId="66C44372"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E8BA2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POPULINA</w:t>
            </w:r>
          </w:p>
        </w:tc>
        <w:tc>
          <w:tcPr>
            <w:tcW w:w="1194" w:type="dxa"/>
            <w:tcBorders>
              <w:top w:val="nil"/>
              <w:left w:val="nil"/>
              <w:bottom w:val="single" w:sz="4" w:space="0" w:color="auto"/>
              <w:right w:val="single" w:sz="4" w:space="0" w:color="auto"/>
            </w:tcBorders>
            <w:shd w:val="clear" w:color="auto" w:fill="auto"/>
            <w:noWrap/>
            <w:vAlign w:val="center"/>
            <w:hideMark/>
          </w:tcPr>
          <w:p w14:paraId="4DF32DB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0,45</w:t>
            </w:r>
          </w:p>
        </w:tc>
        <w:tc>
          <w:tcPr>
            <w:tcW w:w="1194" w:type="dxa"/>
            <w:tcBorders>
              <w:top w:val="nil"/>
              <w:left w:val="nil"/>
              <w:bottom w:val="single" w:sz="4" w:space="0" w:color="auto"/>
              <w:right w:val="single" w:sz="4" w:space="0" w:color="auto"/>
            </w:tcBorders>
            <w:shd w:val="clear" w:color="auto" w:fill="auto"/>
            <w:noWrap/>
            <w:vAlign w:val="center"/>
            <w:hideMark/>
          </w:tcPr>
          <w:p w14:paraId="052E431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0,45</w:t>
            </w:r>
          </w:p>
        </w:tc>
        <w:tc>
          <w:tcPr>
            <w:tcW w:w="1194" w:type="dxa"/>
            <w:tcBorders>
              <w:top w:val="nil"/>
              <w:left w:val="nil"/>
              <w:bottom w:val="single" w:sz="4" w:space="0" w:color="auto"/>
              <w:right w:val="single" w:sz="4" w:space="0" w:color="auto"/>
            </w:tcBorders>
            <w:shd w:val="clear" w:color="auto" w:fill="auto"/>
            <w:noWrap/>
            <w:vAlign w:val="center"/>
            <w:hideMark/>
          </w:tcPr>
          <w:p w14:paraId="5AD183C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0,44</w:t>
            </w:r>
          </w:p>
        </w:tc>
        <w:tc>
          <w:tcPr>
            <w:tcW w:w="1194" w:type="dxa"/>
            <w:tcBorders>
              <w:top w:val="nil"/>
              <w:left w:val="nil"/>
              <w:bottom w:val="single" w:sz="4" w:space="0" w:color="auto"/>
              <w:right w:val="single" w:sz="4" w:space="0" w:color="auto"/>
            </w:tcBorders>
            <w:shd w:val="clear" w:color="auto" w:fill="auto"/>
            <w:noWrap/>
            <w:vAlign w:val="center"/>
            <w:hideMark/>
          </w:tcPr>
          <w:p w14:paraId="32B863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0,38</w:t>
            </w:r>
          </w:p>
        </w:tc>
      </w:tr>
      <w:tr w:rsidR="00BF12D5" w:rsidRPr="00BD0223" w14:paraId="052A40DB"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25C6B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POTIRENDABA</w:t>
            </w:r>
          </w:p>
        </w:tc>
        <w:tc>
          <w:tcPr>
            <w:tcW w:w="1194" w:type="dxa"/>
            <w:tcBorders>
              <w:top w:val="nil"/>
              <w:left w:val="nil"/>
              <w:bottom w:val="single" w:sz="4" w:space="0" w:color="auto"/>
              <w:right w:val="single" w:sz="4" w:space="0" w:color="auto"/>
            </w:tcBorders>
            <w:shd w:val="clear" w:color="auto" w:fill="auto"/>
            <w:noWrap/>
            <w:vAlign w:val="center"/>
            <w:hideMark/>
          </w:tcPr>
          <w:p w14:paraId="7E8BFD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2,65</w:t>
            </w:r>
          </w:p>
        </w:tc>
        <w:tc>
          <w:tcPr>
            <w:tcW w:w="1194" w:type="dxa"/>
            <w:tcBorders>
              <w:top w:val="nil"/>
              <w:left w:val="nil"/>
              <w:bottom w:val="single" w:sz="4" w:space="0" w:color="auto"/>
              <w:right w:val="single" w:sz="4" w:space="0" w:color="auto"/>
            </w:tcBorders>
            <w:shd w:val="clear" w:color="auto" w:fill="auto"/>
            <w:noWrap/>
            <w:vAlign w:val="center"/>
            <w:hideMark/>
          </w:tcPr>
          <w:p w14:paraId="5B8508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2,78</w:t>
            </w:r>
          </w:p>
        </w:tc>
        <w:tc>
          <w:tcPr>
            <w:tcW w:w="1194" w:type="dxa"/>
            <w:tcBorders>
              <w:top w:val="nil"/>
              <w:left w:val="nil"/>
              <w:bottom w:val="single" w:sz="4" w:space="0" w:color="auto"/>
              <w:right w:val="single" w:sz="4" w:space="0" w:color="auto"/>
            </w:tcBorders>
            <w:shd w:val="clear" w:color="auto" w:fill="auto"/>
            <w:noWrap/>
            <w:vAlign w:val="center"/>
            <w:hideMark/>
          </w:tcPr>
          <w:p w14:paraId="19B3271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2,76</w:t>
            </w:r>
          </w:p>
        </w:tc>
        <w:tc>
          <w:tcPr>
            <w:tcW w:w="1194" w:type="dxa"/>
            <w:tcBorders>
              <w:top w:val="nil"/>
              <w:left w:val="nil"/>
              <w:bottom w:val="single" w:sz="4" w:space="0" w:color="auto"/>
              <w:right w:val="single" w:sz="4" w:space="0" w:color="auto"/>
            </w:tcBorders>
            <w:shd w:val="clear" w:color="auto" w:fill="auto"/>
            <w:noWrap/>
            <w:vAlign w:val="center"/>
            <w:hideMark/>
          </w:tcPr>
          <w:p w14:paraId="08F048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2,21</w:t>
            </w:r>
          </w:p>
        </w:tc>
      </w:tr>
      <w:tr w:rsidR="00BF12D5" w:rsidRPr="00BD0223" w14:paraId="46C3EE25"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106D1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PRADOPOLIS</w:t>
            </w:r>
          </w:p>
        </w:tc>
        <w:tc>
          <w:tcPr>
            <w:tcW w:w="1194" w:type="dxa"/>
            <w:tcBorders>
              <w:top w:val="nil"/>
              <w:left w:val="nil"/>
              <w:bottom w:val="single" w:sz="4" w:space="0" w:color="auto"/>
              <w:right w:val="single" w:sz="4" w:space="0" w:color="auto"/>
            </w:tcBorders>
            <w:shd w:val="clear" w:color="auto" w:fill="auto"/>
            <w:noWrap/>
            <w:vAlign w:val="center"/>
            <w:hideMark/>
          </w:tcPr>
          <w:p w14:paraId="3D90871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2,06</w:t>
            </w:r>
          </w:p>
        </w:tc>
        <w:tc>
          <w:tcPr>
            <w:tcW w:w="1194" w:type="dxa"/>
            <w:tcBorders>
              <w:top w:val="nil"/>
              <w:left w:val="nil"/>
              <w:bottom w:val="single" w:sz="4" w:space="0" w:color="auto"/>
              <w:right w:val="single" w:sz="4" w:space="0" w:color="auto"/>
            </w:tcBorders>
            <w:shd w:val="clear" w:color="auto" w:fill="auto"/>
            <w:noWrap/>
            <w:vAlign w:val="center"/>
            <w:hideMark/>
          </w:tcPr>
          <w:p w14:paraId="6C9C7E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2,02</w:t>
            </w:r>
          </w:p>
        </w:tc>
        <w:tc>
          <w:tcPr>
            <w:tcW w:w="1194" w:type="dxa"/>
            <w:tcBorders>
              <w:top w:val="nil"/>
              <w:left w:val="nil"/>
              <w:bottom w:val="single" w:sz="4" w:space="0" w:color="auto"/>
              <w:right w:val="single" w:sz="4" w:space="0" w:color="auto"/>
            </w:tcBorders>
            <w:shd w:val="clear" w:color="auto" w:fill="auto"/>
            <w:noWrap/>
            <w:vAlign w:val="center"/>
            <w:hideMark/>
          </w:tcPr>
          <w:p w14:paraId="4AA78D6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1,84</w:t>
            </w:r>
          </w:p>
        </w:tc>
        <w:tc>
          <w:tcPr>
            <w:tcW w:w="1194" w:type="dxa"/>
            <w:tcBorders>
              <w:top w:val="nil"/>
              <w:left w:val="nil"/>
              <w:bottom w:val="single" w:sz="4" w:space="0" w:color="auto"/>
              <w:right w:val="single" w:sz="4" w:space="0" w:color="auto"/>
            </w:tcBorders>
            <w:shd w:val="clear" w:color="auto" w:fill="auto"/>
            <w:noWrap/>
            <w:vAlign w:val="center"/>
            <w:hideMark/>
          </w:tcPr>
          <w:p w14:paraId="18E93C8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1,54</w:t>
            </w:r>
          </w:p>
        </w:tc>
      </w:tr>
      <w:tr w:rsidR="00BF12D5" w:rsidRPr="00BD0223" w14:paraId="30B7C36B"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593D8E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RIBEIRAO CORRENTE</w:t>
            </w:r>
          </w:p>
        </w:tc>
        <w:tc>
          <w:tcPr>
            <w:tcW w:w="1194" w:type="dxa"/>
            <w:tcBorders>
              <w:top w:val="nil"/>
              <w:left w:val="nil"/>
              <w:bottom w:val="single" w:sz="4" w:space="0" w:color="auto"/>
              <w:right w:val="single" w:sz="4" w:space="0" w:color="auto"/>
            </w:tcBorders>
            <w:shd w:val="clear" w:color="auto" w:fill="auto"/>
            <w:noWrap/>
            <w:vAlign w:val="center"/>
            <w:hideMark/>
          </w:tcPr>
          <w:p w14:paraId="73F42EF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0,40</w:t>
            </w:r>
          </w:p>
        </w:tc>
        <w:tc>
          <w:tcPr>
            <w:tcW w:w="1194" w:type="dxa"/>
            <w:tcBorders>
              <w:top w:val="nil"/>
              <w:left w:val="nil"/>
              <w:bottom w:val="single" w:sz="4" w:space="0" w:color="auto"/>
              <w:right w:val="single" w:sz="4" w:space="0" w:color="auto"/>
            </w:tcBorders>
            <w:shd w:val="clear" w:color="auto" w:fill="auto"/>
            <w:noWrap/>
            <w:vAlign w:val="center"/>
            <w:hideMark/>
          </w:tcPr>
          <w:p w14:paraId="79BAA3E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0,43</w:t>
            </w:r>
          </w:p>
        </w:tc>
        <w:tc>
          <w:tcPr>
            <w:tcW w:w="1194" w:type="dxa"/>
            <w:tcBorders>
              <w:top w:val="nil"/>
              <w:left w:val="nil"/>
              <w:bottom w:val="single" w:sz="4" w:space="0" w:color="auto"/>
              <w:right w:val="single" w:sz="4" w:space="0" w:color="auto"/>
            </w:tcBorders>
            <w:shd w:val="clear" w:color="auto" w:fill="auto"/>
            <w:noWrap/>
            <w:vAlign w:val="center"/>
            <w:hideMark/>
          </w:tcPr>
          <w:p w14:paraId="082EBD9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0,45</w:t>
            </w:r>
          </w:p>
        </w:tc>
        <w:tc>
          <w:tcPr>
            <w:tcW w:w="1194" w:type="dxa"/>
            <w:tcBorders>
              <w:top w:val="nil"/>
              <w:left w:val="nil"/>
              <w:bottom w:val="single" w:sz="4" w:space="0" w:color="auto"/>
              <w:right w:val="single" w:sz="4" w:space="0" w:color="auto"/>
            </w:tcBorders>
            <w:shd w:val="clear" w:color="auto" w:fill="auto"/>
            <w:noWrap/>
            <w:vAlign w:val="center"/>
            <w:hideMark/>
          </w:tcPr>
          <w:p w14:paraId="042C40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0,39</w:t>
            </w:r>
          </w:p>
        </w:tc>
      </w:tr>
      <w:tr w:rsidR="00BF12D5" w:rsidRPr="00BD0223" w14:paraId="5935C553"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4D0A76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RIBEIRAO PRETO</w:t>
            </w:r>
          </w:p>
        </w:tc>
        <w:tc>
          <w:tcPr>
            <w:tcW w:w="1194" w:type="dxa"/>
            <w:tcBorders>
              <w:top w:val="nil"/>
              <w:left w:val="nil"/>
              <w:bottom w:val="single" w:sz="4" w:space="0" w:color="auto"/>
              <w:right w:val="single" w:sz="4" w:space="0" w:color="auto"/>
            </w:tcBorders>
            <w:shd w:val="clear" w:color="auto" w:fill="auto"/>
            <w:noWrap/>
            <w:vAlign w:val="center"/>
            <w:hideMark/>
          </w:tcPr>
          <w:p w14:paraId="23B3EC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158,24</w:t>
            </w:r>
          </w:p>
        </w:tc>
        <w:tc>
          <w:tcPr>
            <w:tcW w:w="1194" w:type="dxa"/>
            <w:tcBorders>
              <w:top w:val="nil"/>
              <w:left w:val="nil"/>
              <w:bottom w:val="single" w:sz="4" w:space="0" w:color="auto"/>
              <w:right w:val="single" w:sz="4" w:space="0" w:color="auto"/>
            </w:tcBorders>
            <w:shd w:val="clear" w:color="auto" w:fill="auto"/>
            <w:noWrap/>
            <w:vAlign w:val="center"/>
            <w:hideMark/>
          </w:tcPr>
          <w:p w14:paraId="487ECD7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157,67</w:t>
            </w:r>
          </w:p>
        </w:tc>
        <w:tc>
          <w:tcPr>
            <w:tcW w:w="1194" w:type="dxa"/>
            <w:tcBorders>
              <w:top w:val="nil"/>
              <w:left w:val="nil"/>
              <w:bottom w:val="single" w:sz="4" w:space="0" w:color="auto"/>
              <w:right w:val="single" w:sz="4" w:space="0" w:color="auto"/>
            </w:tcBorders>
            <w:shd w:val="clear" w:color="auto" w:fill="auto"/>
            <w:noWrap/>
            <w:vAlign w:val="center"/>
            <w:hideMark/>
          </w:tcPr>
          <w:p w14:paraId="439C9AA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151,51</w:t>
            </w:r>
          </w:p>
        </w:tc>
        <w:tc>
          <w:tcPr>
            <w:tcW w:w="1194" w:type="dxa"/>
            <w:tcBorders>
              <w:top w:val="nil"/>
              <w:left w:val="nil"/>
              <w:bottom w:val="single" w:sz="4" w:space="0" w:color="auto"/>
              <w:right w:val="single" w:sz="4" w:space="0" w:color="auto"/>
            </w:tcBorders>
            <w:shd w:val="clear" w:color="auto" w:fill="auto"/>
            <w:noWrap/>
            <w:vAlign w:val="center"/>
            <w:hideMark/>
          </w:tcPr>
          <w:p w14:paraId="69E6E0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120,79</w:t>
            </w:r>
          </w:p>
        </w:tc>
      </w:tr>
      <w:tr w:rsidR="00BF12D5" w:rsidRPr="00BD0223" w14:paraId="0376B523"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EDFE55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RIFAINA</w:t>
            </w:r>
          </w:p>
        </w:tc>
        <w:tc>
          <w:tcPr>
            <w:tcW w:w="1194" w:type="dxa"/>
            <w:tcBorders>
              <w:top w:val="nil"/>
              <w:left w:val="nil"/>
              <w:bottom w:val="single" w:sz="4" w:space="0" w:color="auto"/>
              <w:right w:val="single" w:sz="4" w:space="0" w:color="auto"/>
            </w:tcBorders>
            <w:shd w:val="clear" w:color="auto" w:fill="auto"/>
            <w:noWrap/>
            <w:vAlign w:val="center"/>
            <w:hideMark/>
          </w:tcPr>
          <w:p w14:paraId="6E6DC2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1,01</w:t>
            </w:r>
          </w:p>
        </w:tc>
        <w:tc>
          <w:tcPr>
            <w:tcW w:w="1194" w:type="dxa"/>
            <w:tcBorders>
              <w:top w:val="nil"/>
              <w:left w:val="nil"/>
              <w:bottom w:val="single" w:sz="4" w:space="0" w:color="auto"/>
              <w:right w:val="single" w:sz="4" w:space="0" w:color="auto"/>
            </w:tcBorders>
            <w:shd w:val="clear" w:color="auto" w:fill="auto"/>
            <w:noWrap/>
            <w:vAlign w:val="center"/>
            <w:hideMark/>
          </w:tcPr>
          <w:p w14:paraId="03BC193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0,96</w:t>
            </w:r>
          </w:p>
        </w:tc>
        <w:tc>
          <w:tcPr>
            <w:tcW w:w="1194" w:type="dxa"/>
            <w:tcBorders>
              <w:top w:val="nil"/>
              <w:left w:val="nil"/>
              <w:bottom w:val="single" w:sz="4" w:space="0" w:color="auto"/>
              <w:right w:val="single" w:sz="4" w:space="0" w:color="auto"/>
            </w:tcBorders>
            <w:shd w:val="clear" w:color="auto" w:fill="auto"/>
            <w:noWrap/>
            <w:vAlign w:val="center"/>
            <w:hideMark/>
          </w:tcPr>
          <w:p w14:paraId="62202E9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1,02</w:t>
            </w:r>
          </w:p>
        </w:tc>
        <w:tc>
          <w:tcPr>
            <w:tcW w:w="1194" w:type="dxa"/>
            <w:tcBorders>
              <w:top w:val="nil"/>
              <w:left w:val="nil"/>
              <w:bottom w:val="single" w:sz="4" w:space="0" w:color="auto"/>
              <w:right w:val="single" w:sz="4" w:space="0" w:color="auto"/>
            </w:tcBorders>
            <w:shd w:val="clear" w:color="auto" w:fill="auto"/>
            <w:noWrap/>
            <w:vAlign w:val="center"/>
            <w:hideMark/>
          </w:tcPr>
          <w:p w14:paraId="07A942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1,18</w:t>
            </w:r>
          </w:p>
        </w:tc>
      </w:tr>
      <w:tr w:rsidR="00BF12D5" w:rsidRPr="00BD0223" w14:paraId="1AD3CC10"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C0FB09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RIOLANDIA</w:t>
            </w:r>
          </w:p>
        </w:tc>
        <w:tc>
          <w:tcPr>
            <w:tcW w:w="1194" w:type="dxa"/>
            <w:tcBorders>
              <w:top w:val="nil"/>
              <w:left w:val="nil"/>
              <w:bottom w:val="single" w:sz="4" w:space="0" w:color="auto"/>
              <w:right w:val="single" w:sz="4" w:space="0" w:color="auto"/>
            </w:tcBorders>
            <w:shd w:val="clear" w:color="auto" w:fill="auto"/>
            <w:noWrap/>
            <w:vAlign w:val="center"/>
            <w:hideMark/>
          </w:tcPr>
          <w:p w14:paraId="00F5950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0,87</w:t>
            </w:r>
          </w:p>
        </w:tc>
        <w:tc>
          <w:tcPr>
            <w:tcW w:w="1194" w:type="dxa"/>
            <w:tcBorders>
              <w:top w:val="nil"/>
              <w:left w:val="nil"/>
              <w:bottom w:val="single" w:sz="4" w:space="0" w:color="auto"/>
              <w:right w:val="single" w:sz="4" w:space="0" w:color="auto"/>
            </w:tcBorders>
            <w:shd w:val="clear" w:color="auto" w:fill="auto"/>
            <w:noWrap/>
            <w:vAlign w:val="center"/>
            <w:hideMark/>
          </w:tcPr>
          <w:p w14:paraId="6861F1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0,93</w:t>
            </w:r>
          </w:p>
        </w:tc>
        <w:tc>
          <w:tcPr>
            <w:tcW w:w="1194" w:type="dxa"/>
            <w:tcBorders>
              <w:top w:val="nil"/>
              <w:left w:val="nil"/>
              <w:bottom w:val="single" w:sz="4" w:space="0" w:color="auto"/>
              <w:right w:val="single" w:sz="4" w:space="0" w:color="auto"/>
            </w:tcBorders>
            <w:shd w:val="clear" w:color="auto" w:fill="auto"/>
            <w:noWrap/>
            <w:vAlign w:val="center"/>
            <w:hideMark/>
          </w:tcPr>
          <w:p w14:paraId="1070EC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0,86</w:t>
            </w:r>
          </w:p>
        </w:tc>
        <w:tc>
          <w:tcPr>
            <w:tcW w:w="1194" w:type="dxa"/>
            <w:tcBorders>
              <w:top w:val="nil"/>
              <w:left w:val="nil"/>
              <w:bottom w:val="single" w:sz="4" w:space="0" w:color="auto"/>
              <w:right w:val="single" w:sz="4" w:space="0" w:color="auto"/>
            </w:tcBorders>
            <w:shd w:val="clear" w:color="auto" w:fill="auto"/>
            <w:noWrap/>
            <w:vAlign w:val="center"/>
            <w:hideMark/>
          </w:tcPr>
          <w:p w14:paraId="5727542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0,72</w:t>
            </w:r>
          </w:p>
        </w:tc>
      </w:tr>
      <w:tr w:rsidR="00BF12D5" w:rsidRPr="00BD0223" w14:paraId="08DA940B"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A48334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RUBINEIA</w:t>
            </w:r>
          </w:p>
        </w:tc>
        <w:tc>
          <w:tcPr>
            <w:tcW w:w="1194" w:type="dxa"/>
            <w:tcBorders>
              <w:top w:val="nil"/>
              <w:left w:val="nil"/>
              <w:bottom w:val="single" w:sz="4" w:space="0" w:color="auto"/>
              <w:right w:val="single" w:sz="4" w:space="0" w:color="auto"/>
            </w:tcBorders>
            <w:shd w:val="clear" w:color="auto" w:fill="auto"/>
            <w:noWrap/>
            <w:vAlign w:val="center"/>
            <w:hideMark/>
          </w:tcPr>
          <w:p w14:paraId="4EE38D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0,37</w:t>
            </w:r>
          </w:p>
        </w:tc>
        <w:tc>
          <w:tcPr>
            <w:tcW w:w="1194" w:type="dxa"/>
            <w:tcBorders>
              <w:top w:val="nil"/>
              <w:left w:val="nil"/>
              <w:bottom w:val="single" w:sz="4" w:space="0" w:color="auto"/>
              <w:right w:val="single" w:sz="4" w:space="0" w:color="auto"/>
            </w:tcBorders>
            <w:shd w:val="clear" w:color="auto" w:fill="auto"/>
            <w:noWrap/>
            <w:vAlign w:val="center"/>
            <w:hideMark/>
          </w:tcPr>
          <w:p w14:paraId="0AA6DAE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1,03</w:t>
            </w:r>
          </w:p>
        </w:tc>
        <w:tc>
          <w:tcPr>
            <w:tcW w:w="1194" w:type="dxa"/>
            <w:tcBorders>
              <w:top w:val="nil"/>
              <w:left w:val="nil"/>
              <w:bottom w:val="single" w:sz="4" w:space="0" w:color="auto"/>
              <w:right w:val="single" w:sz="4" w:space="0" w:color="auto"/>
            </w:tcBorders>
            <w:shd w:val="clear" w:color="auto" w:fill="auto"/>
            <w:noWrap/>
            <w:vAlign w:val="center"/>
            <w:hideMark/>
          </w:tcPr>
          <w:p w14:paraId="3E29A09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1,20</w:t>
            </w:r>
          </w:p>
        </w:tc>
        <w:tc>
          <w:tcPr>
            <w:tcW w:w="1194" w:type="dxa"/>
            <w:tcBorders>
              <w:top w:val="nil"/>
              <w:left w:val="nil"/>
              <w:bottom w:val="single" w:sz="4" w:space="0" w:color="auto"/>
              <w:right w:val="single" w:sz="4" w:space="0" w:color="auto"/>
            </w:tcBorders>
            <w:shd w:val="clear" w:color="auto" w:fill="auto"/>
            <w:noWrap/>
            <w:vAlign w:val="center"/>
            <w:hideMark/>
          </w:tcPr>
          <w:p w14:paraId="5E01DF2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0,95</w:t>
            </w:r>
          </w:p>
        </w:tc>
      </w:tr>
      <w:tr w:rsidR="00BF12D5" w:rsidRPr="00BD0223" w14:paraId="52A2F15A"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46E18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SALES</w:t>
            </w:r>
          </w:p>
        </w:tc>
        <w:tc>
          <w:tcPr>
            <w:tcW w:w="1194" w:type="dxa"/>
            <w:tcBorders>
              <w:top w:val="nil"/>
              <w:left w:val="nil"/>
              <w:bottom w:val="single" w:sz="4" w:space="0" w:color="auto"/>
              <w:right w:val="single" w:sz="4" w:space="0" w:color="auto"/>
            </w:tcBorders>
            <w:shd w:val="clear" w:color="auto" w:fill="auto"/>
            <w:noWrap/>
            <w:vAlign w:val="center"/>
            <w:hideMark/>
          </w:tcPr>
          <w:p w14:paraId="4EA7258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0,60</w:t>
            </w:r>
          </w:p>
        </w:tc>
        <w:tc>
          <w:tcPr>
            <w:tcW w:w="1194" w:type="dxa"/>
            <w:tcBorders>
              <w:top w:val="nil"/>
              <w:left w:val="nil"/>
              <w:bottom w:val="single" w:sz="4" w:space="0" w:color="auto"/>
              <w:right w:val="single" w:sz="4" w:space="0" w:color="auto"/>
            </w:tcBorders>
            <w:shd w:val="clear" w:color="auto" w:fill="auto"/>
            <w:noWrap/>
            <w:vAlign w:val="center"/>
            <w:hideMark/>
          </w:tcPr>
          <w:p w14:paraId="7D587B6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1,01</w:t>
            </w:r>
          </w:p>
        </w:tc>
        <w:tc>
          <w:tcPr>
            <w:tcW w:w="1194" w:type="dxa"/>
            <w:tcBorders>
              <w:top w:val="nil"/>
              <w:left w:val="nil"/>
              <w:bottom w:val="single" w:sz="4" w:space="0" w:color="auto"/>
              <w:right w:val="single" w:sz="4" w:space="0" w:color="auto"/>
            </w:tcBorders>
            <w:shd w:val="clear" w:color="auto" w:fill="auto"/>
            <w:noWrap/>
            <w:vAlign w:val="center"/>
            <w:hideMark/>
          </w:tcPr>
          <w:p w14:paraId="4683B8F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0,99</w:t>
            </w:r>
          </w:p>
        </w:tc>
        <w:tc>
          <w:tcPr>
            <w:tcW w:w="1194" w:type="dxa"/>
            <w:tcBorders>
              <w:top w:val="nil"/>
              <w:left w:val="nil"/>
              <w:bottom w:val="single" w:sz="4" w:space="0" w:color="auto"/>
              <w:right w:val="single" w:sz="4" w:space="0" w:color="auto"/>
            </w:tcBorders>
            <w:shd w:val="clear" w:color="auto" w:fill="auto"/>
            <w:noWrap/>
            <w:vAlign w:val="center"/>
            <w:hideMark/>
          </w:tcPr>
          <w:p w14:paraId="465C01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0,80</w:t>
            </w:r>
          </w:p>
        </w:tc>
      </w:tr>
      <w:tr w:rsidR="00BF12D5" w:rsidRPr="00BD0223" w14:paraId="253702DF"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5011D8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SALES OLIVEIRA</w:t>
            </w:r>
          </w:p>
        </w:tc>
        <w:tc>
          <w:tcPr>
            <w:tcW w:w="1194" w:type="dxa"/>
            <w:tcBorders>
              <w:top w:val="nil"/>
              <w:left w:val="nil"/>
              <w:bottom w:val="single" w:sz="4" w:space="0" w:color="auto"/>
              <w:right w:val="single" w:sz="4" w:space="0" w:color="auto"/>
            </w:tcBorders>
            <w:shd w:val="clear" w:color="auto" w:fill="auto"/>
            <w:noWrap/>
            <w:vAlign w:val="center"/>
            <w:hideMark/>
          </w:tcPr>
          <w:p w14:paraId="57A3A3D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1,00</w:t>
            </w:r>
          </w:p>
        </w:tc>
        <w:tc>
          <w:tcPr>
            <w:tcW w:w="1194" w:type="dxa"/>
            <w:tcBorders>
              <w:top w:val="nil"/>
              <w:left w:val="nil"/>
              <w:bottom w:val="single" w:sz="4" w:space="0" w:color="auto"/>
              <w:right w:val="single" w:sz="4" w:space="0" w:color="auto"/>
            </w:tcBorders>
            <w:shd w:val="clear" w:color="auto" w:fill="auto"/>
            <w:noWrap/>
            <w:vAlign w:val="center"/>
            <w:hideMark/>
          </w:tcPr>
          <w:p w14:paraId="3BD14CD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4,21</w:t>
            </w:r>
          </w:p>
        </w:tc>
        <w:tc>
          <w:tcPr>
            <w:tcW w:w="1194" w:type="dxa"/>
            <w:tcBorders>
              <w:top w:val="nil"/>
              <w:left w:val="nil"/>
              <w:bottom w:val="single" w:sz="4" w:space="0" w:color="auto"/>
              <w:right w:val="single" w:sz="4" w:space="0" w:color="auto"/>
            </w:tcBorders>
            <w:shd w:val="clear" w:color="auto" w:fill="auto"/>
            <w:noWrap/>
            <w:vAlign w:val="center"/>
            <w:hideMark/>
          </w:tcPr>
          <w:p w14:paraId="677DB6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4,32</w:t>
            </w:r>
          </w:p>
        </w:tc>
        <w:tc>
          <w:tcPr>
            <w:tcW w:w="1194" w:type="dxa"/>
            <w:tcBorders>
              <w:top w:val="nil"/>
              <w:left w:val="nil"/>
              <w:bottom w:val="single" w:sz="4" w:space="0" w:color="auto"/>
              <w:right w:val="single" w:sz="4" w:space="0" w:color="auto"/>
            </w:tcBorders>
            <w:shd w:val="clear" w:color="auto" w:fill="auto"/>
            <w:noWrap/>
            <w:vAlign w:val="center"/>
            <w:hideMark/>
          </w:tcPr>
          <w:p w14:paraId="5CDCFF3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3,35</w:t>
            </w:r>
          </w:p>
        </w:tc>
      </w:tr>
      <w:tr w:rsidR="00BF12D5" w:rsidRPr="00BD0223" w14:paraId="292A2B90"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A75F97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ADELIA</w:t>
            </w:r>
          </w:p>
        </w:tc>
        <w:tc>
          <w:tcPr>
            <w:tcW w:w="1194" w:type="dxa"/>
            <w:tcBorders>
              <w:top w:val="nil"/>
              <w:left w:val="nil"/>
              <w:bottom w:val="single" w:sz="4" w:space="0" w:color="auto"/>
              <w:right w:val="single" w:sz="4" w:space="0" w:color="auto"/>
            </w:tcBorders>
            <w:shd w:val="clear" w:color="auto" w:fill="auto"/>
            <w:noWrap/>
            <w:vAlign w:val="center"/>
            <w:hideMark/>
          </w:tcPr>
          <w:p w14:paraId="2AEFCC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2,31</w:t>
            </w:r>
          </w:p>
        </w:tc>
        <w:tc>
          <w:tcPr>
            <w:tcW w:w="1194" w:type="dxa"/>
            <w:tcBorders>
              <w:top w:val="nil"/>
              <w:left w:val="nil"/>
              <w:bottom w:val="single" w:sz="4" w:space="0" w:color="auto"/>
              <w:right w:val="single" w:sz="4" w:space="0" w:color="auto"/>
            </w:tcBorders>
            <w:shd w:val="clear" w:color="auto" w:fill="auto"/>
            <w:noWrap/>
            <w:vAlign w:val="center"/>
            <w:hideMark/>
          </w:tcPr>
          <w:p w14:paraId="4C78CFE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2,31</w:t>
            </w:r>
          </w:p>
        </w:tc>
        <w:tc>
          <w:tcPr>
            <w:tcW w:w="1194" w:type="dxa"/>
            <w:tcBorders>
              <w:top w:val="nil"/>
              <w:left w:val="nil"/>
              <w:bottom w:val="single" w:sz="4" w:space="0" w:color="auto"/>
              <w:right w:val="single" w:sz="4" w:space="0" w:color="auto"/>
            </w:tcBorders>
            <w:shd w:val="clear" w:color="auto" w:fill="auto"/>
            <w:noWrap/>
            <w:vAlign w:val="center"/>
            <w:hideMark/>
          </w:tcPr>
          <w:p w14:paraId="51CCF74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2,55</w:t>
            </w:r>
          </w:p>
        </w:tc>
        <w:tc>
          <w:tcPr>
            <w:tcW w:w="1194" w:type="dxa"/>
            <w:tcBorders>
              <w:top w:val="nil"/>
              <w:left w:val="nil"/>
              <w:bottom w:val="single" w:sz="4" w:space="0" w:color="auto"/>
              <w:right w:val="single" w:sz="4" w:space="0" w:color="auto"/>
            </w:tcBorders>
            <w:shd w:val="clear" w:color="auto" w:fill="auto"/>
            <w:noWrap/>
            <w:vAlign w:val="center"/>
            <w:hideMark/>
          </w:tcPr>
          <w:p w14:paraId="3F36821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2,16</w:t>
            </w:r>
          </w:p>
        </w:tc>
      </w:tr>
      <w:tr w:rsidR="00BF12D5" w:rsidRPr="00BD0223" w14:paraId="15CE17C2"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51D6006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ALBERTINA</w:t>
            </w:r>
          </w:p>
        </w:tc>
        <w:tc>
          <w:tcPr>
            <w:tcW w:w="1194" w:type="dxa"/>
            <w:tcBorders>
              <w:top w:val="nil"/>
              <w:left w:val="nil"/>
              <w:bottom w:val="single" w:sz="4" w:space="0" w:color="auto"/>
              <w:right w:val="single" w:sz="4" w:space="0" w:color="auto"/>
            </w:tcBorders>
            <w:shd w:val="clear" w:color="auto" w:fill="auto"/>
            <w:noWrap/>
            <w:vAlign w:val="center"/>
            <w:hideMark/>
          </w:tcPr>
          <w:p w14:paraId="19DAB8D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0,78</w:t>
            </w:r>
          </w:p>
        </w:tc>
        <w:tc>
          <w:tcPr>
            <w:tcW w:w="1194" w:type="dxa"/>
            <w:tcBorders>
              <w:top w:val="nil"/>
              <w:left w:val="nil"/>
              <w:bottom w:val="single" w:sz="4" w:space="0" w:color="auto"/>
              <w:right w:val="single" w:sz="4" w:space="0" w:color="auto"/>
            </w:tcBorders>
            <w:shd w:val="clear" w:color="auto" w:fill="auto"/>
            <w:noWrap/>
            <w:vAlign w:val="center"/>
            <w:hideMark/>
          </w:tcPr>
          <w:p w14:paraId="76F15A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0,74</w:t>
            </w:r>
          </w:p>
        </w:tc>
        <w:tc>
          <w:tcPr>
            <w:tcW w:w="1194" w:type="dxa"/>
            <w:tcBorders>
              <w:top w:val="nil"/>
              <w:left w:val="nil"/>
              <w:bottom w:val="single" w:sz="4" w:space="0" w:color="auto"/>
              <w:right w:val="single" w:sz="4" w:space="0" w:color="auto"/>
            </w:tcBorders>
            <w:shd w:val="clear" w:color="auto" w:fill="auto"/>
            <w:noWrap/>
            <w:vAlign w:val="center"/>
            <w:hideMark/>
          </w:tcPr>
          <w:p w14:paraId="2419B2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0,71</w:t>
            </w:r>
          </w:p>
        </w:tc>
        <w:tc>
          <w:tcPr>
            <w:tcW w:w="1194" w:type="dxa"/>
            <w:tcBorders>
              <w:top w:val="nil"/>
              <w:left w:val="nil"/>
              <w:bottom w:val="single" w:sz="4" w:space="0" w:color="auto"/>
              <w:right w:val="single" w:sz="4" w:space="0" w:color="auto"/>
            </w:tcBorders>
            <w:shd w:val="clear" w:color="auto" w:fill="auto"/>
            <w:noWrap/>
            <w:vAlign w:val="center"/>
            <w:hideMark/>
          </w:tcPr>
          <w:p w14:paraId="08F0B7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0,62</w:t>
            </w:r>
          </w:p>
        </w:tc>
      </w:tr>
      <w:tr w:rsidR="00BF12D5" w:rsidRPr="00BD0223" w14:paraId="6FAD08E5"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E723A9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CLARA D'OESTE</w:t>
            </w:r>
          </w:p>
        </w:tc>
        <w:tc>
          <w:tcPr>
            <w:tcW w:w="1194" w:type="dxa"/>
            <w:tcBorders>
              <w:top w:val="nil"/>
              <w:left w:val="nil"/>
              <w:bottom w:val="single" w:sz="4" w:space="0" w:color="auto"/>
              <w:right w:val="single" w:sz="4" w:space="0" w:color="auto"/>
            </w:tcBorders>
            <w:shd w:val="clear" w:color="auto" w:fill="auto"/>
            <w:noWrap/>
            <w:vAlign w:val="center"/>
            <w:hideMark/>
          </w:tcPr>
          <w:p w14:paraId="1F3E161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194" w:type="dxa"/>
            <w:tcBorders>
              <w:top w:val="nil"/>
              <w:left w:val="nil"/>
              <w:bottom w:val="single" w:sz="4" w:space="0" w:color="auto"/>
              <w:right w:val="single" w:sz="4" w:space="0" w:color="auto"/>
            </w:tcBorders>
            <w:shd w:val="clear" w:color="auto" w:fill="auto"/>
            <w:noWrap/>
            <w:vAlign w:val="center"/>
            <w:hideMark/>
          </w:tcPr>
          <w:p w14:paraId="2BE2070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0,27</w:t>
            </w:r>
          </w:p>
        </w:tc>
        <w:tc>
          <w:tcPr>
            <w:tcW w:w="1194" w:type="dxa"/>
            <w:tcBorders>
              <w:top w:val="nil"/>
              <w:left w:val="nil"/>
              <w:bottom w:val="single" w:sz="4" w:space="0" w:color="auto"/>
              <w:right w:val="single" w:sz="4" w:space="0" w:color="auto"/>
            </w:tcBorders>
            <w:shd w:val="clear" w:color="auto" w:fill="auto"/>
            <w:noWrap/>
            <w:vAlign w:val="center"/>
            <w:hideMark/>
          </w:tcPr>
          <w:p w14:paraId="1935A5B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0,26</w:t>
            </w:r>
          </w:p>
        </w:tc>
        <w:tc>
          <w:tcPr>
            <w:tcW w:w="1194" w:type="dxa"/>
            <w:tcBorders>
              <w:top w:val="nil"/>
              <w:left w:val="nil"/>
              <w:bottom w:val="single" w:sz="4" w:space="0" w:color="auto"/>
              <w:right w:val="single" w:sz="4" w:space="0" w:color="auto"/>
            </w:tcBorders>
            <w:shd w:val="clear" w:color="auto" w:fill="auto"/>
            <w:noWrap/>
            <w:vAlign w:val="center"/>
            <w:hideMark/>
          </w:tcPr>
          <w:p w14:paraId="3A231A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0,26</w:t>
            </w:r>
          </w:p>
        </w:tc>
      </w:tr>
      <w:tr w:rsidR="00BF12D5" w:rsidRPr="00BD0223" w14:paraId="74A84C5C"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5C3B34E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CRUZ DA ESPERANCA</w:t>
            </w:r>
          </w:p>
        </w:tc>
        <w:tc>
          <w:tcPr>
            <w:tcW w:w="1194" w:type="dxa"/>
            <w:tcBorders>
              <w:top w:val="nil"/>
              <w:left w:val="nil"/>
              <w:bottom w:val="single" w:sz="4" w:space="0" w:color="auto"/>
              <w:right w:val="single" w:sz="4" w:space="0" w:color="auto"/>
            </w:tcBorders>
            <w:shd w:val="clear" w:color="auto" w:fill="auto"/>
            <w:noWrap/>
            <w:vAlign w:val="center"/>
            <w:hideMark/>
          </w:tcPr>
          <w:p w14:paraId="6669313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0,61</w:t>
            </w:r>
          </w:p>
        </w:tc>
        <w:tc>
          <w:tcPr>
            <w:tcW w:w="1194" w:type="dxa"/>
            <w:tcBorders>
              <w:top w:val="nil"/>
              <w:left w:val="nil"/>
              <w:bottom w:val="single" w:sz="4" w:space="0" w:color="auto"/>
              <w:right w:val="single" w:sz="4" w:space="0" w:color="auto"/>
            </w:tcBorders>
            <w:shd w:val="clear" w:color="auto" w:fill="auto"/>
            <w:noWrap/>
            <w:vAlign w:val="center"/>
            <w:hideMark/>
          </w:tcPr>
          <w:p w14:paraId="6C913C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0,54</w:t>
            </w:r>
          </w:p>
        </w:tc>
        <w:tc>
          <w:tcPr>
            <w:tcW w:w="1194" w:type="dxa"/>
            <w:tcBorders>
              <w:top w:val="nil"/>
              <w:left w:val="nil"/>
              <w:bottom w:val="single" w:sz="4" w:space="0" w:color="auto"/>
              <w:right w:val="single" w:sz="4" w:space="0" w:color="auto"/>
            </w:tcBorders>
            <w:shd w:val="clear" w:color="auto" w:fill="auto"/>
            <w:noWrap/>
            <w:vAlign w:val="center"/>
            <w:hideMark/>
          </w:tcPr>
          <w:p w14:paraId="1ACEE0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0,55</w:t>
            </w:r>
          </w:p>
        </w:tc>
        <w:tc>
          <w:tcPr>
            <w:tcW w:w="1194" w:type="dxa"/>
            <w:tcBorders>
              <w:top w:val="nil"/>
              <w:left w:val="nil"/>
              <w:bottom w:val="single" w:sz="4" w:space="0" w:color="auto"/>
              <w:right w:val="single" w:sz="4" w:space="0" w:color="auto"/>
            </w:tcBorders>
            <w:shd w:val="clear" w:color="auto" w:fill="auto"/>
            <w:noWrap/>
            <w:vAlign w:val="center"/>
            <w:hideMark/>
          </w:tcPr>
          <w:p w14:paraId="0D7FA34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0,42</w:t>
            </w:r>
          </w:p>
        </w:tc>
      </w:tr>
      <w:tr w:rsidR="00BF12D5" w:rsidRPr="00BD0223" w14:paraId="5278D64E"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78656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ERNESTINA</w:t>
            </w:r>
          </w:p>
        </w:tc>
        <w:tc>
          <w:tcPr>
            <w:tcW w:w="1194" w:type="dxa"/>
            <w:tcBorders>
              <w:top w:val="nil"/>
              <w:left w:val="nil"/>
              <w:bottom w:val="single" w:sz="4" w:space="0" w:color="auto"/>
              <w:right w:val="single" w:sz="4" w:space="0" w:color="auto"/>
            </w:tcBorders>
            <w:shd w:val="clear" w:color="auto" w:fill="auto"/>
            <w:noWrap/>
            <w:vAlign w:val="center"/>
            <w:hideMark/>
          </w:tcPr>
          <w:p w14:paraId="77B696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0,65</w:t>
            </w:r>
          </w:p>
        </w:tc>
        <w:tc>
          <w:tcPr>
            <w:tcW w:w="1194" w:type="dxa"/>
            <w:tcBorders>
              <w:top w:val="nil"/>
              <w:left w:val="nil"/>
              <w:bottom w:val="single" w:sz="4" w:space="0" w:color="auto"/>
              <w:right w:val="single" w:sz="4" w:space="0" w:color="auto"/>
            </w:tcBorders>
            <w:shd w:val="clear" w:color="auto" w:fill="auto"/>
            <w:noWrap/>
            <w:vAlign w:val="center"/>
            <w:hideMark/>
          </w:tcPr>
          <w:p w14:paraId="32C19D5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0,67</w:t>
            </w:r>
          </w:p>
        </w:tc>
        <w:tc>
          <w:tcPr>
            <w:tcW w:w="1194" w:type="dxa"/>
            <w:tcBorders>
              <w:top w:val="nil"/>
              <w:left w:val="nil"/>
              <w:bottom w:val="single" w:sz="4" w:space="0" w:color="auto"/>
              <w:right w:val="single" w:sz="4" w:space="0" w:color="auto"/>
            </w:tcBorders>
            <w:shd w:val="clear" w:color="auto" w:fill="auto"/>
            <w:noWrap/>
            <w:vAlign w:val="center"/>
            <w:hideMark/>
          </w:tcPr>
          <w:p w14:paraId="48BCD9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0,93</w:t>
            </w:r>
          </w:p>
        </w:tc>
        <w:tc>
          <w:tcPr>
            <w:tcW w:w="1194" w:type="dxa"/>
            <w:tcBorders>
              <w:top w:val="nil"/>
              <w:left w:val="nil"/>
              <w:bottom w:val="single" w:sz="4" w:space="0" w:color="auto"/>
              <w:right w:val="single" w:sz="4" w:space="0" w:color="auto"/>
            </w:tcBorders>
            <w:shd w:val="clear" w:color="auto" w:fill="auto"/>
            <w:noWrap/>
            <w:vAlign w:val="center"/>
            <w:hideMark/>
          </w:tcPr>
          <w:p w14:paraId="0FDDFE7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0,67</w:t>
            </w:r>
          </w:p>
        </w:tc>
      </w:tr>
      <w:tr w:rsidR="00BF12D5" w:rsidRPr="00BD0223" w14:paraId="00C03094"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0C2407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ROSA DE VITERBO</w:t>
            </w:r>
          </w:p>
        </w:tc>
        <w:tc>
          <w:tcPr>
            <w:tcW w:w="1194" w:type="dxa"/>
            <w:tcBorders>
              <w:top w:val="nil"/>
              <w:left w:val="nil"/>
              <w:bottom w:val="single" w:sz="4" w:space="0" w:color="auto"/>
              <w:right w:val="single" w:sz="4" w:space="0" w:color="auto"/>
            </w:tcBorders>
            <w:shd w:val="clear" w:color="auto" w:fill="auto"/>
            <w:noWrap/>
            <w:vAlign w:val="center"/>
            <w:hideMark/>
          </w:tcPr>
          <w:p w14:paraId="372FA55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3,83</w:t>
            </w:r>
          </w:p>
        </w:tc>
        <w:tc>
          <w:tcPr>
            <w:tcW w:w="1194" w:type="dxa"/>
            <w:tcBorders>
              <w:top w:val="nil"/>
              <w:left w:val="nil"/>
              <w:bottom w:val="single" w:sz="4" w:space="0" w:color="auto"/>
              <w:right w:val="single" w:sz="4" w:space="0" w:color="auto"/>
            </w:tcBorders>
            <w:shd w:val="clear" w:color="auto" w:fill="auto"/>
            <w:noWrap/>
            <w:vAlign w:val="center"/>
            <w:hideMark/>
          </w:tcPr>
          <w:p w14:paraId="39E6D67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3,73</w:t>
            </w:r>
          </w:p>
        </w:tc>
        <w:tc>
          <w:tcPr>
            <w:tcW w:w="1194" w:type="dxa"/>
            <w:tcBorders>
              <w:top w:val="nil"/>
              <w:left w:val="nil"/>
              <w:bottom w:val="single" w:sz="4" w:space="0" w:color="auto"/>
              <w:right w:val="single" w:sz="4" w:space="0" w:color="auto"/>
            </w:tcBorders>
            <w:shd w:val="clear" w:color="auto" w:fill="auto"/>
            <w:noWrap/>
            <w:vAlign w:val="center"/>
            <w:hideMark/>
          </w:tcPr>
          <w:p w14:paraId="67BE930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3,82</w:t>
            </w:r>
          </w:p>
        </w:tc>
        <w:tc>
          <w:tcPr>
            <w:tcW w:w="1194" w:type="dxa"/>
            <w:tcBorders>
              <w:top w:val="nil"/>
              <w:left w:val="nil"/>
              <w:bottom w:val="single" w:sz="4" w:space="0" w:color="auto"/>
              <w:right w:val="single" w:sz="4" w:space="0" w:color="auto"/>
            </w:tcBorders>
            <w:shd w:val="clear" w:color="auto" w:fill="auto"/>
            <w:noWrap/>
            <w:vAlign w:val="center"/>
            <w:hideMark/>
          </w:tcPr>
          <w:p w14:paraId="151C7B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3,06</w:t>
            </w:r>
          </w:p>
        </w:tc>
      </w:tr>
      <w:tr w:rsidR="00BF12D5" w:rsidRPr="00BD0223" w14:paraId="073A6B0D"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81443C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SALETE</w:t>
            </w:r>
          </w:p>
        </w:tc>
        <w:tc>
          <w:tcPr>
            <w:tcW w:w="1194" w:type="dxa"/>
            <w:tcBorders>
              <w:top w:val="nil"/>
              <w:left w:val="nil"/>
              <w:bottom w:val="single" w:sz="4" w:space="0" w:color="auto"/>
              <w:right w:val="single" w:sz="4" w:space="0" w:color="auto"/>
            </w:tcBorders>
            <w:shd w:val="clear" w:color="auto" w:fill="auto"/>
            <w:noWrap/>
            <w:vAlign w:val="center"/>
            <w:hideMark/>
          </w:tcPr>
          <w:p w14:paraId="6C78207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0,14</w:t>
            </w:r>
          </w:p>
        </w:tc>
        <w:tc>
          <w:tcPr>
            <w:tcW w:w="1194" w:type="dxa"/>
            <w:tcBorders>
              <w:top w:val="nil"/>
              <w:left w:val="nil"/>
              <w:bottom w:val="single" w:sz="4" w:space="0" w:color="auto"/>
              <w:right w:val="single" w:sz="4" w:space="0" w:color="auto"/>
            </w:tcBorders>
            <w:shd w:val="clear" w:color="auto" w:fill="auto"/>
            <w:noWrap/>
            <w:vAlign w:val="center"/>
            <w:hideMark/>
          </w:tcPr>
          <w:p w14:paraId="5782B3B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0,14</w:t>
            </w:r>
          </w:p>
        </w:tc>
        <w:tc>
          <w:tcPr>
            <w:tcW w:w="1194" w:type="dxa"/>
            <w:tcBorders>
              <w:top w:val="nil"/>
              <w:left w:val="nil"/>
              <w:bottom w:val="single" w:sz="4" w:space="0" w:color="auto"/>
              <w:right w:val="single" w:sz="4" w:space="0" w:color="auto"/>
            </w:tcBorders>
            <w:shd w:val="clear" w:color="auto" w:fill="auto"/>
            <w:noWrap/>
            <w:vAlign w:val="center"/>
            <w:hideMark/>
          </w:tcPr>
          <w:p w14:paraId="4C34A9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0,17</w:t>
            </w:r>
          </w:p>
        </w:tc>
        <w:tc>
          <w:tcPr>
            <w:tcW w:w="1194" w:type="dxa"/>
            <w:tcBorders>
              <w:top w:val="nil"/>
              <w:left w:val="nil"/>
              <w:bottom w:val="single" w:sz="4" w:space="0" w:color="auto"/>
              <w:right w:val="single" w:sz="4" w:space="0" w:color="auto"/>
            </w:tcBorders>
            <w:shd w:val="clear" w:color="auto" w:fill="auto"/>
            <w:noWrap/>
            <w:vAlign w:val="center"/>
            <w:hideMark/>
          </w:tcPr>
          <w:p w14:paraId="1B5E2EE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0,13</w:t>
            </w:r>
          </w:p>
        </w:tc>
      </w:tr>
      <w:tr w:rsidR="00BF12D5" w:rsidRPr="00BD0223" w14:paraId="4BC71E89"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729935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SANTANA DA PONTE PENSA</w:t>
            </w:r>
          </w:p>
        </w:tc>
        <w:tc>
          <w:tcPr>
            <w:tcW w:w="1194" w:type="dxa"/>
            <w:tcBorders>
              <w:top w:val="nil"/>
              <w:left w:val="nil"/>
              <w:bottom w:val="single" w:sz="4" w:space="0" w:color="auto"/>
              <w:right w:val="single" w:sz="4" w:space="0" w:color="auto"/>
            </w:tcBorders>
            <w:shd w:val="clear" w:color="auto" w:fill="auto"/>
            <w:noWrap/>
            <w:vAlign w:val="center"/>
            <w:hideMark/>
          </w:tcPr>
          <w:p w14:paraId="41070E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0,18</w:t>
            </w:r>
          </w:p>
        </w:tc>
        <w:tc>
          <w:tcPr>
            <w:tcW w:w="1194" w:type="dxa"/>
            <w:tcBorders>
              <w:top w:val="nil"/>
              <w:left w:val="nil"/>
              <w:bottom w:val="single" w:sz="4" w:space="0" w:color="auto"/>
              <w:right w:val="single" w:sz="4" w:space="0" w:color="auto"/>
            </w:tcBorders>
            <w:shd w:val="clear" w:color="auto" w:fill="auto"/>
            <w:noWrap/>
            <w:vAlign w:val="center"/>
            <w:hideMark/>
          </w:tcPr>
          <w:p w14:paraId="46CDF64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0,13</w:t>
            </w:r>
          </w:p>
        </w:tc>
        <w:tc>
          <w:tcPr>
            <w:tcW w:w="1194" w:type="dxa"/>
            <w:tcBorders>
              <w:top w:val="nil"/>
              <w:left w:val="nil"/>
              <w:bottom w:val="single" w:sz="4" w:space="0" w:color="auto"/>
              <w:right w:val="single" w:sz="4" w:space="0" w:color="auto"/>
            </w:tcBorders>
            <w:shd w:val="clear" w:color="auto" w:fill="auto"/>
            <w:noWrap/>
            <w:vAlign w:val="center"/>
            <w:hideMark/>
          </w:tcPr>
          <w:p w14:paraId="666CE3E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0,14</w:t>
            </w:r>
          </w:p>
        </w:tc>
        <w:tc>
          <w:tcPr>
            <w:tcW w:w="1194" w:type="dxa"/>
            <w:tcBorders>
              <w:top w:val="nil"/>
              <w:left w:val="nil"/>
              <w:bottom w:val="single" w:sz="4" w:space="0" w:color="auto"/>
              <w:right w:val="single" w:sz="4" w:space="0" w:color="auto"/>
            </w:tcBorders>
            <w:shd w:val="clear" w:color="auto" w:fill="auto"/>
            <w:noWrap/>
            <w:vAlign w:val="center"/>
            <w:hideMark/>
          </w:tcPr>
          <w:p w14:paraId="7A70931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0,11</w:t>
            </w:r>
          </w:p>
        </w:tc>
      </w:tr>
      <w:tr w:rsidR="00BF12D5" w:rsidRPr="00BD0223" w14:paraId="2C7B3898"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0EB577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SANTO ANTONIO DA ALEGRIA</w:t>
            </w:r>
          </w:p>
        </w:tc>
        <w:tc>
          <w:tcPr>
            <w:tcW w:w="1194" w:type="dxa"/>
            <w:tcBorders>
              <w:top w:val="nil"/>
              <w:left w:val="nil"/>
              <w:bottom w:val="single" w:sz="4" w:space="0" w:color="auto"/>
              <w:right w:val="single" w:sz="4" w:space="0" w:color="auto"/>
            </w:tcBorders>
            <w:shd w:val="clear" w:color="auto" w:fill="auto"/>
            <w:noWrap/>
            <w:vAlign w:val="center"/>
            <w:hideMark/>
          </w:tcPr>
          <w:p w14:paraId="4F8861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1,56</w:t>
            </w:r>
          </w:p>
        </w:tc>
        <w:tc>
          <w:tcPr>
            <w:tcW w:w="1194" w:type="dxa"/>
            <w:tcBorders>
              <w:top w:val="nil"/>
              <w:left w:val="nil"/>
              <w:bottom w:val="single" w:sz="4" w:space="0" w:color="auto"/>
              <w:right w:val="single" w:sz="4" w:space="0" w:color="auto"/>
            </w:tcBorders>
            <w:shd w:val="clear" w:color="auto" w:fill="auto"/>
            <w:noWrap/>
            <w:vAlign w:val="center"/>
            <w:hideMark/>
          </w:tcPr>
          <w:p w14:paraId="3E21A3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1,70</w:t>
            </w:r>
          </w:p>
        </w:tc>
        <w:tc>
          <w:tcPr>
            <w:tcW w:w="1194" w:type="dxa"/>
            <w:tcBorders>
              <w:top w:val="nil"/>
              <w:left w:val="nil"/>
              <w:bottom w:val="single" w:sz="4" w:space="0" w:color="auto"/>
              <w:right w:val="single" w:sz="4" w:space="0" w:color="auto"/>
            </w:tcBorders>
            <w:shd w:val="clear" w:color="auto" w:fill="auto"/>
            <w:noWrap/>
            <w:vAlign w:val="center"/>
            <w:hideMark/>
          </w:tcPr>
          <w:p w14:paraId="2B7DEC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1,77</w:t>
            </w:r>
          </w:p>
        </w:tc>
        <w:tc>
          <w:tcPr>
            <w:tcW w:w="1194" w:type="dxa"/>
            <w:tcBorders>
              <w:top w:val="nil"/>
              <w:left w:val="nil"/>
              <w:bottom w:val="single" w:sz="4" w:space="0" w:color="auto"/>
              <w:right w:val="single" w:sz="4" w:space="0" w:color="auto"/>
            </w:tcBorders>
            <w:shd w:val="clear" w:color="auto" w:fill="auto"/>
            <w:noWrap/>
            <w:vAlign w:val="center"/>
            <w:hideMark/>
          </w:tcPr>
          <w:p w14:paraId="18EBE3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1,60</w:t>
            </w:r>
          </w:p>
        </w:tc>
      </w:tr>
      <w:tr w:rsidR="00BF12D5" w:rsidRPr="00BD0223" w14:paraId="1B8DC234"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E36E73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FRANCISCO</w:t>
            </w:r>
          </w:p>
        </w:tc>
        <w:tc>
          <w:tcPr>
            <w:tcW w:w="1194" w:type="dxa"/>
            <w:tcBorders>
              <w:top w:val="nil"/>
              <w:left w:val="nil"/>
              <w:bottom w:val="single" w:sz="4" w:space="0" w:color="auto"/>
              <w:right w:val="single" w:sz="4" w:space="0" w:color="auto"/>
            </w:tcBorders>
            <w:shd w:val="clear" w:color="auto" w:fill="auto"/>
            <w:noWrap/>
            <w:vAlign w:val="center"/>
            <w:hideMark/>
          </w:tcPr>
          <w:p w14:paraId="6B5164E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0,25</w:t>
            </w:r>
          </w:p>
        </w:tc>
        <w:tc>
          <w:tcPr>
            <w:tcW w:w="1194" w:type="dxa"/>
            <w:tcBorders>
              <w:top w:val="nil"/>
              <w:left w:val="nil"/>
              <w:bottom w:val="single" w:sz="4" w:space="0" w:color="auto"/>
              <w:right w:val="single" w:sz="4" w:space="0" w:color="auto"/>
            </w:tcBorders>
            <w:shd w:val="clear" w:color="auto" w:fill="auto"/>
            <w:noWrap/>
            <w:vAlign w:val="center"/>
            <w:hideMark/>
          </w:tcPr>
          <w:p w14:paraId="2C98BA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0,24</w:t>
            </w:r>
          </w:p>
        </w:tc>
        <w:tc>
          <w:tcPr>
            <w:tcW w:w="1194" w:type="dxa"/>
            <w:tcBorders>
              <w:top w:val="nil"/>
              <w:left w:val="nil"/>
              <w:bottom w:val="single" w:sz="4" w:space="0" w:color="auto"/>
              <w:right w:val="single" w:sz="4" w:space="0" w:color="auto"/>
            </w:tcBorders>
            <w:shd w:val="clear" w:color="auto" w:fill="auto"/>
            <w:noWrap/>
            <w:vAlign w:val="center"/>
            <w:hideMark/>
          </w:tcPr>
          <w:p w14:paraId="7A3E40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0,23</w:t>
            </w:r>
          </w:p>
        </w:tc>
        <w:tc>
          <w:tcPr>
            <w:tcW w:w="1194" w:type="dxa"/>
            <w:tcBorders>
              <w:top w:val="nil"/>
              <w:left w:val="nil"/>
              <w:bottom w:val="single" w:sz="4" w:space="0" w:color="auto"/>
              <w:right w:val="single" w:sz="4" w:space="0" w:color="auto"/>
            </w:tcBorders>
            <w:shd w:val="clear" w:color="auto" w:fill="auto"/>
            <w:noWrap/>
            <w:vAlign w:val="center"/>
            <w:hideMark/>
          </w:tcPr>
          <w:p w14:paraId="414552F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0,20</w:t>
            </w:r>
          </w:p>
        </w:tc>
      </w:tr>
      <w:tr w:rsidR="00BF12D5" w:rsidRPr="00BD0223" w14:paraId="114F4C1E"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85FF5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JOAO DE IRACEMA</w:t>
            </w:r>
          </w:p>
        </w:tc>
        <w:tc>
          <w:tcPr>
            <w:tcW w:w="1194" w:type="dxa"/>
            <w:tcBorders>
              <w:top w:val="nil"/>
              <w:left w:val="nil"/>
              <w:bottom w:val="single" w:sz="4" w:space="0" w:color="auto"/>
              <w:right w:val="single" w:sz="4" w:space="0" w:color="auto"/>
            </w:tcBorders>
            <w:shd w:val="clear" w:color="auto" w:fill="auto"/>
            <w:noWrap/>
            <w:vAlign w:val="center"/>
            <w:hideMark/>
          </w:tcPr>
          <w:p w14:paraId="0469241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0,09</w:t>
            </w:r>
          </w:p>
        </w:tc>
        <w:tc>
          <w:tcPr>
            <w:tcW w:w="1194" w:type="dxa"/>
            <w:tcBorders>
              <w:top w:val="nil"/>
              <w:left w:val="nil"/>
              <w:bottom w:val="single" w:sz="4" w:space="0" w:color="auto"/>
              <w:right w:val="single" w:sz="4" w:space="0" w:color="auto"/>
            </w:tcBorders>
            <w:shd w:val="clear" w:color="auto" w:fill="auto"/>
            <w:noWrap/>
            <w:vAlign w:val="center"/>
            <w:hideMark/>
          </w:tcPr>
          <w:p w14:paraId="509A4E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0,09</w:t>
            </w:r>
          </w:p>
        </w:tc>
        <w:tc>
          <w:tcPr>
            <w:tcW w:w="1194" w:type="dxa"/>
            <w:tcBorders>
              <w:top w:val="nil"/>
              <w:left w:val="nil"/>
              <w:bottom w:val="single" w:sz="4" w:space="0" w:color="auto"/>
              <w:right w:val="single" w:sz="4" w:space="0" w:color="auto"/>
            </w:tcBorders>
            <w:shd w:val="clear" w:color="auto" w:fill="auto"/>
            <w:noWrap/>
            <w:vAlign w:val="center"/>
            <w:hideMark/>
          </w:tcPr>
          <w:p w14:paraId="4ABA2EB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0,09</w:t>
            </w:r>
          </w:p>
        </w:tc>
        <w:tc>
          <w:tcPr>
            <w:tcW w:w="1194" w:type="dxa"/>
            <w:tcBorders>
              <w:top w:val="nil"/>
              <w:left w:val="nil"/>
              <w:bottom w:val="single" w:sz="4" w:space="0" w:color="auto"/>
              <w:right w:val="single" w:sz="4" w:space="0" w:color="auto"/>
            </w:tcBorders>
            <w:shd w:val="clear" w:color="auto" w:fill="auto"/>
            <w:noWrap/>
            <w:vAlign w:val="center"/>
            <w:hideMark/>
          </w:tcPr>
          <w:p w14:paraId="63A0224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0,08</w:t>
            </w:r>
          </w:p>
        </w:tc>
      </w:tr>
      <w:tr w:rsidR="00BF12D5" w:rsidRPr="00BD0223" w14:paraId="220F1778"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A27E45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JOAQUIM DA BARRA</w:t>
            </w:r>
          </w:p>
        </w:tc>
        <w:tc>
          <w:tcPr>
            <w:tcW w:w="1194" w:type="dxa"/>
            <w:tcBorders>
              <w:top w:val="nil"/>
              <w:left w:val="nil"/>
              <w:bottom w:val="single" w:sz="4" w:space="0" w:color="auto"/>
              <w:right w:val="single" w:sz="4" w:space="0" w:color="auto"/>
            </w:tcBorders>
            <w:shd w:val="clear" w:color="auto" w:fill="auto"/>
            <w:noWrap/>
            <w:vAlign w:val="center"/>
            <w:hideMark/>
          </w:tcPr>
          <w:p w14:paraId="576F44A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6,92</w:t>
            </w:r>
          </w:p>
        </w:tc>
        <w:tc>
          <w:tcPr>
            <w:tcW w:w="1194" w:type="dxa"/>
            <w:tcBorders>
              <w:top w:val="nil"/>
              <w:left w:val="nil"/>
              <w:bottom w:val="single" w:sz="4" w:space="0" w:color="auto"/>
              <w:right w:val="single" w:sz="4" w:space="0" w:color="auto"/>
            </w:tcBorders>
            <w:shd w:val="clear" w:color="auto" w:fill="auto"/>
            <w:noWrap/>
            <w:vAlign w:val="center"/>
            <w:hideMark/>
          </w:tcPr>
          <w:p w14:paraId="62A9A8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6,64</w:t>
            </w:r>
          </w:p>
        </w:tc>
        <w:tc>
          <w:tcPr>
            <w:tcW w:w="1194" w:type="dxa"/>
            <w:tcBorders>
              <w:top w:val="nil"/>
              <w:left w:val="nil"/>
              <w:bottom w:val="single" w:sz="4" w:space="0" w:color="auto"/>
              <w:right w:val="single" w:sz="4" w:space="0" w:color="auto"/>
            </w:tcBorders>
            <w:shd w:val="clear" w:color="auto" w:fill="auto"/>
            <w:noWrap/>
            <w:vAlign w:val="center"/>
            <w:hideMark/>
          </w:tcPr>
          <w:p w14:paraId="21A70EE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6,97</w:t>
            </w:r>
          </w:p>
        </w:tc>
        <w:tc>
          <w:tcPr>
            <w:tcW w:w="1194" w:type="dxa"/>
            <w:tcBorders>
              <w:top w:val="nil"/>
              <w:left w:val="nil"/>
              <w:bottom w:val="single" w:sz="4" w:space="0" w:color="auto"/>
              <w:right w:val="single" w:sz="4" w:space="0" w:color="auto"/>
            </w:tcBorders>
            <w:shd w:val="clear" w:color="auto" w:fill="auto"/>
            <w:noWrap/>
            <w:vAlign w:val="center"/>
            <w:hideMark/>
          </w:tcPr>
          <w:p w14:paraId="20F2EA3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5,85</w:t>
            </w:r>
          </w:p>
        </w:tc>
      </w:tr>
      <w:tr w:rsidR="00BF12D5" w:rsidRPr="00BD0223" w14:paraId="16FE1957"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8041CE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JOSE DA BELA VISTA</w:t>
            </w:r>
          </w:p>
        </w:tc>
        <w:tc>
          <w:tcPr>
            <w:tcW w:w="1194" w:type="dxa"/>
            <w:tcBorders>
              <w:top w:val="nil"/>
              <w:left w:val="nil"/>
              <w:bottom w:val="single" w:sz="4" w:space="0" w:color="auto"/>
              <w:right w:val="single" w:sz="4" w:space="0" w:color="auto"/>
            </w:tcBorders>
            <w:shd w:val="clear" w:color="auto" w:fill="auto"/>
            <w:noWrap/>
            <w:vAlign w:val="center"/>
            <w:hideMark/>
          </w:tcPr>
          <w:p w14:paraId="10D4A5C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1,07</w:t>
            </w:r>
          </w:p>
        </w:tc>
        <w:tc>
          <w:tcPr>
            <w:tcW w:w="1194" w:type="dxa"/>
            <w:tcBorders>
              <w:top w:val="nil"/>
              <w:left w:val="nil"/>
              <w:bottom w:val="single" w:sz="4" w:space="0" w:color="auto"/>
              <w:right w:val="single" w:sz="4" w:space="0" w:color="auto"/>
            </w:tcBorders>
            <w:shd w:val="clear" w:color="auto" w:fill="auto"/>
            <w:noWrap/>
            <w:vAlign w:val="center"/>
            <w:hideMark/>
          </w:tcPr>
          <w:p w14:paraId="48E791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1,15</w:t>
            </w:r>
          </w:p>
        </w:tc>
        <w:tc>
          <w:tcPr>
            <w:tcW w:w="1194" w:type="dxa"/>
            <w:tcBorders>
              <w:top w:val="nil"/>
              <w:left w:val="nil"/>
              <w:bottom w:val="single" w:sz="4" w:space="0" w:color="auto"/>
              <w:right w:val="single" w:sz="4" w:space="0" w:color="auto"/>
            </w:tcBorders>
            <w:shd w:val="clear" w:color="auto" w:fill="auto"/>
            <w:noWrap/>
            <w:vAlign w:val="center"/>
            <w:hideMark/>
          </w:tcPr>
          <w:p w14:paraId="76C820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1,20</w:t>
            </w:r>
          </w:p>
        </w:tc>
        <w:tc>
          <w:tcPr>
            <w:tcW w:w="1194" w:type="dxa"/>
            <w:tcBorders>
              <w:top w:val="nil"/>
              <w:left w:val="nil"/>
              <w:bottom w:val="single" w:sz="4" w:space="0" w:color="auto"/>
              <w:right w:val="single" w:sz="4" w:space="0" w:color="auto"/>
            </w:tcBorders>
            <w:shd w:val="clear" w:color="auto" w:fill="auto"/>
            <w:noWrap/>
            <w:vAlign w:val="center"/>
            <w:hideMark/>
          </w:tcPr>
          <w:p w14:paraId="76A0EF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1,05</w:t>
            </w:r>
          </w:p>
        </w:tc>
      </w:tr>
      <w:tr w:rsidR="00BF12D5" w:rsidRPr="00BD0223" w14:paraId="1C7FBBCE"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D1ECA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SIMAO</w:t>
            </w:r>
          </w:p>
        </w:tc>
        <w:tc>
          <w:tcPr>
            <w:tcW w:w="1194" w:type="dxa"/>
            <w:tcBorders>
              <w:top w:val="nil"/>
              <w:left w:val="nil"/>
              <w:bottom w:val="single" w:sz="4" w:space="0" w:color="auto"/>
              <w:right w:val="single" w:sz="4" w:space="0" w:color="auto"/>
            </w:tcBorders>
            <w:shd w:val="clear" w:color="auto" w:fill="auto"/>
            <w:noWrap/>
            <w:vAlign w:val="center"/>
            <w:hideMark/>
          </w:tcPr>
          <w:p w14:paraId="114ECE3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4,55</w:t>
            </w:r>
          </w:p>
        </w:tc>
        <w:tc>
          <w:tcPr>
            <w:tcW w:w="1194" w:type="dxa"/>
            <w:tcBorders>
              <w:top w:val="nil"/>
              <w:left w:val="nil"/>
              <w:bottom w:val="single" w:sz="4" w:space="0" w:color="auto"/>
              <w:right w:val="single" w:sz="4" w:space="0" w:color="auto"/>
            </w:tcBorders>
            <w:shd w:val="clear" w:color="auto" w:fill="auto"/>
            <w:noWrap/>
            <w:vAlign w:val="center"/>
            <w:hideMark/>
          </w:tcPr>
          <w:p w14:paraId="174AA34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4,65</w:t>
            </w:r>
          </w:p>
        </w:tc>
        <w:tc>
          <w:tcPr>
            <w:tcW w:w="1194" w:type="dxa"/>
            <w:tcBorders>
              <w:top w:val="nil"/>
              <w:left w:val="nil"/>
              <w:bottom w:val="single" w:sz="4" w:space="0" w:color="auto"/>
              <w:right w:val="single" w:sz="4" w:space="0" w:color="auto"/>
            </w:tcBorders>
            <w:shd w:val="clear" w:color="auto" w:fill="auto"/>
            <w:noWrap/>
            <w:vAlign w:val="center"/>
            <w:hideMark/>
          </w:tcPr>
          <w:p w14:paraId="256769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5,09</w:t>
            </w:r>
          </w:p>
        </w:tc>
        <w:tc>
          <w:tcPr>
            <w:tcW w:w="1194" w:type="dxa"/>
            <w:tcBorders>
              <w:top w:val="nil"/>
              <w:left w:val="nil"/>
              <w:bottom w:val="single" w:sz="4" w:space="0" w:color="auto"/>
              <w:right w:val="single" w:sz="4" w:space="0" w:color="auto"/>
            </w:tcBorders>
            <w:shd w:val="clear" w:color="auto" w:fill="auto"/>
            <w:noWrap/>
            <w:vAlign w:val="center"/>
            <w:hideMark/>
          </w:tcPr>
          <w:p w14:paraId="0B5023F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4,30</w:t>
            </w:r>
          </w:p>
        </w:tc>
      </w:tr>
      <w:tr w:rsidR="00BF12D5" w:rsidRPr="00BD0223" w14:paraId="0B72ABAA"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B548CD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SEBASTIANOPOLIS DO SUL</w:t>
            </w:r>
          </w:p>
        </w:tc>
        <w:tc>
          <w:tcPr>
            <w:tcW w:w="1194" w:type="dxa"/>
            <w:tcBorders>
              <w:top w:val="nil"/>
              <w:left w:val="nil"/>
              <w:bottom w:val="single" w:sz="4" w:space="0" w:color="auto"/>
              <w:right w:val="single" w:sz="4" w:space="0" w:color="auto"/>
            </w:tcBorders>
            <w:shd w:val="clear" w:color="auto" w:fill="auto"/>
            <w:noWrap/>
            <w:vAlign w:val="center"/>
            <w:hideMark/>
          </w:tcPr>
          <w:p w14:paraId="25AC57D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0,59</w:t>
            </w:r>
          </w:p>
        </w:tc>
        <w:tc>
          <w:tcPr>
            <w:tcW w:w="1194" w:type="dxa"/>
            <w:tcBorders>
              <w:top w:val="nil"/>
              <w:left w:val="nil"/>
              <w:bottom w:val="single" w:sz="4" w:space="0" w:color="auto"/>
              <w:right w:val="single" w:sz="4" w:space="0" w:color="auto"/>
            </w:tcBorders>
            <w:shd w:val="clear" w:color="auto" w:fill="auto"/>
            <w:noWrap/>
            <w:vAlign w:val="center"/>
            <w:hideMark/>
          </w:tcPr>
          <w:p w14:paraId="5FB1D7D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0,45</w:t>
            </w:r>
          </w:p>
        </w:tc>
        <w:tc>
          <w:tcPr>
            <w:tcW w:w="1194" w:type="dxa"/>
            <w:tcBorders>
              <w:top w:val="nil"/>
              <w:left w:val="nil"/>
              <w:bottom w:val="single" w:sz="4" w:space="0" w:color="auto"/>
              <w:right w:val="single" w:sz="4" w:space="0" w:color="auto"/>
            </w:tcBorders>
            <w:shd w:val="clear" w:color="auto" w:fill="auto"/>
            <w:noWrap/>
            <w:vAlign w:val="center"/>
            <w:hideMark/>
          </w:tcPr>
          <w:p w14:paraId="44B2816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0,48</w:t>
            </w:r>
          </w:p>
        </w:tc>
        <w:tc>
          <w:tcPr>
            <w:tcW w:w="1194" w:type="dxa"/>
            <w:tcBorders>
              <w:top w:val="nil"/>
              <w:left w:val="nil"/>
              <w:bottom w:val="single" w:sz="4" w:space="0" w:color="auto"/>
              <w:right w:val="single" w:sz="4" w:space="0" w:color="auto"/>
            </w:tcBorders>
            <w:shd w:val="clear" w:color="auto" w:fill="auto"/>
            <w:noWrap/>
            <w:vAlign w:val="center"/>
            <w:hideMark/>
          </w:tcPr>
          <w:p w14:paraId="0F1A9FD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0,40</w:t>
            </w:r>
          </w:p>
        </w:tc>
      </w:tr>
      <w:tr w:rsidR="00BF12D5" w:rsidRPr="00BD0223" w14:paraId="271EDEC6"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93040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SERRA AZUL</w:t>
            </w:r>
          </w:p>
        </w:tc>
        <w:tc>
          <w:tcPr>
            <w:tcW w:w="1194" w:type="dxa"/>
            <w:tcBorders>
              <w:top w:val="nil"/>
              <w:left w:val="nil"/>
              <w:bottom w:val="single" w:sz="4" w:space="0" w:color="auto"/>
              <w:right w:val="single" w:sz="4" w:space="0" w:color="auto"/>
            </w:tcBorders>
            <w:shd w:val="clear" w:color="auto" w:fill="auto"/>
            <w:noWrap/>
            <w:vAlign w:val="center"/>
            <w:hideMark/>
          </w:tcPr>
          <w:p w14:paraId="5B347F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0,94</w:t>
            </w:r>
          </w:p>
        </w:tc>
        <w:tc>
          <w:tcPr>
            <w:tcW w:w="1194" w:type="dxa"/>
            <w:tcBorders>
              <w:top w:val="nil"/>
              <w:left w:val="nil"/>
              <w:bottom w:val="single" w:sz="4" w:space="0" w:color="auto"/>
              <w:right w:val="single" w:sz="4" w:space="0" w:color="auto"/>
            </w:tcBorders>
            <w:shd w:val="clear" w:color="auto" w:fill="auto"/>
            <w:noWrap/>
            <w:vAlign w:val="center"/>
            <w:hideMark/>
          </w:tcPr>
          <w:p w14:paraId="07FDD4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0,86</w:t>
            </w:r>
          </w:p>
        </w:tc>
        <w:tc>
          <w:tcPr>
            <w:tcW w:w="1194" w:type="dxa"/>
            <w:tcBorders>
              <w:top w:val="nil"/>
              <w:left w:val="nil"/>
              <w:bottom w:val="single" w:sz="4" w:space="0" w:color="auto"/>
              <w:right w:val="single" w:sz="4" w:space="0" w:color="auto"/>
            </w:tcBorders>
            <w:shd w:val="clear" w:color="auto" w:fill="auto"/>
            <w:noWrap/>
            <w:vAlign w:val="center"/>
            <w:hideMark/>
          </w:tcPr>
          <w:p w14:paraId="2FD1F9F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0,88</w:t>
            </w:r>
          </w:p>
        </w:tc>
        <w:tc>
          <w:tcPr>
            <w:tcW w:w="1194" w:type="dxa"/>
            <w:tcBorders>
              <w:top w:val="nil"/>
              <w:left w:val="nil"/>
              <w:bottom w:val="single" w:sz="4" w:space="0" w:color="auto"/>
              <w:right w:val="single" w:sz="4" w:space="0" w:color="auto"/>
            </w:tcBorders>
            <w:shd w:val="clear" w:color="auto" w:fill="auto"/>
            <w:noWrap/>
            <w:vAlign w:val="center"/>
            <w:hideMark/>
          </w:tcPr>
          <w:p w14:paraId="256ECF9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0,77</w:t>
            </w:r>
          </w:p>
        </w:tc>
      </w:tr>
      <w:tr w:rsidR="00BF12D5" w:rsidRPr="00BD0223" w14:paraId="58CAADB0"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665522A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lastRenderedPageBreak/>
              <w:t>SERRANA</w:t>
            </w:r>
          </w:p>
        </w:tc>
        <w:tc>
          <w:tcPr>
            <w:tcW w:w="1194" w:type="dxa"/>
            <w:tcBorders>
              <w:top w:val="nil"/>
              <w:left w:val="nil"/>
              <w:bottom w:val="single" w:sz="4" w:space="0" w:color="auto"/>
              <w:right w:val="single" w:sz="4" w:space="0" w:color="auto"/>
            </w:tcBorders>
            <w:shd w:val="clear" w:color="auto" w:fill="auto"/>
            <w:noWrap/>
            <w:vAlign w:val="center"/>
            <w:hideMark/>
          </w:tcPr>
          <w:p w14:paraId="6B1E460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5,13</w:t>
            </w:r>
          </w:p>
        </w:tc>
        <w:tc>
          <w:tcPr>
            <w:tcW w:w="1194" w:type="dxa"/>
            <w:tcBorders>
              <w:top w:val="nil"/>
              <w:left w:val="nil"/>
              <w:bottom w:val="single" w:sz="4" w:space="0" w:color="auto"/>
              <w:right w:val="single" w:sz="4" w:space="0" w:color="auto"/>
            </w:tcBorders>
            <w:shd w:val="clear" w:color="auto" w:fill="auto"/>
            <w:noWrap/>
            <w:vAlign w:val="center"/>
            <w:hideMark/>
          </w:tcPr>
          <w:p w14:paraId="0370E4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5,08</w:t>
            </w:r>
          </w:p>
        </w:tc>
        <w:tc>
          <w:tcPr>
            <w:tcW w:w="1194" w:type="dxa"/>
            <w:tcBorders>
              <w:top w:val="nil"/>
              <w:left w:val="nil"/>
              <w:bottom w:val="single" w:sz="4" w:space="0" w:color="auto"/>
              <w:right w:val="single" w:sz="4" w:space="0" w:color="auto"/>
            </w:tcBorders>
            <w:shd w:val="clear" w:color="auto" w:fill="auto"/>
            <w:noWrap/>
            <w:vAlign w:val="center"/>
            <w:hideMark/>
          </w:tcPr>
          <w:p w14:paraId="1D09C5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5,02</w:t>
            </w:r>
          </w:p>
        </w:tc>
        <w:tc>
          <w:tcPr>
            <w:tcW w:w="1194" w:type="dxa"/>
            <w:tcBorders>
              <w:top w:val="nil"/>
              <w:left w:val="nil"/>
              <w:bottom w:val="single" w:sz="4" w:space="0" w:color="auto"/>
              <w:right w:val="single" w:sz="4" w:space="0" w:color="auto"/>
            </w:tcBorders>
            <w:shd w:val="clear" w:color="auto" w:fill="auto"/>
            <w:noWrap/>
            <w:vAlign w:val="center"/>
            <w:hideMark/>
          </w:tcPr>
          <w:p w14:paraId="1AF58A6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4,44</w:t>
            </w:r>
          </w:p>
        </w:tc>
      </w:tr>
      <w:tr w:rsidR="00BF12D5" w:rsidRPr="00BD0223" w14:paraId="10596B1F"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2761BD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SERTAOZINHO</w:t>
            </w:r>
          </w:p>
        </w:tc>
        <w:tc>
          <w:tcPr>
            <w:tcW w:w="1194" w:type="dxa"/>
            <w:tcBorders>
              <w:top w:val="nil"/>
              <w:left w:val="nil"/>
              <w:bottom w:val="single" w:sz="4" w:space="0" w:color="auto"/>
              <w:right w:val="single" w:sz="4" w:space="0" w:color="auto"/>
            </w:tcBorders>
            <w:shd w:val="clear" w:color="auto" w:fill="auto"/>
            <w:noWrap/>
            <w:vAlign w:val="center"/>
            <w:hideMark/>
          </w:tcPr>
          <w:p w14:paraId="3816FE5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16,13</w:t>
            </w:r>
          </w:p>
        </w:tc>
        <w:tc>
          <w:tcPr>
            <w:tcW w:w="1194" w:type="dxa"/>
            <w:tcBorders>
              <w:top w:val="nil"/>
              <w:left w:val="nil"/>
              <w:bottom w:val="single" w:sz="4" w:space="0" w:color="auto"/>
              <w:right w:val="single" w:sz="4" w:space="0" w:color="auto"/>
            </w:tcBorders>
            <w:shd w:val="clear" w:color="auto" w:fill="auto"/>
            <w:noWrap/>
            <w:vAlign w:val="center"/>
            <w:hideMark/>
          </w:tcPr>
          <w:p w14:paraId="652742F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15,94</w:t>
            </w:r>
          </w:p>
        </w:tc>
        <w:tc>
          <w:tcPr>
            <w:tcW w:w="1194" w:type="dxa"/>
            <w:tcBorders>
              <w:top w:val="nil"/>
              <w:left w:val="nil"/>
              <w:bottom w:val="single" w:sz="4" w:space="0" w:color="auto"/>
              <w:right w:val="single" w:sz="4" w:space="0" w:color="auto"/>
            </w:tcBorders>
            <w:shd w:val="clear" w:color="auto" w:fill="auto"/>
            <w:noWrap/>
            <w:vAlign w:val="center"/>
            <w:hideMark/>
          </w:tcPr>
          <w:p w14:paraId="2E40D9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18,50</w:t>
            </w:r>
          </w:p>
        </w:tc>
        <w:tc>
          <w:tcPr>
            <w:tcW w:w="1194" w:type="dxa"/>
            <w:tcBorders>
              <w:top w:val="nil"/>
              <w:left w:val="nil"/>
              <w:bottom w:val="single" w:sz="4" w:space="0" w:color="auto"/>
              <w:right w:val="single" w:sz="4" w:space="0" w:color="auto"/>
            </w:tcBorders>
            <w:shd w:val="clear" w:color="auto" w:fill="auto"/>
            <w:noWrap/>
            <w:vAlign w:val="center"/>
            <w:hideMark/>
          </w:tcPr>
          <w:p w14:paraId="08F3E9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16,23</w:t>
            </w:r>
          </w:p>
        </w:tc>
      </w:tr>
      <w:tr w:rsidR="00BF12D5" w:rsidRPr="00BD0223" w14:paraId="4DB75AFA"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516F37B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SEVERINIA</w:t>
            </w:r>
          </w:p>
        </w:tc>
        <w:tc>
          <w:tcPr>
            <w:tcW w:w="1194" w:type="dxa"/>
            <w:tcBorders>
              <w:top w:val="nil"/>
              <w:left w:val="nil"/>
              <w:bottom w:val="single" w:sz="4" w:space="0" w:color="auto"/>
              <w:right w:val="single" w:sz="4" w:space="0" w:color="auto"/>
            </w:tcBorders>
            <w:shd w:val="clear" w:color="auto" w:fill="auto"/>
            <w:noWrap/>
            <w:vAlign w:val="center"/>
            <w:hideMark/>
          </w:tcPr>
          <w:p w14:paraId="32BA1F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1,51</w:t>
            </w:r>
          </w:p>
        </w:tc>
        <w:tc>
          <w:tcPr>
            <w:tcW w:w="1194" w:type="dxa"/>
            <w:tcBorders>
              <w:top w:val="nil"/>
              <w:left w:val="nil"/>
              <w:bottom w:val="single" w:sz="4" w:space="0" w:color="auto"/>
              <w:right w:val="single" w:sz="4" w:space="0" w:color="auto"/>
            </w:tcBorders>
            <w:shd w:val="clear" w:color="auto" w:fill="auto"/>
            <w:noWrap/>
            <w:vAlign w:val="center"/>
            <w:hideMark/>
          </w:tcPr>
          <w:p w14:paraId="2950D9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1,48</w:t>
            </w:r>
          </w:p>
        </w:tc>
        <w:tc>
          <w:tcPr>
            <w:tcW w:w="1194" w:type="dxa"/>
            <w:tcBorders>
              <w:top w:val="nil"/>
              <w:left w:val="nil"/>
              <w:bottom w:val="single" w:sz="4" w:space="0" w:color="auto"/>
              <w:right w:val="single" w:sz="4" w:space="0" w:color="auto"/>
            </w:tcBorders>
            <w:shd w:val="clear" w:color="auto" w:fill="auto"/>
            <w:noWrap/>
            <w:vAlign w:val="center"/>
            <w:hideMark/>
          </w:tcPr>
          <w:p w14:paraId="1DABFA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1,59</w:t>
            </w:r>
          </w:p>
        </w:tc>
        <w:tc>
          <w:tcPr>
            <w:tcW w:w="1194" w:type="dxa"/>
            <w:tcBorders>
              <w:top w:val="nil"/>
              <w:left w:val="nil"/>
              <w:bottom w:val="single" w:sz="4" w:space="0" w:color="auto"/>
              <w:right w:val="single" w:sz="4" w:space="0" w:color="auto"/>
            </w:tcBorders>
            <w:shd w:val="clear" w:color="auto" w:fill="auto"/>
            <w:noWrap/>
            <w:vAlign w:val="center"/>
            <w:hideMark/>
          </w:tcPr>
          <w:p w14:paraId="69ADDAF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1,77</w:t>
            </w:r>
          </w:p>
        </w:tc>
      </w:tr>
      <w:tr w:rsidR="00BF12D5" w:rsidRPr="00BD0223" w14:paraId="0FE58290"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E2A09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TABAPUA</w:t>
            </w:r>
          </w:p>
        </w:tc>
        <w:tc>
          <w:tcPr>
            <w:tcW w:w="1194" w:type="dxa"/>
            <w:tcBorders>
              <w:top w:val="nil"/>
              <w:left w:val="nil"/>
              <w:bottom w:val="single" w:sz="4" w:space="0" w:color="auto"/>
              <w:right w:val="single" w:sz="4" w:space="0" w:color="auto"/>
            </w:tcBorders>
            <w:shd w:val="clear" w:color="auto" w:fill="auto"/>
            <w:noWrap/>
            <w:vAlign w:val="center"/>
            <w:hideMark/>
          </w:tcPr>
          <w:p w14:paraId="7DC312E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1,21</w:t>
            </w:r>
          </w:p>
        </w:tc>
        <w:tc>
          <w:tcPr>
            <w:tcW w:w="1194" w:type="dxa"/>
            <w:tcBorders>
              <w:top w:val="nil"/>
              <w:left w:val="nil"/>
              <w:bottom w:val="single" w:sz="4" w:space="0" w:color="auto"/>
              <w:right w:val="single" w:sz="4" w:space="0" w:color="auto"/>
            </w:tcBorders>
            <w:shd w:val="clear" w:color="auto" w:fill="auto"/>
            <w:noWrap/>
            <w:vAlign w:val="center"/>
            <w:hideMark/>
          </w:tcPr>
          <w:p w14:paraId="3FB94A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1,24</w:t>
            </w:r>
          </w:p>
        </w:tc>
        <w:tc>
          <w:tcPr>
            <w:tcW w:w="1194" w:type="dxa"/>
            <w:tcBorders>
              <w:top w:val="nil"/>
              <w:left w:val="nil"/>
              <w:bottom w:val="single" w:sz="4" w:space="0" w:color="auto"/>
              <w:right w:val="single" w:sz="4" w:space="0" w:color="auto"/>
            </w:tcBorders>
            <w:shd w:val="clear" w:color="auto" w:fill="auto"/>
            <w:noWrap/>
            <w:vAlign w:val="center"/>
            <w:hideMark/>
          </w:tcPr>
          <w:p w14:paraId="4263C40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1,27</w:t>
            </w:r>
          </w:p>
        </w:tc>
        <w:tc>
          <w:tcPr>
            <w:tcW w:w="1194" w:type="dxa"/>
            <w:tcBorders>
              <w:top w:val="nil"/>
              <w:left w:val="nil"/>
              <w:bottom w:val="single" w:sz="4" w:space="0" w:color="auto"/>
              <w:right w:val="single" w:sz="4" w:space="0" w:color="auto"/>
            </w:tcBorders>
            <w:shd w:val="clear" w:color="auto" w:fill="auto"/>
            <w:noWrap/>
            <w:vAlign w:val="center"/>
            <w:hideMark/>
          </w:tcPr>
          <w:p w14:paraId="08646E3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1,06</w:t>
            </w:r>
          </w:p>
        </w:tc>
      </w:tr>
      <w:tr w:rsidR="00BF12D5" w:rsidRPr="00BD0223" w14:paraId="5C622CA4"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72CE797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TAIACU</w:t>
            </w:r>
          </w:p>
        </w:tc>
        <w:tc>
          <w:tcPr>
            <w:tcW w:w="1194" w:type="dxa"/>
            <w:tcBorders>
              <w:top w:val="nil"/>
              <w:left w:val="nil"/>
              <w:bottom w:val="single" w:sz="4" w:space="0" w:color="auto"/>
              <w:right w:val="single" w:sz="4" w:space="0" w:color="auto"/>
            </w:tcBorders>
            <w:shd w:val="clear" w:color="auto" w:fill="auto"/>
            <w:noWrap/>
            <w:vAlign w:val="center"/>
            <w:hideMark/>
          </w:tcPr>
          <w:p w14:paraId="7616E26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0,68</w:t>
            </w:r>
          </w:p>
        </w:tc>
        <w:tc>
          <w:tcPr>
            <w:tcW w:w="1194" w:type="dxa"/>
            <w:tcBorders>
              <w:top w:val="nil"/>
              <w:left w:val="nil"/>
              <w:bottom w:val="single" w:sz="4" w:space="0" w:color="auto"/>
              <w:right w:val="single" w:sz="4" w:space="0" w:color="auto"/>
            </w:tcBorders>
            <w:shd w:val="clear" w:color="auto" w:fill="auto"/>
            <w:noWrap/>
            <w:vAlign w:val="center"/>
            <w:hideMark/>
          </w:tcPr>
          <w:p w14:paraId="66F8ACA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0,82</w:t>
            </w:r>
          </w:p>
        </w:tc>
        <w:tc>
          <w:tcPr>
            <w:tcW w:w="1194" w:type="dxa"/>
            <w:tcBorders>
              <w:top w:val="nil"/>
              <w:left w:val="nil"/>
              <w:bottom w:val="single" w:sz="4" w:space="0" w:color="auto"/>
              <w:right w:val="single" w:sz="4" w:space="0" w:color="auto"/>
            </w:tcBorders>
            <w:shd w:val="clear" w:color="auto" w:fill="auto"/>
            <w:noWrap/>
            <w:vAlign w:val="center"/>
            <w:hideMark/>
          </w:tcPr>
          <w:p w14:paraId="6D05ADF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0,88</w:t>
            </w:r>
          </w:p>
        </w:tc>
        <w:tc>
          <w:tcPr>
            <w:tcW w:w="1194" w:type="dxa"/>
            <w:tcBorders>
              <w:top w:val="nil"/>
              <w:left w:val="nil"/>
              <w:bottom w:val="single" w:sz="4" w:space="0" w:color="auto"/>
              <w:right w:val="single" w:sz="4" w:space="0" w:color="auto"/>
            </w:tcBorders>
            <w:shd w:val="clear" w:color="auto" w:fill="auto"/>
            <w:noWrap/>
            <w:vAlign w:val="center"/>
            <w:hideMark/>
          </w:tcPr>
          <w:p w14:paraId="0DF0726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0,64</w:t>
            </w:r>
          </w:p>
        </w:tc>
      </w:tr>
      <w:tr w:rsidR="00BF12D5" w:rsidRPr="00BD0223" w14:paraId="2B9D23EA"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D576B2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TAIUVA</w:t>
            </w:r>
          </w:p>
        </w:tc>
        <w:tc>
          <w:tcPr>
            <w:tcW w:w="1194" w:type="dxa"/>
            <w:tcBorders>
              <w:top w:val="nil"/>
              <w:left w:val="nil"/>
              <w:bottom w:val="single" w:sz="4" w:space="0" w:color="auto"/>
              <w:right w:val="single" w:sz="4" w:space="0" w:color="auto"/>
            </w:tcBorders>
            <w:shd w:val="clear" w:color="auto" w:fill="auto"/>
            <w:noWrap/>
            <w:vAlign w:val="center"/>
            <w:hideMark/>
          </w:tcPr>
          <w:p w14:paraId="5DB61C9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0,82</w:t>
            </w:r>
          </w:p>
        </w:tc>
        <w:tc>
          <w:tcPr>
            <w:tcW w:w="1194" w:type="dxa"/>
            <w:tcBorders>
              <w:top w:val="nil"/>
              <w:left w:val="nil"/>
              <w:bottom w:val="single" w:sz="4" w:space="0" w:color="auto"/>
              <w:right w:val="single" w:sz="4" w:space="0" w:color="auto"/>
            </w:tcBorders>
            <w:shd w:val="clear" w:color="auto" w:fill="auto"/>
            <w:noWrap/>
            <w:vAlign w:val="center"/>
            <w:hideMark/>
          </w:tcPr>
          <w:p w14:paraId="2E72D45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0,70</w:t>
            </w:r>
          </w:p>
        </w:tc>
        <w:tc>
          <w:tcPr>
            <w:tcW w:w="1194" w:type="dxa"/>
            <w:tcBorders>
              <w:top w:val="nil"/>
              <w:left w:val="nil"/>
              <w:bottom w:val="single" w:sz="4" w:space="0" w:color="auto"/>
              <w:right w:val="single" w:sz="4" w:space="0" w:color="auto"/>
            </w:tcBorders>
            <w:shd w:val="clear" w:color="auto" w:fill="auto"/>
            <w:noWrap/>
            <w:vAlign w:val="center"/>
            <w:hideMark/>
          </w:tcPr>
          <w:p w14:paraId="064A175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0,65</w:t>
            </w:r>
          </w:p>
        </w:tc>
        <w:tc>
          <w:tcPr>
            <w:tcW w:w="1194" w:type="dxa"/>
            <w:tcBorders>
              <w:top w:val="nil"/>
              <w:left w:val="nil"/>
              <w:bottom w:val="single" w:sz="4" w:space="0" w:color="auto"/>
              <w:right w:val="single" w:sz="4" w:space="0" w:color="auto"/>
            </w:tcBorders>
            <w:shd w:val="clear" w:color="auto" w:fill="auto"/>
            <w:noWrap/>
            <w:vAlign w:val="center"/>
            <w:hideMark/>
          </w:tcPr>
          <w:p w14:paraId="636EC58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0,63</w:t>
            </w:r>
          </w:p>
        </w:tc>
      </w:tr>
      <w:tr w:rsidR="00BF12D5" w:rsidRPr="00BD0223" w14:paraId="063432E6"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67787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TANABI</w:t>
            </w:r>
          </w:p>
        </w:tc>
        <w:tc>
          <w:tcPr>
            <w:tcW w:w="1194" w:type="dxa"/>
            <w:tcBorders>
              <w:top w:val="nil"/>
              <w:left w:val="nil"/>
              <w:bottom w:val="single" w:sz="4" w:space="0" w:color="auto"/>
              <w:right w:val="single" w:sz="4" w:space="0" w:color="auto"/>
            </w:tcBorders>
            <w:shd w:val="clear" w:color="auto" w:fill="auto"/>
            <w:noWrap/>
            <w:vAlign w:val="center"/>
            <w:hideMark/>
          </w:tcPr>
          <w:p w14:paraId="728C61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5,11</w:t>
            </w:r>
          </w:p>
        </w:tc>
        <w:tc>
          <w:tcPr>
            <w:tcW w:w="1194" w:type="dxa"/>
            <w:tcBorders>
              <w:top w:val="nil"/>
              <w:left w:val="nil"/>
              <w:bottom w:val="single" w:sz="4" w:space="0" w:color="auto"/>
              <w:right w:val="single" w:sz="4" w:space="0" w:color="auto"/>
            </w:tcBorders>
            <w:shd w:val="clear" w:color="auto" w:fill="auto"/>
            <w:noWrap/>
            <w:vAlign w:val="center"/>
            <w:hideMark/>
          </w:tcPr>
          <w:p w14:paraId="0E81FE1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6,84</w:t>
            </w:r>
          </w:p>
        </w:tc>
        <w:tc>
          <w:tcPr>
            <w:tcW w:w="1194" w:type="dxa"/>
            <w:tcBorders>
              <w:top w:val="nil"/>
              <w:left w:val="nil"/>
              <w:bottom w:val="single" w:sz="4" w:space="0" w:color="auto"/>
              <w:right w:val="single" w:sz="4" w:space="0" w:color="auto"/>
            </w:tcBorders>
            <w:shd w:val="clear" w:color="auto" w:fill="auto"/>
            <w:noWrap/>
            <w:vAlign w:val="center"/>
            <w:hideMark/>
          </w:tcPr>
          <w:p w14:paraId="2BFCB5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8,11</w:t>
            </w:r>
          </w:p>
        </w:tc>
        <w:tc>
          <w:tcPr>
            <w:tcW w:w="1194" w:type="dxa"/>
            <w:tcBorders>
              <w:top w:val="nil"/>
              <w:left w:val="nil"/>
              <w:bottom w:val="single" w:sz="4" w:space="0" w:color="auto"/>
              <w:right w:val="single" w:sz="4" w:space="0" w:color="auto"/>
            </w:tcBorders>
            <w:shd w:val="clear" w:color="auto" w:fill="auto"/>
            <w:noWrap/>
            <w:vAlign w:val="center"/>
            <w:hideMark/>
          </w:tcPr>
          <w:p w14:paraId="18B8D79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5,93</w:t>
            </w:r>
          </w:p>
        </w:tc>
      </w:tr>
      <w:tr w:rsidR="00BF12D5" w:rsidRPr="00BD0223" w14:paraId="7E0621AD"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B91500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TAQUARITINGA</w:t>
            </w:r>
          </w:p>
        </w:tc>
        <w:tc>
          <w:tcPr>
            <w:tcW w:w="1194" w:type="dxa"/>
            <w:tcBorders>
              <w:top w:val="nil"/>
              <w:left w:val="nil"/>
              <w:bottom w:val="single" w:sz="4" w:space="0" w:color="auto"/>
              <w:right w:val="single" w:sz="4" w:space="0" w:color="auto"/>
            </w:tcBorders>
            <w:shd w:val="clear" w:color="auto" w:fill="auto"/>
            <w:noWrap/>
            <w:vAlign w:val="center"/>
            <w:hideMark/>
          </w:tcPr>
          <w:p w14:paraId="30B74E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8,98</w:t>
            </w:r>
          </w:p>
        </w:tc>
        <w:tc>
          <w:tcPr>
            <w:tcW w:w="1194" w:type="dxa"/>
            <w:tcBorders>
              <w:top w:val="nil"/>
              <w:left w:val="nil"/>
              <w:bottom w:val="single" w:sz="4" w:space="0" w:color="auto"/>
              <w:right w:val="single" w:sz="4" w:space="0" w:color="auto"/>
            </w:tcBorders>
            <w:shd w:val="clear" w:color="auto" w:fill="auto"/>
            <w:noWrap/>
            <w:vAlign w:val="center"/>
            <w:hideMark/>
          </w:tcPr>
          <w:p w14:paraId="0341817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8,85</w:t>
            </w:r>
          </w:p>
        </w:tc>
        <w:tc>
          <w:tcPr>
            <w:tcW w:w="1194" w:type="dxa"/>
            <w:tcBorders>
              <w:top w:val="nil"/>
              <w:left w:val="nil"/>
              <w:bottom w:val="single" w:sz="4" w:space="0" w:color="auto"/>
              <w:right w:val="single" w:sz="4" w:space="0" w:color="auto"/>
            </w:tcBorders>
            <w:shd w:val="clear" w:color="auto" w:fill="auto"/>
            <w:noWrap/>
            <w:vAlign w:val="center"/>
            <w:hideMark/>
          </w:tcPr>
          <w:p w14:paraId="0311272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9,83</w:t>
            </w:r>
          </w:p>
        </w:tc>
        <w:tc>
          <w:tcPr>
            <w:tcW w:w="1194" w:type="dxa"/>
            <w:tcBorders>
              <w:top w:val="nil"/>
              <w:left w:val="nil"/>
              <w:bottom w:val="single" w:sz="4" w:space="0" w:color="auto"/>
              <w:right w:val="single" w:sz="4" w:space="0" w:color="auto"/>
            </w:tcBorders>
            <w:shd w:val="clear" w:color="auto" w:fill="auto"/>
            <w:noWrap/>
            <w:vAlign w:val="center"/>
            <w:hideMark/>
          </w:tcPr>
          <w:p w14:paraId="4418948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0,07</w:t>
            </w:r>
          </w:p>
        </w:tc>
      </w:tr>
      <w:tr w:rsidR="00BF12D5" w:rsidRPr="00BD0223" w14:paraId="2C4D127D"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C46D5F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TERRA ROXA</w:t>
            </w:r>
          </w:p>
        </w:tc>
        <w:tc>
          <w:tcPr>
            <w:tcW w:w="1194" w:type="dxa"/>
            <w:tcBorders>
              <w:top w:val="nil"/>
              <w:left w:val="nil"/>
              <w:bottom w:val="single" w:sz="4" w:space="0" w:color="auto"/>
              <w:right w:val="single" w:sz="4" w:space="0" w:color="auto"/>
            </w:tcBorders>
            <w:shd w:val="clear" w:color="auto" w:fill="auto"/>
            <w:noWrap/>
            <w:vAlign w:val="center"/>
            <w:hideMark/>
          </w:tcPr>
          <w:p w14:paraId="548B692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0,77</w:t>
            </w:r>
          </w:p>
        </w:tc>
        <w:tc>
          <w:tcPr>
            <w:tcW w:w="1194" w:type="dxa"/>
            <w:tcBorders>
              <w:top w:val="nil"/>
              <w:left w:val="nil"/>
              <w:bottom w:val="single" w:sz="4" w:space="0" w:color="auto"/>
              <w:right w:val="single" w:sz="4" w:space="0" w:color="auto"/>
            </w:tcBorders>
            <w:shd w:val="clear" w:color="auto" w:fill="auto"/>
            <w:noWrap/>
            <w:vAlign w:val="center"/>
            <w:hideMark/>
          </w:tcPr>
          <w:p w14:paraId="034CEF4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0,74</w:t>
            </w:r>
          </w:p>
        </w:tc>
        <w:tc>
          <w:tcPr>
            <w:tcW w:w="1194" w:type="dxa"/>
            <w:tcBorders>
              <w:top w:val="nil"/>
              <w:left w:val="nil"/>
              <w:bottom w:val="single" w:sz="4" w:space="0" w:color="auto"/>
              <w:right w:val="single" w:sz="4" w:space="0" w:color="auto"/>
            </w:tcBorders>
            <w:shd w:val="clear" w:color="auto" w:fill="auto"/>
            <w:noWrap/>
            <w:vAlign w:val="center"/>
            <w:hideMark/>
          </w:tcPr>
          <w:p w14:paraId="3983696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0,70</w:t>
            </w:r>
          </w:p>
        </w:tc>
        <w:tc>
          <w:tcPr>
            <w:tcW w:w="1194" w:type="dxa"/>
            <w:tcBorders>
              <w:top w:val="nil"/>
              <w:left w:val="nil"/>
              <w:bottom w:val="single" w:sz="4" w:space="0" w:color="auto"/>
              <w:right w:val="single" w:sz="4" w:space="0" w:color="auto"/>
            </w:tcBorders>
            <w:shd w:val="clear" w:color="auto" w:fill="auto"/>
            <w:noWrap/>
            <w:vAlign w:val="center"/>
            <w:hideMark/>
          </w:tcPr>
          <w:p w14:paraId="016F77A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0,63</w:t>
            </w:r>
          </w:p>
        </w:tc>
      </w:tr>
      <w:tr w:rsidR="00BF12D5" w:rsidRPr="00BD0223" w14:paraId="7F38CDB5"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3CB055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TRES FRONTEIRAS</w:t>
            </w:r>
          </w:p>
        </w:tc>
        <w:tc>
          <w:tcPr>
            <w:tcW w:w="1194" w:type="dxa"/>
            <w:tcBorders>
              <w:top w:val="nil"/>
              <w:left w:val="nil"/>
              <w:bottom w:val="single" w:sz="4" w:space="0" w:color="auto"/>
              <w:right w:val="single" w:sz="4" w:space="0" w:color="auto"/>
            </w:tcBorders>
            <w:shd w:val="clear" w:color="auto" w:fill="auto"/>
            <w:noWrap/>
            <w:vAlign w:val="center"/>
            <w:hideMark/>
          </w:tcPr>
          <w:p w14:paraId="3E98242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0,53</w:t>
            </w:r>
          </w:p>
        </w:tc>
        <w:tc>
          <w:tcPr>
            <w:tcW w:w="1194" w:type="dxa"/>
            <w:tcBorders>
              <w:top w:val="nil"/>
              <w:left w:val="nil"/>
              <w:bottom w:val="single" w:sz="4" w:space="0" w:color="auto"/>
              <w:right w:val="single" w:sz="4" w:space="0" w:color="auto"/>
            </w:tcBorders>
            <w:shd w:val="clear" w:color="auto" w:fill="auto"/>
            <w:noWrap/>
            <w:vAlign w:val="center"/>
            <w:hideMark/>
          </w:tcPr>
          <w:p w14:paraId="6DB0741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0,53</w:t>
            </w:r>
          </w:p>
        </w:tc>
        <w:tc>
          <w:tcPr>
            <w:tcW w:w="1194" w:type="dxa"/>
            <w:tcBorders>
              <w:top w:val="nil"/>
              <w:left w:val="nil"/>
              <w:bottom w:val="single" w:sz="4" w:space="0" w:color="auto"/>
              <w:right w:val="single" w:sz="4" w:space="0" w:color="auto"/>
            </w:tcBorders>
            <w:shd w:val="clear" w:color="auto" w:fill="auto"/>
            <w:noWrap/>
            <w:vAlign w:val="center"/>
            <w:hideMark/>
          </w:tcPr>
          <w:p w14:paraId="2562EFF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0,54</w:t>
            </w:r>
          </w:p>
        </w:tc>
        <w:tc>
          <w:tcPr>
            <w:tcW w:w="1194" w:type="dxa"/>
            <w:tcBorders>
              <w:top w:val="nil"/>
              <w:left w:val="nil"/>
              <w:bottom w:val="single" w:sz="4" w:space="0" w:color="auto"/>
              <w:right w:val="single" w:sz="4" w:space="0" w:color="auto"/>
            </w:tcBorders>
            <w:shd w:val="clear" w:color="auto" w:fill="auto"/>
            <w:noWrap/>
            <w:vAlign w:val="center"/>
            <w:hideMark/>
          </w:tcPr>
          <w:p w14:paraId="5F9C03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0,50</w:t>
            </w:r>
          </w:p>
        </w:tc>
      </w:tr>
      <w:tr w:rsidR="00BF12D5" w:rsidRPr="00BD0223" w14:paraId="5856D889"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138A6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TURMALINA</w:t>
            </w:r>
          </w:p>
        </w:tc>
        <w:tc>
          <w:tcPr>
            <w:tcW w:w="1194" w:type="dxa"/>
            <w:tcBorders>
              <w:top w:val="nil"/>
              <w:left w:val="nil"/>
              <w:bottom w:val="single" w:sz="4" w:space="0" w:color="auto"/>
              <w:right w:val="single" w:sz="4" w:space="0" w:color="auto"/>
            </w:tcBorders>
            <w:shd w:val="clear" w:color="auto" w:fill="auto"/>
            <w:noWrap/>
            <w:vAlign w:val="center"/>
            <w:hideMark/>
          </w:tcPr>
          <w:p w14:paraId="355069B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0,19</w:t>
            </w:r>
          </w:p>
        </w:tc>
        <w:tc>
          <w:tcPr>
            <w:tcW w:w="1194" w:type="dxa"/>
            <w:tcBorders>
              <w:top w:val="nil"/>
              <w:left w:val="nil"/>
              <w:bottom w:val="single" w:sz="4" w:space="0" w:color="auto"/>
              <w:right w:val="single" w:sz="4" w:space="0" w:color="auto"/>
            </w:tcBorders>
            <w:shd w:val="clear" w:color="auto" w:fill="auto"/>
            <w:noWrap/>
            <w:vAlign w:val="center"/>
            <w:hideMark/>
          </w:tcPr>
          <w:p w14:paraId="68F506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0,21</w:t>
            </w:r>
          </w:p>
        </w:tc>
        <w:tc>
          <w:tcPr>
            <w:tcW w:w="1194" w:type="dxa"/>
            <w:tcBorders>
              <w:top w:val="nil"/>
              <w:left w:val="nil"/>
              <w:bottom w:val="single" w:sz="4" w:space="0" w:color="auto"/>
              <w:right w:val="single" w:sz="4" w:space="0" w:color="auto"/>
            </w:tcBorders>
            <w:shd w:val="clear" w:color="auto" w:fill="auto"/>
            <w:noWrap/>
            <w:vAlign w:val="center"/>
            <w:hideMark/>
          </w:tcPr>
          <w:p w14:paraId="1B0CCE5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0,21</w:t>
            </w:r>
          </w:p>
        </w:tc>
        <w:tc>
          <w:tcPr>
            <w:tcW w:w="1194" w:type="dxa"/>
            <w:tcBorders>
              <w:top w:val="nil"/>
              <w:left w:val="nil"/>
              <w:bottom w:val="single" w:sz="4" w:space="0" w:color="auto"/>
              <w:right w:val="single" w:sz="4" w:space="0" w:color="auto"/>
            </w:tcBorders>
            <w:shd w:val="clear" w:color="auto" w:fill="auto"/>
            <w:noWrap/>
            <w:vAlign w:val="center"/>
            <w:hideMark/>
          </w:tcPr>
          <w:p w14:paraId="5555D1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0,17</w:t>
            </w:r>
          </w:p>
        </w:tc>
      </w:tr>
      <w:tr w:rsidR="00BF12D5" w:rsidRPr="00BD0223" w14:paraId="4810313E"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16BDE69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UBARANA</w:t>
            </w:r>
          </w:p>
        </w:tc>
        <w:tc>
          <w:tcPr>
            <w:tcW w:w="1194" w:type="dxa"/>
            <w:tcBorders>
              <w:top w:val="nil"/>
              <w:left w:val="nil"/>
              <w:bottom w:val="single" w:sz="4" w:space="0" w:color="auto"/>
              <w:right w:val="single" w:sz="4" w:space="0" w:color="auto"/>
            </w:tcBorders>
            <w:shd w:val="clear" w:color="auto" w:fill="auto"/>
            <w:noWrap/>
            <w:vAlign w:val="center"/>
            <w:hideMark/>
          </w:tcPr>
          <w:p w14:paraId="0E4350F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0,74</w:t>
            </w:r>
          </w:p>
        </w:tc>
        <w:tc>
          <w:tcPr>
            <w:tcW w:w="1194" w:type="dxa"/>
            <w:tcBorders>
              <w:top w:val="nil"/>
              <w:left w:val="nil"/>
              <w:bottom w:val="single" w:sz="4" w:space="0" w:color="auto"/>
              <w:right w:val="single" w:sz="4" w:space="0" w:color="auto"/>
            </w:tcBorders>
            <w:shd w:val="clear" w:color="auto" w:fill="auto"/>
            <w:noWrap/>
            <w:vAlign w:val="center"/>
            <w:hideMark/>
          </w:tcPr>
          <w:p w14:paraId="4786237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0,75</w:t>
            </w:r>
          </w:p>
        </w:tc>
        <w:tc>
          <w:tcPr>
            <w:tcW w:w="1194" w:type="dxa"/>
            <w:tcBorders>
              <w:top w:val="nil"/>
              <w:left w:val="nil"/>
              <w:bottom w:val="single" w:sz="4" w:space="0" w:color="auto"/>
              <w:right w:val="single" w:sz="4" w:space="0" w:color="auto"/>
            </w:tcBorders>
            <w:shd w:val="clear" w:color="auto" w:fill="auto"/>
            <w:noWrap/>
            <w:vAlign w:val="center"/>
            <w:hideMark/>
          </w:tcPr>
          <w:p w14:paraId="000A8EB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0,86</w:t>
            </w:r>
          </w:p>
        </w:tc>
        <w:tc>
          <w:tcPr>
            <w:tcW w:w="1194" w:type="dxa"/>
            <w:tcBorders>
              <w:top w:val="nil"/>
              <w:left w:val="nil"/>
              <w:bottom w:val="single" w:sz="4" w:space="0" w:color="auto"/>
              <w:right w:val="single" w:sz="4" w:space="0" w:color="auto"/>
            </w:tcBorders>
            <w:shd w:val="clear" w:color="auto" w:fill="auto"/>
            <w:noWrap/>
            <w:vAlign w:val="center"/>
            <w:hideMark/>
          </w:tcPr>
          <w:p w14:paraId="301245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0,54</w:t>
            </w:r>
          </w:p>
        </w:tc>
      </w:tr>
      <w:tr w:rsidR="00BF12D5" w:rsidRPr="00BD0223" w14:paraId="335EDFC2"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303DF0D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UCHOA</w:t>
            </w:r>
          </w:p>
        </w:tc>
        <w:tc>
          <w:tcPr>
            <w:tcW w:w="1194" w:type="dxa"/>
            <w:tcBorders>
              <w:top w:val="nil"/>
              <w:left w:val="nil"/>
              <w:bottom w:val="single" w:sz="4" w:space="0" w:color="auto"/>
              <w:right w:val="single" w:sz="4" w:space="0" w:color="auto"/>
            </w:tcBorders>
            <w:shd w:val="clear" w:color="auto" w:fill="auto"/>
            <w:noWrap/>
            <w:vAlign w:val="center"/>
            <w:hideMark/>
          </w:tcPr>
          <w:p w14:paraId="534D2F5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1,58</w:t>
            </w:r>
          </w:p>
        </w:tc>
        <w:tc>
          <w:tcPr>
            <w:tcW w:w="1194" w:type="dxa"/>
            <w:tcBorders>
              <w:top w:val="nil"/>
              <w:left w:val="nil"/>
              <w:bottom w:val="single" w:sz="4" w:space="0" w:color="auto"/>
              <w:right w:val="single" w:sz="4" w:space="0" w:color="auto"/>
            </w:tcBorders>
            <w:shd w:val="clear" w:color="auto" w:fill="auto"/>
            <w:noWrap/>
            <w:vAlign w:val="center"/>
            <w:hideMark/>
          </w:tcPr>
          <w:p w14:paraId="531ED2A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1,71</w:t>
            </w:r>
          </w:p>
        </w:tc>
        <w:tc>
          <w:tcPr>
            <w:tcW w:w="1194" w:type="dxa"/>
            <w:tcBorders>
              <w:top w:val="nil"/>
              <w:left w:val="nil"/>
              <w:bottom w:val="single" w:sz="4" w:space="0" w:color="auto"/>
              <w:right w:val="single" w:sz="4" w:space="0" w:color="auto"/>
            </w:tcBorders>
            <w:shd w:val="clear" w:color="auto" w:fill="auto"/>
            <w:noWrap/>
            <w:vAlign w:val="center"/>
            <w:hideMark/>
          </w:tcPr>
          <w:p w14:paraId="608468F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1,71</w:t>
            </w:r>
          </w:p>
        </w:tc>
        <w:tc>
          <w:tcPr>
            <w:tcW w:w="1194" w:type="dxa"/>
            <w:tcBorders>
              <w:top w:val="nil"/>
              <w:left w:val="nil"/>
              <w:bottom w:val="single" w:sz="4" w:space="0" w:color="auto"/>
              <w:right w:val="single" w:sz="4" w:space="0" w:color="auto"/>
            </w:tcBorders>
            <w:shd w:val="clear" w:color="auto" w:fill="auto"/>
            <w:noWrap/>
            <w:vAlign w:val="center"/>
            <w:hideMark/>
          </w:tcPr>
          <w:p w14:paraId="52BCE30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1,29</w:t>
            </w:r>
          </w:p>
        </w:tc>
      </w:tr>
      <w:tr w:rsidR="00BF12D5" w:rsidRPr="00BD0223" w14:paraId="08DDD393"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59BAE9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UNIAO PAULISTA</w:t>
            </w:r>
          </w:p>
        </w:tc>
        <w:tc>
          <w:tcPr>
            <w:tcW w:w="1194" w:type="dxa"/>
            <w:tcBorders>
              <w:top w:val="nil"/>
              <w:left w:val="nil"/>
              <w:bottom w:val="single" w:sz="4" w:space="0" w:color="auto"/>
              <w:right w:val="single" w:sz="4" w:space="0" w:color="auto"/>
            </w:tcBorders>
            <w:shd w:val="clear" w:color="auto" w:fill="auto"/>
            <w:noWrap/>
            <w:vAlign w:val="center"/>
            <w:hideMark/>
          </w:tcPr>
          <w:p w14:paraId="7292F29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0,10</w:t>
            </w:r>
          </w:p>
        </w:tc>
        <w:tc>
          <w:tcPr>
            <w:tcW w:w="1194" w:type="dxa"/>
            <w:tcBorders>
              <w:top w:val="nil"/>
              <w:left w:val="nil"/>
              <w:bottom w:val="single" w:sz="4" w:space="0" w:color="auto"/>
              <w:right w:val="single" w:sz="4" w:space="0" w:color="auto"/>
            </w:tcBorders>
            <w:shd w:val="clear" w:color="auto" w:fill="auto"/>
            <w:noWrap/>
            <w:vAlign w:val="center"/>
            <w:hideMark/>
          </w:tcPr>
          <w:p w14:paraId="0A70BF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0,10</w:t>
            </w:r>
          </w:p>
        </w:tc>
        <w:tc>
          <w:tcPr>
            <w:tcW w:w="1194" w:type="dxa"/>
            <w:tcBorders>
              <w:top w:val="nil"/>
              <w:left w:val="nil"/>
              <w:bottom w:val="single" w:sz="4" w:space="0" w:color="auto"/>
              <w:right w:val="single" w:sz="4" w:space="0" w:color="auto"/>
            </w:tcBorders>
            <w:shd w:val="clear" w:color="auto" w:fill="auto"/>
            <w:noWrap/>
            <w:vAlign w:val="center"/>
            <w:hideMark/>
          </w:tcPr>
          <w:p w14:paraId="2268CFC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0,12</w:t>
            </w:r>
          </w:p>
        </w:tc>
        <w:tc>
          <w:tcPr>
            <w:tcW w:w="1194" w:type="dxa"/>
            <w:tcBorders>
              <w:top w:val="nil"/>
              <w:left w:val="nil"/>
              <w:bottom w:val="single" w:sz="4" w:space="0" w:color="auto"/>
              <w:right w:val="single" w:sz="4" w:space="0" w:color="auto"/>
            </w:tcBorders>
            <w:shd w:val="clear" w:color="auto" w:fill="auto"/>
            <w:noWrap/>
            <w:vAlign w:val="center"/>
            <w:hideMark/>
          </w:tcPr>
          <w:p w14:paraId="29F721F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0,10</w:t>
            </w:r>
          </w:p>
        </w:tc>
      </w:tr>
      <w:tr w:rsidR="00BF12D5" w:rsidRPr="00BD0223" w14:paraId="7284625B"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410A6A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URANIA</w:t>
            </w:r>
          </w:p>
        </w:tc>
        <w:tc>
          <w:tcPr>
            <w:tcW w:w="1194" w:type="dxa"/>
            <w:tcBorders>
              <w:top w:val="nil"/>
              <w:left w:val="nil"/>
              <w:bottom w:val="single" w:sz="4" w:space="0" w:color="auto"/>
              <w:right w:val="single" w:sz="4" w:space="0" w:color="auto"/>
            </w:tcBorders>
            <w:shd w:val="clear" w:color="auto" w:fill="auto"/>
            <w:noWrap/>
            <w:vAlign w:val="center"/>
            <w:hideMark/>
          </w:tcPr>
          <w:p w14:paraId="47AA174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1,41</w:t>
            </w:r>
          </w:p>
        </w:tc>
        <w:tc>
          <w:tcPr>
            <w:tcW w:w="1194" w:type="dxa"/>
            <w:tcBorders>
              <w:top w:val="nil"/>
              <w:left w:val="nil"/>
              <w:bottom w:val="single" w:sz="4" w:space="0" w:color="auto"/>
              <w:right w:val="single" w:sz="4" w:space="0" w:color="auto"/>
            </w:tcBorders>
            <w:shd w:val="clear" w:color="auto" w:fill="auto"/>
            <w:noWrap/>
            <w:vAlign w:val="center"/>
            <w:hideMark/>
          </w:tcPr>
          <w:p w14:paraId="634BE8B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1,18</w:t>
            </w:r>
          </w:p>
        </w:tc>
        <w:tc>
          <w:tcPr>
            <w:tcW w:w="1194" w:type="dxa"/>
            <w:tcBorders>
              <w:top w:val="nil"/>
              <w:left w:val="nil"/>
              <w:bottom w:val="single" w:sz="4" w:space="0" w:color="auto"/>
              <w:right w:val="single" w:sz="4" w:space="0" w:color="auto"/>
            </w:tcBorders>
            <w:shd w:val="clear" w:color="auto" w:fill="auto"/>
            <w:noWrap/>
            <w:vAlign w:val="center"/>
            <w:hideMark/>
          </w:tcPr>
          <w:p w14:paraId="722C94B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1,22</w:t>
            </w:r>
          </w:p>
        </w:tc>
        <w:tc>
          <w:tcPr>
            <w:tcW w:w="1194" w:type="dxa"/>
            <w:tcBorders>
              <w:top w:val="nil"/>
              <w:left w:val="nil"/>
              <w:bottom w:val="single" w:sz="4" w:space="0" w:color="auto"/>
              <w:right w:val="single" w:sz="4" w:space="0" w:color="auto"/>
            </w:tcBorders>
            <w:shd w:val="clear" w:color="auto" w:fill="auto"/>
            <w:noWrap/>
            <w:vAlign w:val="center"/>
            <w:hideMark/>
          </w:tcPr>
          <w:p w14:paraId="33522C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1,29</w:t>
            </w:r>
          </w:p>
        </w:tc>
      </w:tr>
      <w:tr w:rsidR="00BF12D5" w:rsidRPr="00BD0223" w14:paraId="3817C03B"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5BBE39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VALENTIM GENTIL</w:t>
            </w:r>
          </w:p>
        </w:tc>
        <w:tc>
          <w:tcPr>
            <w:tcW w:w="1194" w:type="dxa"/>
            <w:tcBorders>
              <w:top w:val="nil"/>
              <w:left w:val="nil"/>
              <w:bottom w:val="single" w:sz="4" w:space="0" w:color="auto"/>
              <w:right w:val="single" w:sz="4" w:space="0" w:color="auto"/>
            </w:tcBorders>
            <w:shd w:val="clear" w:color="auto" w:fill="auto"/>
            <w:noWrap/>
            <w:vAlign w:val="center"/>
            <w:hideMark/>
          </w:tcPr>
          <w:p w14:paraId="2BA8AC0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1,93</w:t>
            </w:r>
          </w:p>
        </w:tc>
        <w:tc>
          <w:tcPr>
            <w:tcW w:w="1194" w:type="dxa"/>
            <w:tcBorders>
              <w:top w:val="nil"/>
              <w:left w:val="nil"/>
              <w:bottom w:val="single" w:sz="4" w:space="0" w:color="auto"/>
              <w:right w:val="single" w:sz="4" w:space="0" w:color="auto"/>
            </w:tcBorders>
            <w:shd w:val="clear" w:color="auto" w:fill="auto"/>
            <w:noWrap/>
            <w:vAlign w:val="center"/>
            <w:hideMark/>
          </w:tcPr>
          <w:p w14:paraId="00DBF10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1,97</w:t>
            </w:r>
          </w:p>
        </w:tc>
        <w:tc>
          <w:tcPr>
            <w:tcW w:w="1194" w:type="dxa"/>
            <w:tcBorders>
              <w:top w:val="nil"/>
              <w:left w:val="nil"/>
              <w:bottom w:val="single" w:sz="4" w:space="0" w:color="auto"/>
              <w:right w:val="single" w:sz="4" w:space="0" w:color="auto"/>
            </w:tcBorders>
            <w:shd w:val="clear" w:color="auto" w:fill="auto"/>
            <w:noWrap/>
            <w:vAlign w:val="center"/>
            <w:hideMark/>
          </w:tcPr>
          <w:p w14:paraId="10B9FEF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1,94</w:t>
            </w:r>
          </w:p>
        </w:tc>
        <w:tc>
          <w:tcPr>
            <w:tcW w:w="1194" w:type="dxa"/>
            <w:tcBorders>
              <w:top w:val="nil"/>
              <w:left w:val="nil"/>
              <w:bottom w:val="single" w:sz="4" w:space="0" w:color="auto"/>
              <w:right w:val="single" w:sz="4" w:space="0" w:color="auto"/>
            </w:tcBorders>
            <w:shd w:val="clear" w:color="auto" w:fill="auto"/>
            <w:noWrap/>
            <w:vAlign w:val="center"/>
            <w:hideMark/>
          </w:tcPr>
          <w:p w14:paraId="4A7651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1,66</w:t>
            </w:r>
          </w:p>
        </w:tc>
      </w:tr>
      <w:tr w:rsidR="00BF12D5" w:rsidRPr="00BD0223" w14:paraId="79AAD2DD"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02366D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VIRADOURO</w:t>
            </w:r>
          </w:p>
        </w:tc>
        <w:tc>
          <w:tcPr>
            <w:tcW w:w="1194" w:type="dxa"/>
            <w:tcBorders>
              <w:top w:val="nil"/>
              <w:left w:val="nil"/>
              <w:bottom w:val="single" w:sz="4" w:space="0" w:color="auto"/>
              <w:right w:val="single" w:sz="4" w:space="0" w:color="auto"/>
            </w:tcBorders>
            <w:shd w:val="clear" w:color="auto" w:fill="auto"/>
            <w:noWrap/>
            <w:vAlign w:val="center"/>
            <w:hideMark/>
          </w:tcPr>
          <w:p w14:paraId="7D17826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2,09</w:t>
            </w:r>
          </w:p>
        </w:tc>
        <w:tc>
          <w:tcPr>
            <w:tcW w:w="1194" w:type="dxa"/>
            <w:tcBorders>
              <w:top w:val="nil"/>
              <w:left w:val="nil"/>
              <w:bottom w:val="single" w:sz="4" w:space="0" w:color="auto"/>
              <w:right w:val="single" w:sz="4" w:space="0" w:color="auto"/>
            </w:tcBorders>
            <w:shd w:val="clear" w:color="auto" w:fill="auto"/>
            <w:noWrap/>
            <w:vAlign w:val="center"/>
            <w:hideMark/>
          </w:tcPr>
          <w:p w14:paraId="09F3E63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2,17</w:t>
            </w:r>
          </w:p>
        </w:tc>
        <w:tc>
          <w:tcPr>
            <w:tcW w:w="1194" w:type="dxa"/>
            <w:tcBorders>
              <w:top w:val="nil"/>
              <w:left w:val="nil"/>
              <w:bottom w:val="single" w:sz="4" w:space="0" w:color="auto"/>
              <w:right w:val="single" w:sz="4" w:space="0" w:color="auto"/>
            </w:tcBorders>
            <w:shd w:val="clear" w:color="auto" w:fill="auto"/>
            <w:noWrap/>
            <w:vAlign w:val="center"/>
            <w:hideMark/>
          </w:tcPr>
          <w:p w14:paraId="6CD2DF1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2,49</w:t>
            </w:r>
          </w:p>
        </w:tc>
        <w:tc>
          <w:tcPr>
            <w:tcW w:w="1194" w:type="dxa"/>
            <w:tcBorders>
              <w:top w:val="nil"/>
              <w:left w:val="nil"/>
              <w:bottom w:val="single" w:sz="4" w:space="0" w:color="auto"/>
              <w:right w:val="single" w:sz="4" w:space="0" w:color="auto"/>
            </w:tcBorders>
            <w:shd w:val="clear" w:color="auto" w:fill="auto"/>
            <w:noWrap/>
            <w:vAlign w:val="center"/>
            <w:hideMark/>
          </w:tcPr>
          <w:p w14:paraId="70C611E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2,07</w:t>
            </w:r>
          </w:p>
        </w:tc>
      </w:tr>
      <w:tr w:rsidR="00BF12D5" w:rsidRPr="00BD0223" w14:paraId="69E55F3D" w14:textId="77777777" w:rsidTr="0039539B">
        <w:trPr>
          <w:trHeight w:val="320"/>
          <w:jc w:val="center"/>
        </w:trPr>
        <w:tc>
          <w:tcPr>
            <w:tcW w:w="4285" w:type="dxa"/>
            <w:tcBorders>
              <w:top w:val="nil"/>
              <w:left w:val="single" w:sz="4" w:space="0" w:color="auto"/>
              <w:bottom w:val="single" w:sz="4" w:space="0" w:color="auto"/>
              <w:right w:val="single" w:sz="4" w:space="0" w:color="auto"/>
            </w:tcBorders>
            <w:shd w:val="clear" w:color="auto" w:fill="auto"/>
            <w:noWrap/>
            <w:vAlign w:val="center"/>
            <w:hideMark/>
          </w:tcPr>
          <w:p w14:paraId="29686E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VISTA ALEGRE DO ALTO</w:t>
            </w:r>
          </w:p>
        </w:tc>
        <w:tc>
          <w:tcPr>
            <w:tcW w:w="1194" w:type="dxa"/>
            <w:tcBorders>
              <w:top w:val="nil"/>
              <w:left w:val="nil"/>
              <w:bottom w:val="single" w:sz="4" w:space="0" w:color="auto"/>
              <w:right w:val="single" w:sz="4" w:space="0" w:color="auto"/>
            </w:tcBorders>
            <w:shd w:val="clear" w:color="auto" w:fill="auto"/>
            <w:noWrap/>
            <w:vAlign w:val="center"/>
            <w:hideMark/>
          </w:tcPr>
          <w:p w14:paraId="266ECA4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0,90</w:t>
            </w:r>
          </w:p>
        </w:tc>
        <w:tc>
          <w:tcPr>
            <w:tcW w:w="1194" w:type="dxa"/>
            <w:tcBorders>
              <w:top w:val="nil"/>
              <w:left w:val="nil"/>
              <w:bottom w:val="single" w:sz="4" w:space="0" w:color="auto"/>
              <w:right w:val="single" w:sz="4" w:space="0" w:color="auto"/>
            </w:tcBorders>
            <w:shd w:val="clear" w:color="auto" w:fill="auto"/>
            <w:noWrap/>
            <w:vAlign w:val="center"/>
            <w:hideMark/>
          </w:tcPr>
          <w:p w14:paraId="03537E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1,03</w:t>
            </w:r>
          </w:p>
        </w:tc>
        <w:tc>
          <w:tcPr>
            <w:tcW w:w="1194" w:type="dxa"/>
            <w:tcBorders>
              <w:top w:val="nil"/>
              <w:left w:val="nil"/>
              <w:bottom w:val="single" w:sz="4" w:space="0" w:color="auto"/>
              <w:right w:val="single" w:sz="4" w:space="0" w:color="auto"/>
            </w:tcBorders>
            <w:shd w:val="clear" w:color="auto" w:fill="auto"/>
            <w:noWrap/>
            <w:vAlign w:val="center"/>
            <w:hideMark/>
          </w:tcPr>
          <w:p w14:paraId="3530A8F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1,04</w:t>
            </w:r>
          </w:p>
        </w:tc>
        <w:tc>
          <w:tcPr>
            <w:tcW w:w="1194" w:type="dxa"/>
            <w:tcBorders>
              <w:top w:val="nil"/>
              <w:left w:val="nil"/>
              <w:bottom w:val="single" w:sz="4" w:space="0" w:color="auto"/>
              <w:right w:val="single" w:sz="4" w:space="0" w:color="auto"/>
            </w:tcBorders>
            <w:shd w:val="clear" w:color="auto" w:fill="auto"/>
            <w:noWrap/>
            <w:vAlign w:val="center"/>
            <w:hideMark/>
          </w:tcPr>
          <w:p w14:paraId="26CEE2F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0,78</w:t>
            </w:r>
          </w:p>
        </w:tc>
      </w:tr>
    </w:tbl>
    <w:p w14:paraId="1F8394A2" w14:textId="77777777" w:rsidR="00BF12D5" w:rsidRPr="008D398D" w:rsidRDefault="00BF12D5" w:rsidP="00BF12D5">
      <w:pPr>
        <w:pStyle w:val="Ttabela-fonte"/>
        <w:rPr>
          <w:color w:val="FF0000"/>
        </w:rPr>
      </w:pPr>
      <w:r w:rsidRPr="00BD0223">
        <w:t>Fonte: ANP</w:t>
      </w:r>
      <w:r>
        <w:t xml:space="preserve">. </w:t>
      </w:r>
      <w:r w:rsidRPr="00906965">
        <w:t>Elaboração do Autor</w:t>
      </w:r>
      <w:r w:rsidRPr="008D398D">
        <w:rPr>
          <w:color w:val="FF0000"/>
        </w:rPr>
        <w:t>.</w:t>
      </w:r>
    </w:p>
    <w:p w14:paraId="15E9CCCB" w14:textId="56D46F3C" w:rsidR="00BF12D5" w:rsidRDefault="00BF12D5" w:rsidP="00BF12D5">
      <w:r>
        <w:br w:type="page"/>
      </w:r>
    </w:p>
    <w:p w14:paraId="4562353A" w14:textId="77777777" w:rsidR="00BF12D5" w:rsidRPr="00BD0223" w:rsidRDefault="00BF12D5" w:rsidP="00BF12D5">
      <w:pPr>
        <w:pStyle w:val="Tfigura-titulo"/>
        <w:jc w:val="both"/>
      </w:pPr>
      <w:r w:rsidRPr="00BD0223">
        <w:lastRenderedPageBreak/>
        <w:t xml:space="preserve">Tabela 17 - Vendas de óleo diesel, em milhões de litros, de </w:t>
      </w:r>
      <w:r>
        <w:t>municípios</w:t>
      </w:r>
      <w:r w:rsidRPr="00BD0223">
        <w:t xml:space="preserve"> selecionad</w:t>
      </w:r>
      <w:r>
        <w:t>o</w:t>
      </w:r>
      <w:r w:rsidRPr="00BD0223">
        <w:t xml:space="preserve">s do Triângulo Mineiro das </w:t>
      </w:r>
      <w:r>
        <w:t>M</w:t>
      </w:r>
      <w:r w:rsidRPr="00BD0223">
        <w:t>icrorregiões de Uberlândia, Uberaba, Frutal e Ituiutaba de 2010 a 2014.</w:t>
      </w:r>
    </w:p>
    <w:tbl>
      <w:tblPr>
        <w:tblW w:w="5000" w:type="pct"/>
        <w:jc w:val="center"/>
        <w:tblCellMar>
          <w:left w:w="70" w:type="dxa"/>
          <w:right w:w="70" w:type="dxa"/>
        </w:tblCellMar>
        <w:tblLook w:val="04A0" w:firstRow="1" w:lastRow="0" w:firstColumn="1" w:lastColumn="0" w:noHBand="0" w:noVBand="1"/>
      </w:tblPr>
      <w:tblGrid>
        <w:gridCol w:w="3151"/>
        <w:gridCol w:w="1182"/>
        <w:gridCol w:w="1182"/>
        <w:gridCol w:w="1182"/>
        <w:gridCol w:w="1182"/>
        <w:gridCol w:w="1182"/>
      </w:tblGrid>
      <w:tr w:rsidR="00BF12D5" w:rsidRPr="001C03A7" w14:paraId="23DF963C" w14:textId="77777777" w:rsidTr="0039539B">
        <w:trPr>
          <w:trHeight w:val="303"/>
          <w:tblHeader/>
          <w:jc w:val="center"/>
        </w:trPr>
        <w:tc>
          <w:tcPr>
            <w:tcW w:w="31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0D5B9"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 </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2C340A60"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2010</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637EDB7E"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2011</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14B749B7"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2012</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693BC42"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2013</w:t>
            </w: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7CAA1474"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2014</w:t>
            </w:r>
          </w:p>
        </w:tc>
      </w:tr>
      <w:tr w:rsidR="00BF12D5" w:rsidRPr="00BD0223" w14:paraId="0973C050"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53934B7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ÁGUA COMPRIDA</w:t>
            </w:r>
          </w:p>
        </w:tc>
        <w:tc>
          <w:tcPr>
            <w:tcW w:w="1182" w:type="dxa"/>
            <w:tcBorders>
              <w:top w:val="nil"/>
              <w:left w:val="nil"/>
              <w:bottom w:val="single" w:sz="4" w:space="0" w:color="auto"/>
              <w:right w:val="single" w:sz="4" w:space="0" w:color="auto"/>
            </w:tcBorders>
            <w:shd w:val="clear" w:color="auto" w:fill="auto"/>
            <w:noWrap/>
            <w:vAlign w:val="center"/>
            <w:hideMark/>
          </w:tcPr>
          <w:p w14:paraId="54C2317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5,74</w:t>
            </w:r>
          </w:p>
        </w:tc>
        <w:tc>
          <w:tcPr>
            <w:tcW w:w="1182" w:type="dxa"/>
            <w:tcBorders>
              <w:top w:val="nil"/>
              <w:left w:val="nil"/>
              <w:bottom w:val="single" w:sz="4" w:space="0" w:color="auto"/>
              <w:right w:val="single" w:sz="4" w:space="0" w:color="auto"/>
            </w:tcBorders>
            <w:shd w:val="clear" w:color="auto" w:fill="auto"/>
            <w:noWrap/>
            <w:vAlign w:val="center"/>
            <w:hideMark/>
          </w:tcPr>
          <w:p w14:paraId="38F0DF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5,48</w:t>
            </w:r>
          </w:p>
        </w:tc>
        <w:tc>
          <w:tcPr>
            <w:tcW w:w="1182" w:type="dxa"/>
            <w:tcBorders>
              <w:top w:val="nil"/>
              <w:left w:val="nil"/>
              <w:bottom w:val="single" w:sz="4" w:space="0" w:color="auto"/>
              <w:right w:val="single" w:sz="4" w:space="0" w:color="auto"/>
            </w:tcBorders>
            <w:shd w:val="clear" w:color="auto" w:fill="auto"/>
            <w:noWrap/>
            <w:vAlign w:val="center"/>
            <w:hideMark/>
          </w:tcPr>
          <w:p w14:paraId="0BC3A4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4,89</w:t>
            </w:r>
          </w:p>
        </w:tc>
        <w:tc>
          <w:tcPr>
            <w:tcW w:w="1182" w:type="dxa"/>
            <w:tcBorders>
              <w:top w:val="nil"/>
              <w:left w:val="nil"/>
              <w:bottom w:val="single" w:sz="4" w:space="0" w:color="auto"/>
              <w:right w:val="single" w:sz="4" w:space="0" w:color="auto"/>
            </w:tcBorders>
            <w:shd w:val="clear" w:color="auto" w:fill="auto"/>
            <w:noWrap/>
            <w:vAlign w:val="center"/>
            <w:hideMark/>
          </w:tcPr>
          <w:p w14:paraId="6B7F639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5,56</w:t>
            </w:r>
          </w:p>
        </w:tc>
        <w:tc>
          <w:tcPr>
            <w:tcW w:w="1182" w:type="dxa"/>
            <w:tcBorders>
              <w:top w:val="nil"/>
              <w:left w:val="nil"/>
              <w:bottom w:val="single" w:sz="4" w:space="0" w:color="auto"/>
              <w:right w:val="single" w:sz="4" w:space="0" w:color="auto"/>
            </w:tcBorders>
            <w:shd w:val="clear" w:color="auto" w:fill="auto"/>
            <w:noWrap/>
            <w:vAlign w:val="center"/>
            <w:hideMark/>
          </w:tcPr>
          <w:p w14:paraId="111C65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5,35</w:t>
            </w:r>
          </w:p>
        </w:tc>
      </w:tr>
      <w:tr w:rsidR="00BF12D5" w:rsidRPr="00BD0223" w14:paraId="097149C5"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38A562F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ARAGUARI</w:t>
            </w:r>
          </w:p>
        </w:tc>
        <w:tc>
          <w:tcPr>
            <w:tcW w:w="1182" w:type="dxa"/>
            <w:tcBorders>
              <w:top w:val="nil"/>
              <w:left w:val="nil"/>
              <w:bottom w:val="single" w:sz="4" w:space="0" w:color="auto"/>
              <w:right w:val="single" w:sz="4" w:space="0" w:color="auto"/>
            </w:tcBorders>
            <w:shd w:val="clear" w:color="auto" w:fill="auto"/>
            <w:noWrap/>
            <w:vAlign w:val="center"/>
            <w:hideMark/>
          </w:tcPr>
          <w:p w14:paraId="3BD2E7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64,80</w:t>
            </w:r>
          </w:p>
        </w:tc>
        <w:tc>
          <w:tcPr>
            <w:tcW w:w="1182" w:type="dxa"/>
            <w:tcBorders>
              <w:top w:val="nil"/>
              <w:left w:val="nil"/>
              <w:bottom w:val="single" w:sz="4" w:space="0" w:color="auto"/>
              <w:right w:val="single" w:sz="4" w:space="0" w:color="auto"/>
            </w:tcBorders>
            <w:shd w:val="clear" w:color="auto" w:fill="auto"/>
            <w:noWrap/>
            <w:vAlign w:val="center"/>
            <w:hideMark/>
          </w:tcPr>
          <w:p w14:paraId="24FCED0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62,45</w:t>
            </w:r>
          </w:p>
        </w:tc>
        <w:tc>
          <w:tcPr>
            <w:tcW w:w="1182" w:type="dxa"/>
            <w:tcBorders>
              <w:top w:val="nil"/>
              <w:left w:val="nil"/>
              <w:bottom w:val="single" w:sz="4" w:space="0" w:color="auto"/>
              <w:right w:val="single" w:sz="4" w:space="0" w:color="auto"/>
            </w:tcBorders>
            <w:shd w:val="clear" w:color="auto" w:fill="auto"/>
            <w:noWrap/>
            <w:vAlign w:val="center"/>
            <w:hideMark/>
          </w:tcPr>
          <w:p w14:paraId="161D899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57,81</w:t>
            </w:r>
          </w:p>
        </w:tc>
        <w:tc>
          <w:tcPr>
            <w:tcW w:w="1182" w:type="dxa"/>
            <w:tcBorders>
              <w:top w:val="nil"/>
              <w:left w:val="nil"/>
              <w:bottom w:val="single" w:sz="4" w:space="0" w:color="auto"/>
              <w:right w:val="single" w:sz="4" w:space="0" w:color="auto"/>
            </w:tcBorders>
            <w:shd w:val="clear" w:color="auto" w:fill="auto"/>
            <w:noWrap/>
            <w:vAlign w:val="center"/>
            <w:hideMark/>
          </w:tcPr>
          <w:p w14:paraId="06346F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47,63</w:t>
            </w:r>
          </w:p>
        </w:tc>
        <w:tc>
          <w:tcPr>
            <w:tcW w:w="1182" w:type="dxa"/>
            <w:tcBorders>
              <w:top w:val="nil"/>
              <w:left w:val="nil"/>
              <w:bottom w:val="single" w:sz="4" w:space="0" w:color="auto"/>
              <w:right w:val="single" w:sz="4" w:space="0" w:color="auto"/>
            </w:tcBorders>
            <w:shd w:val="clear" w:color="auto" w:fill="auto"/>
            <w:noWrap/>
            <w:vAlign w:val="center"/>
            <w:hideMark/>
          </w:tcPr>
          <w:p w14:paraId="24A92EB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48,09</w:t>
            </w:r>
          </w:p>
        </w:tc>
      </w:tr>
      <w:tr w:rsidR="00BF12D5" w:rsidRPr="00BD0223" w14:paraId="613C8260"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5A27BB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ARAPORA</w:t>
            </w:r>
          </w:p>
        </w:tc>
        <w:tc>
          <w:tcPr>
            <w:tcW w:w="1182" w:type="dxa"/>
            <w:tcBorders>
              <w:top w:val="nil"/>
              <w:left w:val="nil"/>
              <w:bottom w:val="single" w:sz="4" w:space="0" w:color="auto"/>
              <w:right w:val="single" w:sz="4" w:space="0" w:color="auto"/>
            </w:tcBorders>
            <w:shd w:val="clear" w:color="auto" w:fill="auto"/>
            <w:noWrap/>
            <w:vAlign w:val="center"/>
            <w:hideMark/>
          </w:tcPr>
          <w:p w14:paraId="415681C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72,60</w:t>
            </w:r>
          </w:p>
        </w:tc>
        <w:tc>
          <w:tcPr>
            <w:tcW w:w="1182" w:type="dxa"/>
            <w:tcBorders>
              <w:top w:val="nil"/>
              <w:left w:val="nil"/>
              <w:bottom w:val="single" w:sz="4" w:space="0" w:color="auto"/>
              <w:right w:val="single" w:sz="4" w:space="0" w:color="auto"/>
            </w:tcBorders>
            <w:shd w:val="clear" w:color="auto" w:fill="auto"/>
            <w:noWrap/>
            <w:vAlign w:val="center"/>
            <w:hideMark/>
          </w:tcPr>
          <w:p w14:paraId="2EBEA60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83,78</w:t>
            </w:r>
          </w:p>
        </w:tc>
        <w:tc>
          <w:tcPr>
            <w:tcW w:w="1182" w:type="dxa"/>
            <w:tcBorders>
              <w:top w:val="nil"/>
              <w:left w:val="nil"/>
              <w:bottom w:val="single" w:sz="4" w:space="0" w:color="auto"/>
              <w:right w:val="single" w:sz="4" w:space="0" w:color="auto"/>
            </w:tcBorders>
            <w:shd w:val="clear" w:color="auto" w:fill="auto"/>
            <w:noWrap/>
            <w:vAlign w:val="center"/>
            <w:hideMark/>
          </w:tcPr>
          <w:p w14:paraId="62F3835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81,05</w:t>
            </w:r>
          </w:p>
        </w:tc>
        <w:tc>
          <w:tcPr>
            <w:tcW w:w="1182" w:type="dxa"/>
            <w:tcBorders>
              <w:top w:val="nil"/>
              <w:left w:val="nil"/>
              <w:bottom w:val="single" w:sz="4" w:space="0" w:color="auto"/>
              <w:right w:val="single" w:sz="4" w:space="0" w:color="auto"/>
            </w:tcBorders>
            <w:shd w:val="clear" w:color="auto" w:fill="auto"/>
            <w:noWrap/>
            <w:vAlign w:val="center"/>
            <w:hideMark/>
          </w:tcPr>
          <w:p w14:paraId="3301F6D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67,91</w:t>
            </w:r>
          </w:p>
        </w:tc>
        <w:tc>
          <w:tcPr>
            <w:tcW w:w="1182" w:type="dxa"/>
            <w:tcBorders>
              <w:top w:val="nil"/>
              <w:left w:val="nil"/>
              <w:bottom w:val="single" w:sz="4" w:space="0" w:color="auto"/>
              <w:right w:val="single" w:sz="4" w:space="0" w:color="auto"/>
            </w:tcBorders>
            <w:shd w:val="clear" w:color="auto" w:fill="auto"/>
            <w:noWrap/>
            <w:vAlign w:val="center"/>
            <w:hideMark/>
          </w:tcPr>
          <w:p w14:paraId="6D689C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73,24</w:t>
            </w:r>
          </w:p>
        </w:tc>
      </w:tr>
      <w:tr w:rsidR="00BF12D5" w:rsidRPr="00BD0223" w14:paraId="0CD3FBAD"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69628BD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CAMPINA VERDE</w:t>
            </w:r>
          </w:p>
        </w:tc>
        <w:tc>
          <w:tcPr>
            <w:tcW w:w="1182" w:type="dxa"/>
            <w:tcBorders>
              <w:top w:val="nil"/>
              <w:left w:val="nil"/>
              <w:bottom w:val="single" w:sz="4" w:space="0" w:color="auto"/>
              <w:right w:val="single" w:sz="4" w:space="0" w:color="auto"/>
            </w:tcBorders>
            <w:shd w:val="clear" w:color="auto" w:fill="auto"/>
            <w:noWrap/>
            <w:vAlign w:val="center"/>
            <w:hideMark/>
          </w:tcPr>
          <w:p w14:paraId="049BB7B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3,71</w:t>
            </w:r>
          </w:p>
        </w:tc>
        <w:tc>
          <w:tcPr>
            <w:tcW w:w="1182" w:type="dxa"/>
            <w:tcBorders>
              <w:top w:val="nil"/>
              <w:left w:val="nil"/>
              <w:bottom w:val="single" w:sz="4" w:space="0" w:color="auto"/>
              <w:right w:val="single" w:sz="4" w:space="0" w:color="auto"/>
            </w:tcBorders>
            <w:shd w:val="clear" w:color="auto" w:fill="auto"/>
            <w:noWrap/>
            <w:vAlign w:val="center"/>
            <w:hideMark/>
          </w:tcPr>
          <w:p w14:paraId="64E282B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5,22</w:t>
            </w:r>
          </w:p>
        </w:tc>
        <w:tc>
          <w:tcPr>
            <w:tcW w:w="1182" w:type="dxa"/>
            <w:tcBorders>
              <w:top w:val="nil"/>
              <w:left w:val="nil"/>
              <w:bottom w:val="single" w:sz="4" w:space="0" w:color="auto"/>
              <w:right w:val="single" w:sz="4" w:space="0" w:color="auto"/>
            </w:tcBorders>
            <w:shd w:val="clear" w:color="auto" w:fill="auto"/>
            <w:noWrap/>
            <w:vAlign w:val="center"/>
            <w:hideMark/>
          </w:tcPr>
          <w:p w14:paraId="60BDDE5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3,63</w:t>
            </w:r>
          </w:p>
        </w:tc>
        <w:tc>
          <w:tcPr>
            <w:tcW w:w="1182" w:type="dxa"/>
            <w:tcBorders>
              <w:top w:val="nil"/>
              <w:left w:val="nil"/>
              <w:bottom w:val="single" w:sz="4" w:space="0" w:color="auto"/>
              <w:right w:val="single" w:sz="4" w:space="0" w:color="auto"/>
            </w:tcBorders>
            <w:shd w:val="clear" w:color="auto" w:fill="auto"/>
            <w:noWrap/>
            <w:vAlign w:val="center"/>
            <w:hideMark/>
          </w:tcPr>
          <w:p w14:paraId="6F0819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4,01</w:t>
            </w:r>
          </w:p>
        </w:tc>
        <w:tc>
          <w:tcPr>
            <w:tcW w:w="1182" w:type="dxa"/>
            <w:tcBorders>
              <w:top w:val="nil"/>
              <w:left w:val="nil"/>
              <w:bottom w:val="single" w:sz="4" w:space="0" w:color="auto"/>
              <w:right w:val="single" w:sz="4" w:space="0" w:color="auto"/>
            </w:tcBorders>
            <w:shd w:val="clear" w:color="auto" w:fill="auto"/>
            <w:noWrap/>
            <w:vAlign w:val="center"/>
            <w:hideMark/>
          </w:tcPr>
          <w:p w14:paraId="24B9F40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4,04</w:t>
            </w:r>
          </w:p>
        </w:tc>
      </w:tr>
      <w:tr w:rsidR="00BF12D5" w:rsidRPr="00BD0223" w14:paraId="54DA8311"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3B6ADF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CAMPO FLORIDO</w:t>
            </w:r>
          </w:p>
        </w:tc>
        <w:tc>
          <w:tcPr>
            <w:tcW w:w="1182" w:type="dxa"/>
            <w:tcBorders>
              <w:top w:val="nil"/>
              <w:left w:val="nil"/>
              <w:bottom w:val="single" w:sz="4" w:space="0" w:color="auto"/>
              <w:right w:val="single" w:sz="4" w:space="0" w:color="auto"/>
            </w:tcBorders>
            <w:shd w:val="clear" w:color="auto" w:fill="auto"/>
            <w:noWrap/>
            <w:vAlign w:val="center"/>
            <w:hideMark/>
          </w:tcPr>
          <w:p w14:paraId="0E15F88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8,82</w:t>
            </w:r>
          </w:p>
        </w:tc>
        <w:tc>
          <w:tcPr>
            <w:tcW w:w="1182" w:type="dxa"/>
            <w:tcBorders>
              <w:top w:val="nil"/>
              <w:left w:val="nil"/>
              <w:bottom w:val="single" w:sz="4" w:space="0" w:color="auto"/>
              <w:right w:val="single" w:sz="4" w:space="0" w:color="auto"/>
            </w:tcBorders>
            <w:shd w:val="clear" w:color="auto" w:fill="auto"/>
            <w:noWrap/>
            <w:vAlign w:val="center"/>
            <w:hideMark/>
          </w:tcPr>
          <w:p w14:paraId="7BEB321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8,10</w:t>
            </w:r>
          </w:p>
        </w:tc>
        <w:tc>
          <w:tcPr>
            <w:tcW w:w="1182" w:type="dxa"/>
            <w:tcBorders>
              <w:top w:val="nil"/>
              <w:left w:val="nil"/>
              <w:bottom w:val="single" w:sz="4" w:space="0" w:color="auto"/>
              <w:right w:val="single" w:sz="4" w:space="0" w:color="auto"/>
            </w:tcBorders>
            <w:shd w:val="clear" w:color="auto" w:fill="auto"/>
            <w:noWrap/>
            <w:vAlign w:val="center"/>
            <w:hideMark/>
          </w:tcPr>
          <w:p w14:paraId="08EDBCA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9,91</w:t>
            </w:r>
          </w:p>
        </w:tc>
        <w:tc>
          <w:tcPr>
            <w:tcW w:w="1182" w:type="dxa"/>
            <w:tcBorders>
              <w:top w:val="nil"/>
              <w:left w:val="nil"/>
              <w:bottom w:val="single" w:sz="4" w:space="0" w:color="auto"/>
              <w:right w:val="single" w:sz="4" w:space="0" w:color="auto"/>
            </w:tcBorders>
            <w:shd w:val="clear" w:color="auto" w:fill="auto"/>
            <w:noWrap/>
            <w:vAlign w:val="center"/>
            <w:hideMark/>
          </w:tcPr>
          <w:p w14:paraId="236A34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10,92</w:t>
            </w:r>
          </w:p>
        </w:tc>
        <w:tc>
          <w:tcPr>
            <w:tcW w:w="1182" w:type="dxa"/>
            <w:tcBorders>
              <w:top w:val="nil"/>
              <w:left w:val="nil"/>
              <w:bottom w:val="single" w:sz="4" w:space="0" w:color="auto"/>
              <w:right w:val="single" w:sz="4" w:space="0" w:color="auto"/>
            </w:tcBorders>
            <w:shd w:val="clear" w:color="auto" w:fill="auto"/>
            <w:noWrap/>
            <w:vAlign w:val="center"/>
            <w:hideMark/>
          </w:tcPr>
          <w:p w14:paraId="3C66F53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11,78</w:t>
            </w:r>
          </w:p>
        </w:tc>
      </w:tr>
      <w:tr w:rsidR="00BF12D5" w:rsidRPr="00BD0223" w14:paraId="5B97437B"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5DE30A9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CANAPOLIS</w:t>
            </w:r>
          </w:p>
        </w:tc>
        <w:tc>
          <w:tcPr>
            <w:tcW w:w="1182" w:type="dxa"/>
            <w:tcBorders>
              <w:top w:val="nil"/>
              <w:left w:val="nil"/>
              <w:bottom w:val="single" w:sz="4" w:space="0" w:color="auto"/>
              <w:right w:val="single" w:sz="4" w:space="0" w:color="auto"/>
            </w:tcBorders>
            <w:shd w:val="clear" w:color="auto" w:fill="auto"/>
            <w:noWrap/>
            <w:vAlign w:val="center"/>
            <w:hideMark/>
          </w:tcPr>
          <w:p w14:paraId="6A199CB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7,17</w:t>
            </w:r>
          </w:p>
        </w:tc>
        <w:tc>
          <w:tcPr>
            <w:tcW w:w="1182" w:type="dxa"/>
            <w:tcBorders>
              <w:top w:val="nil"/>
              <w:left w:val="nil"/>
              <w:bottom w:val="single" w:sz="4" w:space="0" w:color="auto"/>
              <w:right w:val="single" w:sz="4" w:space="0" w:color="auto"/>
            </w:tcBorders>
            <w:shd w:val="clear" w:color="auto" w:fill="auto"/>
            <w:noWrap/>
            <w:vAlign w:val="center"/>
            <w:hideMark/>
          </w:tcPr>
          <w:p w14:paraId="739E07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6,07</w:t>
            </w:r>
          </w:p>
        </w:tc>
        <w:tc>
          <w:tcPr>
            <w:tcW w:w="1182" w:type="dxa"/>
            <w:tcBorders>
              <w:top w:val="nil"/>
              <w:left w:val="nil"/>
              <w:bottom w:val="single" w:sz="4" w:space="0" w:color="auto"/>
              <w:right w:val="single" w:sz="4" w:space="0" w:color="auto"/>
            </w:tcBorders>
            <w:shd w:val="clear" w:color="auto" w:fill="auto"/>
            <w:noWrap/>
            <w:vAlign w:val="center"/>
            <w:hideMark/>
          </w:tcPr>
          <w:p w14:paraId="108801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3,11</w:t>
            </w:r>
          </w:p>
        </w:tc>
        <w:tc>
          <w:tcPr>
            <w:tcW w:w="1182" w:type="dxa"/>
            <w:tcBorders>
              <w:top w:val="nil"/>
              <w:left w:val="nil"/>
              <w:bottom w:val="single" w:sz="4" w:space="0" w:color="auto"/>
              <w:right w:val="single" w:sz="4" w:space="0" w:color="auto"/>
            </w:tcBorders>
            <w:shd w:val="clear" w:color="auto" w:fill="auto"/>
            <w:noWrap/>
            <w:vAlign w:val="center"/>
            <w:hideMark/>
          </w:tcPr>
          <w:p w14:paraId="4CA9C0D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4,33</w:t>
            </w:r>
          </w:p>
        </w:tc>
        <w:tc>
          <w:tcPr>
            <w:tcW w:w="1182" w:type="dxa"/>
            <w:tcBorders>
              <w:top w:val="nil"/>
              <w:left w:val="nil"/>
              <w:bottom w:val="single" w:sz="4" w:space="0" w:color="auto"/>
              <w:right w:val="single" w:sz="4" w:space="0" w:color="auto"/>
            </w:tcBorders>
            <w:shd w:val="clear" w:color="auto" w:fill="auto"/>
            <w:noWrap/>
            <w:vAlign w:val="center"/>
            <w:hideMark/>
          </w:tcPr>
          <w:p w14:paraId="27574F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3,55</w:t>
            </w:r>
          </w:p>
        </w:tc>
      </w:tr>
      <w:tr w:rsidR="00BF12D5" w:rsidRPr="00BD0223" w14:paraId="7FC56515"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5504BE0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CAPINOPOLIS</w:t>
            </w:r>
          </w:p>
        </w:tc>
        <w:tc>
          <w:tcPr>
            <w:tcW w:w="1182" w:type="dxa"/>
            <w:tcBorders>
              <w:top w:val="nil"/>
              <w:left w:val="nil"/>
              <w:bottom w:val="single" w:sz="4" w:space="0" w:color="auto"/>
              <w:right w:val="single" w:sz="4" w:space="0" w:color="auto"/>
            </w:tcBorders>
            <w:shd w:val="clear" w:color="auto" w:fill="auto"/>
            <w:noWrap/>
            <w:vAlign w:val="center"/>
            <w:hideMark/>
          </w:tcPr>
          <w:p w14:paraId="31FA94B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7,29</w:t>
            </w:r>
          </w:p>
        </w:tc>
        <w:tc>
          <w:tcPr>
            <w:tcW w:w="1182" w:type="dxa"/>
            <w:tcBorders>
              <w:top w:val="nil"/>
              <w:left w:val="nil"/>
              <w:bottom w:val="single" w:sz="4" w:space="0" w:color="auto"/>
              <w:right w:val="single" w:sz="4" w:space="0" w:color="auto"/>
            </w:tcBorders>
            <w:shd w:val="clear" w:color="auto" w:fill="auto"/>
            <w:noWrap/>
            <w:vAlign w:val="center"/>
            <w:hideMark/>
          </w:tcPr>
          <w:p w14:paraId="7528149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7,56</w:t>
            </w:r>
          </w:p>
        </w:tc>
        <w:tc>
          <w:tcPr>
            <w:tcW w:w="1182" w:type="dxa"/>
            <w:tcBorders>
              <w:top w:val="nil"/>
              <w:left w:val="nil"/>
              <w:bottom w:val="single" w:sz="4" w:space="0" w:color="auto"/>
              <w:right w:val="single" w:sz="4" w:space="0" w:color="auto"/>
            </w:tcBorders>
            <w:shd w:val="clear" w:color="auto" w:fill="auto"/>
            <w:noWrap/>
            <w:vAlign w:val="center"/>
            <w:hideMark/>
          </w:tcPr>
          <w:p w14:paraId="1DAA8BB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5,83</w:t>
            </w:r>
          </w:p>
        </w:tc>
        <w:tc>
          <w:tcPr>
            <w:tcW w:w="1182" w:type="dxa"/>
            <w:tcBorders>
              <w:top w:val="nil"/>
              <w:left w:val="nil"/>
              <w:bottom w:val="single" w:sz="4" w:space="0" w:color="auto"/>
              <w:right w:val="single" w:sz="4" w:space="0" w:color="auto"/>
            </w:tcBorders>
            <w:shd w:val="clear" w:color="auto" w:fill="auto"/>
            <w:noWrap/>
            <w:vAlign w:val="center"/>
            <w:hideMark/>
          </w:tcPr>
          <w:p w14:paraId="32BFDC5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7,04</w:t>
            </w:r>
          </w:p>
        </w:tc>
        <w:tc>
          <w:tcPr>
            <w:tcW w:w="1182" w:type="dxa"/>
            <w:tcBorders>
              <w:top w:val="nil"/>
              <w:left w:val="nil"/>
              <w:bottom w:val="single" w:sz="4" w:space="0" w:color="auto"/>
              <w:right w:val="single" w:sz="4" w:space="0" w:color="auto"/>
            </w:tcBorders>
            <w:shd w:val="clear" w:color="auto" w:fill="auto"/>
            <w:noWrap/>
            <w:vAlign w:val="center"/>
            <w:hideMark/>
          </w:tcPr>
          <w:p w14:paraId="05754A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5,49</w:t>
            </w:r>
          </w:p>
        </w:tc>
      </w:tr>
      <w:tr w:rsidR="00BF12D5" w:rsidRPr="00BD0223" w14:paraId="15D5D825"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52C3D94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CARNEIRINHO</w:t>
            </w:r>
          </w:p>
        </w:tc>
        <w:tc>
          <w:tcPr>
            <w:tcW w:w="1182" w:type="dxa"/>
            <w:tcBorders>
              <w:top w:val="nil"/>
              <w:left w:val="nil"/>
              <w:bottom w:val="single" w:sz="4" w:space="0" w:color="auto"/>
              <w:right w:val="single" w:sz="4" w:space="0" w:color="auto"/>
            </w:tcBorders>
            <w:shd w:val="clear" w:color="auto" w:fill="auto"/>
            <w:noWrap/>
            <w:vAlign w:val="center"/>
            <w:hideMark/>
          </w:tcPr>
          <w:p w14:paraId="3E7456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6,62</w:t>
            </w:r>
          </w:p>
        </w:tc>
        <w:tc>
          <w:tcPr>
            <w:tcW w:w="1182" w:type="dxa"/>
            <w:tcBorders>
              <w:top w:val="nil"/>
              <w:left w:val="nil"/>
              <w:bottom w:val="single" w:sz="4" w:space="0" w:color="auto"/>
              <w:right w:val="single" w:sz="4" w:space="0" w:color="auto"/>
            </w:tcBorders>
            <w:shd w:val="clear" w:color="auto" w:fill="auto"/>
            <w:noWrap/>
            <w:vAlign w:val="center"/>
            <w:hideMark/>
          </w:tcPr>
          <w:p w14:paraId="1032218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6,80</w:t>
            </w:r>
          </w:p>
        </w:tc>
        <w:tc>
          <w:tcPr>
            <w:tcW w:w="1182" w:type="dxa"/>
            <w:tcBorders>
              <w:top w:val="nil"/>
              <w:left w:val="nil"/>
              <w:bottom w:val="single" w:sz="4" w:space="0" w:color="auto"/>
              <w:right w:val="single" w:sz="4" w:space="0" w:color="auto"/>
            </w:tcBorders>
            <w:shd w:val="clear" w:color="auto" w:fill="auto"/>
            <w:noWrap/>
            <w:vAlign w:val="center"/>
            <w:hideMark/>
          </w:tcPr>
          <w:p w14:paraId="6E3C2C7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6,95</w:t>
            </w:r>
          </w:p>
        </w:tc>
        <w:tc>
          <w:tcPr>
            <w:tcW w:w="1182" w:type="dxa"/>
            <w:tcBorders>
              <w:top w:val="nil"/>
              <w:left w:val="nil"/>
              <w:bottom w:val="single" w:sz="4" w:space="0" w:color="auto"/>
              <w:right w:val="single" w:sz="4" w:space="0" w:color="auto"/>
            </w:tcBorders>
            <w:shd w:val="clear" w:color="auto" w:fill="auto"/>
            <w:noWrap/>
            <w:vAlign w:val="center"/>
            <w:hideMark/>
          </w:tcPr>
          <w:p w14:paraId="158228C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6,83</w:t>
            </w:r>
          </w:p>
        </w:tc>
        <w:tc>
          <w:tcPr>
            <w:tcW w:w="1182" w:type="dxa"/>
            <w:tcBorders>
              <w:top w:val="nil"/>
              <w:left w:val="nil"/>
              <w:bottom w:val="single" w:sz="4" w:space="0" w:color="auto"/>
              <w:right w:val="single" w:sz="4" w:space="0" w:color="auto"/>
            </w:tcBorders>
            <w:shd w:val="clear" w:color="auto" w:fill="auto"/>
            <w:noWrap/>
            <w:vAlign w:val="center"/>
            <w:hideMark/>
          </w:tcPr>
          <w:p w14:paraId="3D62E41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7,30</w:t>
            </w:r>
          </w:p>
        </w:tc>
      </w:tr>
      <w:tr w:rsidR="00BF12D5" w:rsidRPr="00BD0223" w14:paraId="57AE8DBA"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47D1D25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CASCALHO RICO</w:t>
            </w:r>
          </w:p>
        </w:tc>
        <w:tc>
          <w:tcPr>
            <w:tcW w:w="1182" w:type="dxa"/>
            <w:tcBorders>
              <w:top w:val="nil"/>
              <w:left w:val="nil"/>
              <w:bottom w:val="single" w:sz="4" w:space="0" w:color="auto"/>
              <w:right w:val="single" w:sz="4" w:space="0" w:color="auto"/>
            </w:tcBorders>
            <w:shd w:val="clear" w:color="auto" w:fill="auto"/>
            <w:noWrap/>
            <w:vAlign w:val="center"/>
            <w:hideMark/>
          </w:tcPr>
          <w:p w14:paraId="577F37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0,28</w:t>
            </w:r>
          </w:p>
        </w:tc>
        <w:tc>
          <w:tcPr>
            <w:tcW w:w="1182" w:type="dxa"/>
            <w:tcBorders>
              <w:top w:val="nil"/>
              <w:left w:val="nil"/>
              <w:bottom w:val="single" w:sz="4" w:space="0" w:color="auto"/>
              <w:right w:val="single" w:sz="4" w:space="0" w:color="auto"/>
            </w:tcBorders>
            <w:shd w:val="clear" w:color="auto" w:fill="auto"/>
            <w:noWrap/>
            <w:vAlign w:val="center"/>
            <w:hideMark/>
          </w:tcPr>
          <w:p w14:paraId="46890E5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0,20</w:t>
            </w:r>
          </w:p>
        </w:tc>
        <w:tc>
          <w:tcPr>
            <w:tcW w:w="1182" w:type="dxa"/>
            <w:tcBorders>
              <w:top w:val="nil"/>
              <w:left w:val="nil"/>
              <w:bottom w:val="single" w:sz="4" w:space="0" w:color="auto"/>
              <w:right w:val="single" w:sz="4" w:space="0" w:color="auto"/>
            </w:tcBorders>
            <w:shd w:val="clear" w:color="auto" w:fill="auto"/>
            <w:noWrap/>
            <w:vAlign w:val="center"/>
            <w:hideMark/>
          </w:tcPr>
          <w:p w14:paraId="12F9106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0,20</w:t>
            </w:r>
          </w:p>
        </w:tc>
        <w:tc>
          <w:tcPr>
            <w:tcW w:w="1182" w:type="dxa"/>
            <w:tcBorders>
              <w:top w:val="nil"/>
              <w:left w:val="nil"/>
              <w:bottom w:val="single" w:sz="4" w:space="0" w:color="auto"/>
              <w:right w:val="single" w:sz="4" w:space="0" w:color="auto"/>
            </w:tcBorders>
            <w:shd w:val="clear" w:color="auto" w:fill="auto"/>
            <w:noWrap/>
            <w:vAlign w:val="center"/>
            <w:hideMark/>
          </w:tcPr>
          <w:p w14:paraId="77F71A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0,22</w:t>
            </w:r>
          </w:p>
        </w:tc>
        <w:tc>
          <w:tcPr>
            <w:tcW w:w="1182" w:type="dxa"/>
            <w:tcBorders>
              <w:top w:val="nil"/>
              <w:left w:val="nil"/>
              <w:bottom w:val="single" w:sz="4" w:space="0" w:color="auto"/>
              <w:right w:val="single" w:sz="4" w:space="0" w:color="auto"/>
            </w:tcBorders>
            <w:shd w:val="clear" w:color="auto" w:fill="auto"/>
            <w:noWrap/>
            <w:vAlign w:val="center"/>
            <w:hideMark/>
          </w:tcPr>
          <w:p w14:paraId="5DC4885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0,23</w:t>
            </w:r>
          </w:p>
        </w:tc>
      </w:tr>
      <w:tr w:rsidR="00BF12D5" w:rsidRPr="00BD0223" w14:paraId="378F3A89"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5E7FED8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CENTRALINA</w:t>
            </w:r>
          </w:p>
        </w:tc>
        <w:tc>
          <w:tcPr>
            <w:tcW w:w="1182" w:type="dxa"/>
            <w:tcBorders>
              <w:top w:val="nil"/>
              <w:left w:val="nil"/>
              <w:bottom w:val="single" w:sz="4" w:space="0" w:color="auto"/>
              <w:right w:val="single" w:sz="4" w:space="0" w:color="auto"/>
            </w:tcBorders>
            <w:shd w:val="clear" w:color="auto" w:fill="auto"/>
            <w:noWrap/>
            <w:vAlign w:val="center"/>
            <w:hideMark/>
          </w:tcPr>
          <w:p w14:paraId="6CC8A03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3,14</w:t>
            </w:r>
          </w:p>
        </w:tc>
        <w:tc>
          <w:tcPr>
            <w:tcW w:w="1182" w:type="dxa"/>
            <w:tcBorders>
              <w:top w:val="nil"/>
              <w:left w:val="nil"/>
              <w:bottom w:val="single" w:sz="4" w:space="0" w:color="auto"/>
              <w:right w:val="single" w:sz="4" w:space="0" w:color="auto"/>
            </w:tcBorders>
            <w:shd w:val="clear" w:color="auto" w:fill="auto"/>
            <w:noWrap/>
            <w:vAlign w:val="center"/>
            <w:hideMark/>
          </w:tcPr>
          <w:p w14:paraId="67B7836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3,30</w:t>
            </w:r>
          </w:p>
        </w:tc>
        <w:tc>
          <w:tcPr>
            <w:tcW w:w="1182" w:type="dxa"/>
            <w:tcBorders>
              <w:top w:val="nil"/>
              <w:left w:val="nil"/>
              <w:bottom w:val="single" w:sz="4" w:space="0" w:color="auto"/>
              <w:right w:val="single" w:sz="4" w:space="0" w:color="auto"/>
            </w:tcBorders>
            <w:shd w:val="clear" w:color="auto" w:fill="auto"/>
            <w:noWrap/>
            <w:vAlign w:val="center"/>
            <w:hideMark/>
          </w:tcPr>
          <w:p w14:paraId="0639A27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6,17</w:t>
            </w:r>
          </w:p>
        </w:tc>
        <w:tc>
          <w:tcPr>
            <w:tcW w:w="1182" w:type="dxa"/>
            <w:tcBorders>
              <w:top w:val="nil"/>
              <w:left w:val="nil"/>
              <w:bottom w:val="single" w:sz="4" w:space="0" w:color="auto"/>
              <w:right w:val="single" w:sz="4" w:space="0" w:color="auto"/>
            </w:tcBorders>
            <w:shd w:val="clear" w:color="auto" w:fill="auto"/>
            <w:noWrap/>
            <w:vAlign w:val="center"/>
            <w:hideMark/>
          </w:tcPr>
          <w:p w14:paraId="6C1AC66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15,45</w:t>
            </w:r>
          </w:p>
        </w:tc>
        <w:tc>
          <w:tcPr>
            <w:tcW w:w="1182" w:type="dxa"/>
            <w:tcBorders>
              <w:top w:val="nil"/>
              <w:left w:val="nil"/>
              <w:bottom w:val="single" w:sz="4" w:space="0" w:color="auto"/>
              <w:right w:val="single" w:sz="4" w:space="0" w:color="auto"/>
            </w:tcBorders>
            <w:shd w:val="clear" w:color="auto" w:fill="auto"/>
            <w:noWrap/>
            <w:vAlign w:val="center"/>
            <w:hideMark/>
          </w:tcPr>
          <w:p w14:paraId="5A3B7F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15,95</w:t>
            </w:r>
          </w:p>
        </w:tc>
      </w:tr>
      <w:tr w:rsidR="00BF12D5" w:rsidRPr="00BD0223" w14:paraId="6EFAC8BF"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0CC56EE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COMENDADOR GOMES</w:t>
            </w:r>
          </w:p>
        </w:tc>
        <w:tc>
          <w:tcPr>
            <w:tcW w:w="1182" w:type="dxa"/>
            <w:tcBorders>
              <w:top w:val="nil"/>
              <w:left w:val="nil"/>
              <w:bottom w:val="single" w:sz="4" w:space="0" w:color="auto"/>
              <w:right w:val="single" w:sz="4" w:space="0" w:color="auto"/>
            </w:tcBorders>
            <w:shd w:val="clear" w:color="auto" w:fill="auto"/>
            <w:noWrap/>
            <w:vAlign w:val="center"/>
            <w:hideMark/>
          </w:tcPr>
          <w:p w14:paraId="0D3BE17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1,26</w:t>
            </w:r>
          </w:p>
        </w:tc>
        <w:tc>
          <w:tcPr>
            <w:tcW w:w="1182" w:type="dxa"/>
            <w:tcBorders>
              <w:top w:val="nil"/>
              <w:left w:val="nil"/>
              <w:bottom w:val="single" w:sz="4" w:space="0" w:color="auto"/>
              <w:right w:val="single" w:sz="4" w:space="0" w:color="auto"/>
            </w:tcBorders>
            <w:shd w:val="clear" w:color="auto" w:fill="auto"/>
            <w:noWrap/>
            <w:vAlign w:val="center"/>
            <w:hideMark/>
          </w:tcPr>
          <w:p w14:paraId="4D466F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1,39</w:t>
            </w:r>
          </w:p>
        </w:tc>
        <w:tc>
          <w:tcPr>
            <w:tcW w:w="1182" w:type="dxa"/>
            <w:tcBorders>
              <w:top w:val="nil"/>
              <w:left w:val="nil"/>
              <w:bottom w:val="single" w:sz="4" w:space="0" w:color="auto"/>
              <w:right w:val="single" w:sz="4" w:space="0" w:color="auto"/>
            </w:tcBorders>
            <w:shd w:val="clear" w:color="auto" w:fill="auto"/>
            <w:noWrap/>
            <w:vAlign w:val="center"/>
            <w:hideMark/>
          </w:tcPr>
          <w:p w14:paraId="2226A0E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2,60</w:t>
            </w:r>
          </w:p>
        </w:tc>
        <w:tc>
          <w:tcPr>
            <w:tcW w:w="1182" w:type="dxa"/>
            <w:tcBorders>
              <w:top w:val="nil"/>
              <w:left w:val="nil"/>
              <w:bottom w:val="single" w:sz="4" w:space="0" w:color="auto"/>
              <w:right w:val="single" w:sz="4" w:space="0" w:color="auto"/>
            </w:tcBorders>
            <w:shd w:val="clear" w:color="auto" w:fill="auto"/>
            <w:noWrap/>
            <w:vAlign w:val="center"/>
            <w:hideMark/>
          </w:tcPr>
          <w:p w14:paraId="3EF674D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4,09</w:t>
            </w:r>
          </w:p>
        </w:tc>
        <w:tc>
          <w:tcPr>
            <w:tcW w:w="1182" w:type="dxa"/>
            <w:tcBorders>
              <w:top w:val="nil"/>
              <w:left w:val="nil"/>
              <w:bottom w:val="single" w:sz="4" w:space="0" w:color="auto"/>
              <w:right w:val="single" w:sz="4" w:space="0" w:color="auto"/>
            </w:tcBorders>
            <w:shd w:val="clear" w:color="auto" w:fill="auto"/>
            <w:noWrap/>
            <w:vAlign w:val="center"/>
            <w:hideMark/>
          </w:tcPr>
          <w:p w14:paraId="0FEC155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7,73</w:t>
            </w:r>
          </w:p>
        </w:tc>
      </w:tr>
      <w:tr w:rsidR="00BF12D5" w:rsidRPr="00BD0223" w14:paraId="597A2708"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25F43F0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CONCEICAO DAS ALAGOAS</w:t>
            </w:r>
          </w:p>
        </w:tc>
        <w:tc>
          <w:tcPr>
            <w:tcW w:w="1182" w:type="dxa"/>
            <w:tcBorders>
              <w:top w:val="nil"/>
              <w:left w:val="nil"/>
              <w:bottom w:val="single" w:sz="4" w:space="0" w:color="auto"/>
              <w:right w:val="single" w:sz="4" w:space="0" w:color="auto"/>
            </w:tcBorders>
            <w:shd w:val="clear" w:color="auto" w:fill="auto"/>
            <w:noWrap/>
            <w:vAlign w:val="center"/>
            <w:hideMark/>
          </w:tcPr>
          <w:p w14:paraId="26238C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22,50</w:t>
            </w:r>
          </w:p>
        </w:tc>
        <w:tc>
          <w:tcPr>
            <w:tcW w:w="1182" w:type="dxa"/>
            <w:tcBorders>
              <w:top w:val="nil"/>
              <w:left w:val="nil"/>
              <w:bottom w:val="single" w:sz="4" w:space="0" w:color="auto"/>
              <w:right w:val="single" w:sz="4" w:space="0" w:color="auto"/>
            </w:tcBorders>
            <w:shd w:val="clear" w:color="auto" w:fill="auto"/>
            <w:noWrap/>
            <w:vAlign w:val="center"/>
            <w:hideMark/>
          </w:tcPr>
          <w:p w14:paraId="3CCBF5C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23,67</w:t>
            </w:r>
          </w:p>
        </w:tc>
        <w:tc>
          <w:tcPr>
            <w:tcW w:w="1182" w:type="dxa"/>
            <w:tcBorders>
              <w:top w:val="nil"/>
              <w:left w:val="nil"/>
              <w:bottom w:val="single" w:sz="4" w:space="0" w:color="auto"/>
              <w:right w:val="single" w:sz="4" w:space="0" w:color="auto"/>
            </w:tcBorders>
            <w:shd w:val="clear" w:color="auto" w:fill="auto"/>
            <w:noWrap/>
            <w:vAlign w:val="center"/>
            <w:hideMark/>
          </w:tcPr>
          <w:p w14:paraId="77A04C5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24,11</w:t>
            </w:r>
          </w:p>
        </w:tc>
        <w:tc>
          <w:tcPr>
            <w:tcW w:w="1182" w:type="dxa"/>
            <w:tcBorders>
              <w:top w:val="nil"/>
              <w:left w:val="nil"/>
              <w:bottom w:val="single" w:sz="4" w:space="0" w:color="auto"/>
              <w:right w:val="single" w:sz="4" w:space="0" w:color="auto"/>
            </w:tcBorders>
            <w:shd w:val="clear" w:color="auto" w:fill="auto"/>
            <w:noWrap/>
            <w:vAlign w:val="center"/>
            <w:hideMark/>
          </w:tcPr>
          <w:p w14:paraId="5B9CEA1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26,60</w:t>
            </w:r>
          </w:p>
        </w:tc>
        <w:tc>
          <w:tcPr>
            <w:tcW w:w="1182" w:type="dxa"/>
            <w:tcBorders>
              <w:top w:val="nil"/>
              <w:left w:val="nil"/>
              <w:bottom w:val="single" w:sz="4" w:space="0" w:color="auto"/>
              <w:right w:val="single" w:sz="4" w:space="0" w:color="auto"/>
            </w:tcBorders>
            <w:shd w:val="clear" w:color="auto" w:fill="auto"/>
            <w:noWrap/>
            <w:vAlign w:val="center"/>
            <w:hideMark/>
          </w:tcPr>
          <w:p w14:paraId="2DCE2BF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26,19</w:t>
            </w:r>
          </w:p>
        </w:tc>
      </w:tr>
      <w:tr w:rsidR="00BF12D5" w:rsidRPr="00BD0223" w14:paraId="65A639D1"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3E38387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CONQUISTA</w:t>
            </w:r>
          </w:p>
        </w:tc>
        <w:tc>
          <w:tcPr>
            <w:tcW w:w="1182" w:type="dxa"/>
            <w:tcBorders>
              <w:top w:val="nil"/>
              <w:left w:val="nil"/>
              <w:bottom w:val="single" w:sz="4" w:space="0" w:color="auto"/>
              <w:right w:val="single" w:sz="4" w:space="0" w:color="auto"/>
            </w:tcBorders>
            <w:shd w:val="clear" w:color="auto" w:fill="auto"/>
            <w:noWrap/>
            <w:vAlign w:val="center"/>
            <w:hideMark/>
          </w:tcPr>
          <w:p w14:paraId="0DDC2AC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1,85</w:t>
            </w:r>
          </w:p>
        </w:tc>
        <w:tc>
          <w:tcPr>
            <w:tcW w:w="1182" w:type="dxa"/>
            <w:tcBorders>
              <w:top w:val="nil"/>
              <w:left w:val="nil"/>
              <w:bottom w:val="single" w:sz="4" w:space="0" w:color="auto"/>
              <w:right w:val="single" w:sz="4" w:space="0" w:color="auto"/>
            </w:tcBorders>
            <w:shd w:val="clear" w:color="auto" w:fill="auto"/>
            <w:noWrap/>
            <w:vAlign w:val="center"/>
            <w:hideMark/>
          </w:tcPr>
          <w:p w14:paraId="526177B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1,31</w:t>
            </w:r>
          </w:p>
        </w:tc>
        <w:tc>
          <w:tcPr>
            <w:tcW w:w="1182" w:type="dxa"/>
            <w:tcBorders>
              <w:top w:val="nil"/>
              <w:left w:val="nil"/>
              <w:bottom w:val="single" w:sz="4" w:space="0" w:color="auto"/>
              <w:right w:val="single" w:sz="4" w:space="0" w:color="auto"/>
            </w:tcBorders>
            <w:shd w:val="clear" w:color="auto" w:fill="auto"/>
            <w:noWrap/>
            <w:vAlign w:val="center"/>
            <w:hideMark/>
          </w:tcPr>
          <w:p w14:paraId="003BAC5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2,17</w:t>
            </w:r>
          </w:p>
        </w:tc>
        <w:tc>
          <w:tcPr>
            <w:tcW w:w="1182" w:type="dxa"/>
            <w:tcBorders>
              <w:top w:val="nil"/>
              <w:left w:val="nil"/>
              <w:bottom w:val="single" w:sz="4" w:space="0" w:color="auto"/>
              <w:right w:val="single" w:sz="4" w:space="0" w:color="auto"/>
            </w:tcBorders>
            <w:shd w:val="clear" w:color="auto" w:fill="auto"/>
            <w:noWrap/>
            <w:vAlign w:val="center"/>
            <w:hideMark/>
          </w:tcPr>
          <w:p w14:paraId="0C50145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1,94</w:t>
            </w:r>
          </w:p>
        </w:tc>
        <w:tc>
          <w:tcPr>
            <w:tcW w:w="1182" w:type="dxa"/>
            <w:tcBorders>
              <w:top w:val="nil"/>
              <w:left w:val="nil"/>
              <w:bottom w:val="single" w:sz="4" w:space="0" w:color="auto"/>
              <w:right w:val="single" w:sz="4" w:space="0" w:color="auto"/>
            </w:tcBorders>
            <w:shd w:val="clear" w:color="auto" w:fill="auto"/>
            <w:noWrap/>
            <w:vAlign w:val="center"/>
            <w:hideMark/>
          </w:tcPr>
          <w:p w14:paraId="772871E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2,17</w:t>
            </w:r>
          </w:p>
        </w:tc>
      </w:tr>
      <w:tr w:rsidR="00BF12D5" w:rsidRPr="00BD0223" w14:paraId="6699B2D8"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3504FD8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DELTA</w:t>
            </w:r>
          </w:p>
        </w:tc>
        <w:tc>
          <w:tcPr>
            <w:tcW w:w="1182" w:type="dxa"/>
            <w:tcBorders>
              <w:top w:val="nil"/>
              <w:left w:val="nil"/>
              <w:bottom w:val="single" w:sz="4" w:space="0" w:color="auto"/>
              <w:right w:val="single" w:sz="4" w:space="0" w:color="auto"/>
            </w:tcBorders>
            <w:shd w:val="clear" w:color="auto" w:fill="auto"/>
            <w:noWrap/>
            <w:vAlign w:val="center"/>
            <w:hideMark/>
          </w:tcPr>
          <w:p w14:paraId="1B7F5F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23,00</w:t>
            </w:r>
          </w:p>
        </w:tc>
        <w:tc>
          <w:tcPr>
            <w:tcW w:w="1182" w:type="dxa"/>
            <w:tcBorders>
              <w:top w:val="nil"/>
              <w:left w:val="nil"/>
              <w:bottom w:val="single" w:sz="4" w:space="0" w:color="auto"/>
              <w:right w:val="single" w:sz="4" w:space="0" w:color="auto"/>
            </w:tcBorders>
            <w:shd w:val="clear" w:color="auto" w:fill="auto"/>
            <w:noWrap/>
            <w:vAlign w:val="center"/>
            <w:hideMark/>
          </w:tcPr>
          <w:p w14:paraId="007490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20,63</w:t>
            </w:r>
          </w:p>
        </w:tc>
        <w:tc>
          <w:tcPr>
            <w:tcW w:w="1182" w:type="dxa"/>
            <w:tcBorders>
              <w:top w:val="nil"/>
              <w:left w:val="nil"/>
              <w:bottom w:val="single" w:sz="4" w:space="0" w:color="auto"/>
              <w:right w:val="single" w:sz="4" w:space="0" w:color="auto"/>
            </w:tcBorders>
            <w:shd w:val="clear" w:color="auto" w:fill="auto"/>
            <w:noWrap/>
            <w:vAlign w:val="center"/>
            <w:hideMark/>
          </w:tcPr>
          <w:p w14:paraId="12E30D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21,30</w:t>
            </w:r>
          </w:p>
        </w:tc>
        <w:tc>
          <w:tcPr>
            <w:tcW w:w="1182" w:type="dxa"/>
            <w:tcBorders>
              <w:top w:val="nil"/>
              <w:left w:val="nil"/>
              <w:bottom w:val="single" w:sz="4" w:space="0" w:color="auto"/>
              <w:right w:val="single" w:sz="4" w:space="0" w:color="auto"/>
            </w:tcBorders>
            <w:shd w:val="clear" w:color="auto" w:fill="auto"/>
            <w:noWrap/>
            <w:vAlign w:val="center"/>
            <w:hideMark/>
          </w:tcPr>
          <w:p w14:paraId="2B81B8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24,69</w:t>
            </w:r>
          </w:p>
        </w:tc>
        <w:tc>
          <w:tcPr>
            <w:tcW w:w="1182" w:type="dxa"/>
            <w:tcBorders>
              <w:top w:val="nil"/>
              <w:left w:val="nil"/>
              <w:bottom w:val="single" w:sz="4" w:space="0" w:color="auto"/>
              <w:right w:val="single" w:sz="4" w:space="0" w:color="auto"/>
            </w:tcBorders>
            <w:shd w:val="clear" w:color="auto" w:fill="auto"/>
            <w:noWrap/>
            <w:vAlign w:val="center"/>
            <w:hideMark/>
          </w:tcPr>
          <w:p w14:paraId="2A8C620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23,38</w:t>
            </w:r>
          </w:p>
        </w:tc>
      </w:tr>
      <w:tr w:rsidR="00BF12D5" w:rsidRPr="00BD0223" w14:paraId="1BB041DB"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316EFA2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FRONTEIRA</w:t>
            </w:r>
          </w:p>
        </w:tc>
        <w:tc>
          <w:tcPr>
            <w:tcW w:w="1182" w:type="dxa"/>
            <w:tcBorders>
              <w:top w:val="nil"/>
              <w:left w:val="nil"/>
              <w:bottom w:val="single" w:sz="4" w:space="0" w:color="auto"/>
              <w:right w:val="single" w:sz="4" w:space="0" w:color="auto"/>
            </w:tcBorders>
            <w:shd w:val="clear" w:color="auto" w:fill="auto"/>
            <w:noWrap/>
            <w:vAlign w:val="center"/>
            <w:hideMark/>
          </w:tcPr>
          <w:p w14:paraId="0980492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3,84</w:t>
            </w:r>
          </w:p>
        </w:tc>
        <w:tc>
          <w:tcPr>
            <w:tcW w:w="1182" w:type="dxa"/>
            <w:tcBorders>
              <w:top w:val="nil"/>
              <w:left w:val="nil"/>
              <w:bottom w:val="single" w:sz="4" w:space="0" w:color="auto"/>
              <w:right w:val="single" w:sz="4" w:space="0" w:color="auto"/>
            </w:tcBorders>
            <w:shd w:val="clear" w:color="auto" w:fill="auto"/>
            <w:noWrap/>
            <w:vAlign w:val="center"/>
            <w:hideMark/>
          </w:tcPr>
          <w:p w14:paraId="1982DE2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2,42</w:t>
            </w:r>
          </w:p>
        </w:tc>
        <w:tc>
          <w:tcPr>
            <w:tcW w:w="1182" w:type="dxa"/>
            <w:tcBorders>
              <w:top w:val="nil"/>
              <w:left w:val="nil"/>
              <w:bottom w:val="single" w:sz="4" w:space="0" w:color="auto"/>
              <w:right w:val="single" w:sz="4" w:space="0" w:color="auto"/>
            </w:tcBorders>
            <w:shd w:val="clear" w:color="auto" w:fill="auto"/>
            <w:noWrap/>
            <w:vAlign w:val="center"/>
            <w:hideMark/>
          </w:tcPr>
          <w:p w14:paraId="4C90F2C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1,92</w:t>
            </w:r>
          </w:p>
        </w:tc>
        <w:tc>
          <w:tcPr>
            <w:tcW w:w="1182" w:type="dxa"/>
            <w:tcBorders>
              <w:top w:val="nil"/>
              <w:left w:val="nil"/>
              <w:bottom w:val="single" w:sz="4" w:space="0" w:color="auto"/>
              <w:right w:val="single" w:sz="4" w:space="0" w:color="auto"/>
            </w:tcBorders>
            <w:shd w:val="clear" w:color="auto" w:fill="auto"/>
            <w:noWrap/>
            <w:vAlign w:val="center"/>
            <w:hideMark/>
          </w:tcPr>
          <w:p w14:paraId="6FBEA51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0,11</w:t>
            </w:r>
          </w:p>
        </w:tc>
        <w:tc>
          <w:tcPr>
            <w:tcW w:w="1182" w:type="dxa"/>
            <w:tcBorders>
              <w:top w:val="nil"/>
              <w:left w:val="nil"/>
              <w:bottom w:val="single" w:sz="4" w:space="0" w:color="auto"/>
              <w:right w:val="single" w:sz="4" w:space="0" w:color="auto"/>
            </w:tcBorders>
            <w:shd w:val="clear" w:color="auto" w:fill="auto"/>
            <w:noWrap/>
            <w:vAlign w:val="center"/>
            <w:hideMark/>
          </w:tcPr>
          <w:p w14:paraId="7FD14E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1,59</w:t>
            </w:r>
          </w:p>
        </w:tc>
      </w:tr>
      <w:tr w:rsidR="00BF12D5" w:rsidRPr="00BD0223" w14:paraId="1B33AC5D"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53DB22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FRUTAL</w:t>
            </w:r>
          </w:p>
        </w:tc>
        <w:tc>
          <w:tcPr>
            <w:tcW w:w="1182" w:type="dxa"/>
            <w:tcBorders>
              <w:top w:val="nil"/>
              <w:left w:val="nil"/>
              <w:bottom w:val="single" w:sz="4" w:space="0" w:color="auto"/>
              <w:right w:val="single" w:sz="4" w:space="0" w:color="auto"/>
            </w:tcBorders>
            <w:shd w:val="clear" w:color="auto" w:fill="auto"/>
            <w:noWrap/>
            <w:vAlign w:val="center"/>
            <w:hideMark/>
          </w:tcPr>
          <w:p w14:paraId="18CC83E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32,89</w:t>
            </w:r>
          </w:p>
        </w:tc>
        <w:tc>
          <w:tcPr>
            <w:tcW w:w="1182" w:type="dxa"/>
            <w:tcBorders>
              <w:top w:val="nil"/>
              <w:left w:val="nil"/>
              <w:bottom w:val="single" w:sz="4" w:space="0" w:color="auto"/>
              <w:right w:val="single" w:sz="4" w:space="0" w:color="auto"/>
            </w:tcBorders>
            <w:shd w:val="clear" w:color="auto" w:fill="auto"/>
            <w:noWrap/>
            <w:vAlign w:val="center"/>
            <w:hideMark/>
          </w:tcPr>
          <w:p w14:paraId="78ED3A1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32,15</w:t>
            </w:r>
          </w:p>
        </w:tc>
        <w:tc>
          <w:tcPr>
            <w:tcW w:w="1182" w:type="dxa"/>
            <w:tcBorders>
              <w:top w:val="nil"/>
              <w:left w:val="nil"/>
              <w:bottom w:val="single" w:sz="4" w:space="0" w:color="auto"/>
              <w:right w:val="single" w:sz="4" w:space="0" w:color="auto"/>
            </w:tcBorders>
            <w:shd w:val="clear" w:color="auto" w:fill="auto"/>
            <w:noWrap/>
            <w:vAlign w:val="center"/>
            <w:hideMark/>
          </w:tcPr>
          <w:p w14:paraId="3FD96F6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33,25</w:t>
            </w:r>
          </w:p>
        </w:tc>
        <w:tc>
          <w:tcPr>
            <w:tcW w:w="1182" w:type="dxa"/>
            <w:tcBorders>
              <w:top w:val="nil"/>
              <w:left w:val="nil"/>
              <w:bottom w:val="single" w:sz="4" w:space="0" w:color="auto"/>
              <w:right w:val="single" w:sz="4" w:space="0" w:color="auto"/>
            </w:tcBorders>
            <w:shd w:val="clear" w:color="auto" w:fill="auto"/>
            <w:noWrap/>
            <w:vAlign w:val="center"/>
            <w:hideMark/>
          </w:tcPr>
          <w:p w14:paraId="1393720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36,65</w:t>
            </w:r>
          </w:p>
        </w:tc>
        <w:tc>
          <w:tcPr>
            <w:tcW w:w="1182" w:type="dxa"/>
            <w:tcBorders>
              <w:top w:val="nil"/>
              <w:left w:val="nil"/>
              <w:bottom w:val="single" w:sz="4" w:space="0" w:color="auto"/>
              <w:right w:val="single" w:sz="4" w:space="0" w:color="auto"/>
            </w:tcBorders>
            <w:shd w:val="clear" w:color="auto" w:fill="auto"/>
            <w:noWrap/>
            <w:vAlign w:val="center"/>
            <w:hideMark/>
          </w:tcPr>
          <w:p w14:paraId="1A892A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34,69</w:t>
            </w:r>
          </w:p>
        </w:tc>
      </w:tr>
      <w:tr w:rsidR="00BF12D5" w:rsidRPr="00BD0223" w14:paraId="7C1054C4"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2868268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GURINHATA</w:t>
            </w:r>
          </w:p>
        </w:tc>
        <w:tc>
          <w:tcPr>
            <w:tcW w:w="1182" w:type="dxa"/>
            <w:tcBorders>
              <w:top w:val="nil"/>
              <w:left w:val="nil"/>
              <w:bottom w:val="single" w:sz="4" w:space="0" w:color="auto"/>
              <w:right w:val="single" w:sz="4" w:space="0" w:color="auto"/>
            </w:tcBorders>
            <w:shd w:val="clear" w:color="auto" w:fill="auto"/>
            <w:noWrap/>
            <w:vAlign w:val="center"/>
            <w:hideMark/>
          </w:tcPr>
          <w:p w14:paraId="3E9AF27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0,79</w:t>
            </w:r>
          </w:p>
        </w:tc>
        <w:tc>
          <w:tcPr>
            <w:tcW w:w="1182" w:type="dxa"/>
            <w:tcBorders>
              <w:top w:val="nil"/>
              <w:left w:val="nil"/>
              <w:bottom w:val="single" w:sz="4" w:space="0" w:color="auto"/>
              <w:right w:val="single" w:sz="4" w:space="0" w:color="auto"/>
            </w:tcBorders>
            <w:shd w:val="clear" w:color="auto" w:fill="auto"/>
            <w:noWrap/>
            <w:vAlign w:val="center"/>
            <w:hideMark/>
          </w:tcPr>
          <w:p w14:paraId="5954AED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0,78</w:t>
            </w:r>
          </w:p>
        </w:tc>
        <w:tc>
          <w:tcPr>
            <w:tcW w:w="1182" w:type="dxa"/>
            <w:tcBorders>
              <w:top w:val="nil"/>
              <w:left w:val="nil"/>
              <w:bottom w:val="single" w:sz="4" w:space="0" w:color="auto"/>
              <w:right w:val="single" w:sz="4" w:space="0" w:color="auto"/>
            </w:tcBorders>
            <w:shd w:val="clear" w:color="auto" w:fill="auto"/>
            <w:noWrap/>
            <w:vAlign w:val="center"/>
            <w:hideMark/>
          </w:tcPr>
          <w:p w14:paraId="20C593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0,71</w:t>
            </w:r>
          </w:p>
        </w:tc>
        <w:tc>
          <w:tcPr>
            <w:tcW w:w="1182" w:type="dxa"/>
            <w:tcBorders>
              <w:top w:val="nil"/>
              <w:left w:val="nil"/>
              <w:bottom w:val="single" w:sz="4" w:space="0" w:color="auto"/>
              <w:right w:val="single" w:sz="4" w:space="0" w:color="auto"/>
            </w:tcBorders>
            <w:shd w:val="clear" w:color="auto" w:fill="auto"/>
            <w:noWrap/>
            <w:vAlign w:val="center"/>
            <w:hideMark/>
          </w:tcPr>
          <w:p w14:paraId="56BB64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0,74</w:t>
            </w:r>
          </w:p>
        </w:tc>
        <w:tc>
          <w:tcPr>
            <w:tcW w:w="1182" w:type="dxa"/>
            <w:tcBorders>
              <w:top w:val="nil"/>
              <w:left w:val="nil"/>
              <w:bottom w:val="single" w:sz="4" w:space="0" w:color="auto"/>
              <w:right w:val="single" w:sz="4" w:space="0" w:color="auto"/>
            </w:tcBorders>
            <w:shd w:val="clear" w:color="auto" w:fill="auto"/>
            <w:noWrap/>
            <w:vAlign w:val="center"/>
            <w:hideMark/>
          </w:tcPr>
          <w:p w14:paraId="6DFF73F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0,89</w:t>
            </w:r>
          </w:p>
        </w:tc>
      </w:tr>
      <w:tr w:rsidR="00BF12D5" w:rsidRPr="00BD0223" w14:paraId="4F701B7E"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1990F09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INDIANOPOLIS</w:t>
            </w:r>
          </w:p>
        </w:tc>
        <w:tc>
          <w:tcPr>
            <w:tcW w:w="1182" w:type="dxa"/>
            <w:tcBorders>
              <w:top w:val="nil"/>
              <w:left w:val="nil"/>
              <w:bottom w:val="single" w:sz="4" w:space="0" w:color="auto"/>
              <w:right w:val="single" w:sz="4" w:space="0" w:color="auto"/>
            </w:tcBorders>
            <w:shd w:val="clear" w:color="auto" w:fill="auto"/>
            <w:noWrap/>
            <w:vAlign w:val="center"/>
            <w:hideMark/>
          </w:tcPr>
          <w:p w14:paraId="686AC7C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3,93</w:t>
            </w:r>
          </w:p>
        </w:tc>
        <w:tc>
          <w:tcPr>
            <w:tcW w:w="1182" w:type="dxa"/>
            <w:tcBorders>
              <w:top w:val="nil"/>
              <w:left w:val="nil"/>
              <w:bottom w:val="single" w:sz="4" w:space="0" w:color="auto"/>
              <w:right w:val="single" w:sz="4" w:space="0" w:color="auto"/>
            </w:tcBorders>
            <w:shd w:val="clear" w:color="auto" w:fill="auto"/>
            <w:noWrap/>
            <w:vAlign w:val="center"/>
            <w:hideMark/>
          </w:tcPr>
          <w:p w14:paraId="637E8E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1,95</w:t>
            </w:r>
          </w:p>
        </w:tc>
        <w:tc>
          <w:tcPr>
            <w:tcW w:w="1182" w:type="dxa"/>
            <w:tcBorders>
              <w:top w:val="nil"/>
              <w:left w:val="nil"/>
              <w:bottom w:val="single" w:sz="4" w:space="0" w:color="auto"/>
              <w:right w:val="single" w:sz="4" w:space="0" w:color="auto"/>
            </w:tcBorders>
            <w:shd w:val="clear" w:color="auto" w:fill="auto"/>
            <w:noWrap/>
            <w:vAlign w:val="center"/>
            <w:hideMark/>
          </w:tcPr>
          <w:p w14:paraId="09207A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1,82</w:t>
            </w:r>
          </w:p>
        </w:tc>
        <w:tc>
          <w:tcPr>
            <w:tcW w:w="1182" w:type="dxa"/>
            <w:tcBorders>
              <w:top w:val="nil"/>
              <w:left w:val="nil"/>
              <w:bottom w:val="single" w:sz="4" w:space="0" w:color="auto"/>
              <w:right w:val="single" w:sz="4" w:space="0" w:color="auto"/>
            </w:tcBorders>
            <w:shd w:val="clear" w:color="auto" w:fill="auto"/>
            <w:noWrap/>
            <w:vAlign w:val="center"/>
            <w:hideMark/>
          </w:tcPr>
          <w:p w14:paraId="3DFD2FC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2,24</w:t>
            </w:r>
          </w:p>
        </w:tc>
        <w:tc>
          <w:tcPr>
            <w:tcW w:w="1182" w:type="dxa"/>
            <w:tcBorders>
              <w:top w:val="nil"/>
              <w:left w:val="nil"/>
              <w:bottom w:val="single" w:sz="4" w:space="0" w:color="auto"/>
              <w:right w:val="single" w:sz="4" w:space="0" w:color="auto"/>
            </w:tcBorders>
            <w:shd w:val="clear" w:color="auto" w:fill="auto"/>
            <w:noWrap/>
            <w:vAlign w:val="center"/>
            <w:hideMark/>
          </w:tcPr>
          <w:p w14:paraId="351DB3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1,87</w:t>
            </w:r>
          </w:p>
        </w:tc>
      </w:tr>
      <w:tr w:rsidR="00BF12D5" w:rsidRPr="00BD0223" w14:paraId="78606603"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1ADB8F8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IPIACU</w:t>
            </w:r>
          </w:p>
        </w:tc>
        <w:tc>
          <w:tcPr>
            <w:tcW w:w="1182" w:type="dxa"/>
            <w:tcBorders>
              <w:top w:val="nil"/>
              <w:left w:val="nil"/>
              <w:bottom w:val="single" w:sz="4" w:space="0" w:color="auto"/>
              <w:right w:val="single" w:sz="4" w:space="0" w:color="auto"/>
            </w:tcBorders>
            <w:shd w:val="clear" w:color="auto" w:fill="auto"/>
            <w:noWrap/>
            <w:vAlign w:val="center"/>
            <w:hideMark/>
          </w:tcPr>
          <w:p w14:paraId="741F322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0,25</w:t>
            </w:r>
          </w:p>
        </w:tc>
        <w:tc>
          <w:tcPr>
            <w:tcW w:w="1182" w:type="dxa"/>
            <w:tcBorders>
              <w:top w:val="nil"/>
              <w:left w:val="nil"/>
              <w:bottom w:val="single" w:sz="4" w:space="0" w:color="auto"/>
              <w:right w:val="single" w:sz="4" w:space="0" w:color="auto"/>
            </w:tcBorders>
            <w:shd w:val="clear" w:color="auto" w:fill="auto"/>
            <w:noWrap/>
            <w:vAlign w:val="center"/>
            <w:hideMark/>
          </w:tcPr>
          <w:p w14:paraId="6BD497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0,22</w:t>
            </w:r>
          </w:p>
        </w:tc>
        <w:tc>
          <w:tcPr>
            <w:tcW w:w="1182" w:type="dxa"/>
            <w:tcBorders>
              <w:top w:val="nil"/>
              <w:left w:val="nil"/>
              <w:bottom w:val="single" w:sz="4" w:space="0" w:color="auto"/>
              <w:right w:val="single" w:sz="4" w:space="0" w:color="auto"/>
            </w:tcBorders>
            <w:shd w:val="clear" w:color="auto" w:fill="auto"/>
            <w:noWrap/>
            <w:vAlign w:val="center"/>
            <w:hideMark/>
          </w:tcPr>
          <w:p w14:paraId="55D546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0,31</w:t>
            </w:r>
          </w:p>
        </w:tc>
        <w:tc>
          <w:tcPr>
            <w:tcW w:w="1182" w:type="dxa"/>
            <w:tcBorders>
              <w:top w:val="nil"/>
              <w:left w:val="nil"/>
              <w:bottom w:val="single" w:sz="4" w:space="0" w:color="auto"/>
              <w:right w:val="single" w:sz="4" w:space="0" w:color="auto"/>
            </w:tcBorders>
            <w:shd w:val="clear" w:color="auto" w:fill="auto"/>
            <w:noWrap/>
            <w:vAlign w:val="center"/>
            <w:hideMark/>
          </w:tcPr>
          <w:p w14:paraId="71F00A2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0,38</w:t>
            </w:r>
          </w:p>
        </w:tc>
        <w:tc>
          <w:tcPr>
            <w:tcW w:w="1182" w:type="dxa"/>
            <w:tcBorders>
              <w:top w:val="nil"/>
              <w:left w:val="nil"/>
              <w:bottom w:val="single" w:sz="4" w:space="0" w:color="auto"/>
              <w:right w:val="single" w:sz="4" w:space="0" w:color="auto"/>
            </w:tcBorders>
            <w:shd w:val="clear" w:color="auto" w:fill="auto"/>
            <w:noWrap/>
            <w:vAlign w:val="center"/>
            <w:hideMark/>
          </w:tcPr>
          <w:p w14:paraId="20C31DF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0,34</w:t>
            </w:r>
          </w:p>
        </w:tc>
      </w:tr>
      <w:tr w:rsidR="00BF12D5" w:rsidRPr="00BD0223" w14:paraId="12B8527E"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25367B8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ITAPAGIPE</w:t>
            </w:r>
          </w:p>
        </w:tc>
        <w:tc>
          <w:tcPr>
            <w:tcW w:w="1182" w:type="dxa"/>
            <w:tcBorders>
              <w:top w:val="nil"/>
              <w:left w:val="nil"/>
              <w:bottom w:val="single" w:sz="4" w:space="0" w:color="auto"/>
              <w:right w:val="single" w:sz="4" w:space="0" w:color="auto"/>
            </w:tcBorders>
            <w:shd w:val="clear" w:color="auto" w:fill="auto"/>
            <w:noWrap/>
            <w:vAlign w:val="center"/>
            <w:hideMark/>
          </w:tcPr>
          <w:p w14:paraId="362D960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7,58</w:t>
            </w:r>
          </w:p>
        </w:tc>
        <w:tc>
          <w:tcPr>
            <w:tcW w:w="1182" w:type="dxa"/>
            <w:tcBorders>
              <w:top w:val="nil"/>
              <w:left w:val="nil"/>
              <w:bottom w:val="single" w:sz="4" w:space="0" w:color="auto"/>
              <w:right w:val="single" w:sz="4" w:space="0" w:color="auto"/>
            </w:tcBorders>
            <w:shd w:val="clear" w:color="auto" w:fill="auto"/>
            <w:noWrap/>
            <w:vAlign w:val="center"/>
            <w:hideMark/>
          </w:tcPr>
          <w:p w14:paraId="0DE155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7,44</w:t>
            </w:r>
          </w:p>
        </w:tc>
        <w:tc>
          <w:tcPr>
            <w:tcW w:w="1182" w:type="dxa"/>
            <w:tcBorders>
              <w:top w:val="nil"/>
              <w:left w:val="nil"/>
              <w:bottom w:val="single" w:sz="4" w:space="0" w:color="auto"/>
              <w:right w:val="single" w:sz="4" w:space="0" w:color="auto"/>
            </w:tcBorders>
            <w:shd w:val="clear" w:color="auto" w:fill="auto"/>
            <w:noWrap/>
            <w:vAlign w:val="center"/>
            <w:hideMark/>
          </w:tcPr>
          <w:p w14:paraId="18AA0E3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8,94</w:t>
            </w:r>
          </w:p>
        </w:tc>
        <w:tc>
          <w:tcPr>
            <w:tcW w:w="1182" w:type="dxa"/>
            <w:tcBorders>
              <w:top w:val="nil"/>
              <w:left w:val="nil"/>
              <w:bottom w:val="single" w:sz="4" w:space="0" w:color="auto"/>
              <w:right w:val="single" w:sz="4" w:space="0" w:color="auto"/>
            </w:tcBorders>
            <w:shd w:val="clear" w:color="auto" w:fill="auto"/>
            <w:noWrap/>
            <w:vAlign w:val="center"/>
            <w:hideMark/>
          </w:tcPr>
          <w:p w14:paraId="4EF0E2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10,17</w:t>
            </w:r>
          </w:p>
        </w:tc>
        <w:tc>
          <w:tcPr>
            <w:tcW w:w="1182" w:type="dxa"/>
            <w:tcBorders>
              <w:top w:val="nil"/>
              <w:left w:val="nil"/>
              <w:bottom w:val="single" w:sz="4" w:space="0" w:color="auto"/>
              <w:right w:val="single" w:sz="4" w:space="0" w:color="auto"/>
            </w:tcBorders>
            <w:shd w:val="clear" w:color="auto" w:fill="auto"/>
            <w:noWrap/>
            <w:vAlign w:val="center"/>
            <w:hideMark/>
          </w:tcPr>
          <w:p w14:paraId="0A3E4A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9,06</w:t>
            </w:r>
          </w:p>
        </w:tc>
      </w:tr>
      <w:tr w:rsidR="00BF12D5" w:rsidRPr="00BD0223" w14:paraId="7A54ED47"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44416A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ITUIUTABA</w:t>
            </w:r>
          </w:p>
        </w:tc>
        <w:tc>
          <w:tcPr>
            <w:tcW w:w="1182" w:type="dxa"/>
            <w:tcBorders>
              <w:top w:val="nil"/>
              <w:left w:val="nil"/>
              <w:bottom w:val="single" w:sz="4" w:space="0" w:color="auto"/>
              <w:right w:val="single" w:sz="4" w:space="0" w:color="auto"/>
            </w:tcBorders>
            <w:shd w:val="clear" w:color="auto" w:fill="auto"/>
            <w:noWrap/>
            <w:vAlign w:val="center"/>
            <w:hideMark/>
          </w:tcPr>
          <w:p w14:paraId="1CAA98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53,94</w:t>
            </w:r>
          </w:p>
        </w:tc>
        <w:tc>
          <w:tcPr>
            <w:tcW w:w="1182" w:type="dxa"/>
            <w:tcBorders>
              <w:top w:val="nil"/>
              <w:left w:val="nil"/>
              <w:bottom w:val="single" w:sz="4" w:space="0" w:color="auto"/>
              <w:right w:val="single" w:sz="4" w:space="0" w:color="auto"/>
            </w:tcBorders>
            <w:shd w:val="clear" w:color="auto" w:fill="auto"/>
            <w:noWrap/>
            <w:vAlign w:val="center"/>
            <w:hideMark/>
          </w:tcPr>
          <w:p w14:paraId="579649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54,70</w:t>
            </w:r>
          </w:p>
        </w:tc>
        <w:tc>
          <w:tcPr>
            <w:tcW w:w="1182" w:type="dxa"/>
            <w:tcBorders>
              <w:top w:val="nil"/>
              <w:left w:val="nil"/>
              <w:bottom w:val="single" w:sz="4" w:space="0" w:color="auto"/>
              <w:right w:val="single" w:sz="4" w:space="0" w:color="auto"/>
            </w:tcBorders>
            <w:shd w:val="clear" w:color="auto" w:fill="auto"/>
            <w:noWrap/>
            <w:vAlign w:val="center"/>
            <w:hideMark/>
          </w:tcPr>
          <w:p w14:paraId="3B8657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57,16</w:t>
            </w:r>
          </w:p>
        </w:tc>
        <w:tc>
          <w:tcPr>
            <w:tcW w:w="1182" w:type="dxa"/>
            <w:tcBorders>
              <w:top w:val="nil"/>
              <w:left w:val="nil"/>
              <w:bottom w:val="single" w:sz="4" w:space="0" w:color="auto"/>
              <w:right w:val="single" w:sz="4" w:space="0" w:color="auto"/>
            </w:tcBorders>
            <w:shd w:val="clear" w:color="auto" w:fill="auto"/>
            <w:noWrap/>
            <w:vAlign w:val="center"/>
            <w:hideMark/>
          </w:tcPr>
          <w:p w14:paraId="2BC760C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60,04</w:t>
            </w:r>
          </w:p>
        </w:tc>
        <w:tc>
          <w:tcPr>
            <w:tcW w:w="1182" w:type="dxa"/>
            <w:tcBorders>
              <w:top w:val="nil"/>
              <w:left w:val="nil"/>
              <w:bottom w:val="single" w:sz="4" w:space="0" w:color="auto"/>
              <w:right w:val="single" w:sz="4" w:space="0" w:color="auto"/>
            </w:tcBorders>
            <w:shd w:val="clear" w:color="auto" w:fill="auto"/>
            <w:noWrap/>
            <w:vAlign w:val="center"/>
            <w:hideMark/>
          </w:tcPr>
          <w:p w14:paraId="1AD862D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62,56</w:t>
            </w:r>
          </w:p>
        </w:tc>
      </w:tr>
      <w:tr w:rsidR="00BF12D5" w:rsidRPr="00BD0223" w14:paraId="7D238103"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271FC3D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ITURAMA</w:t>
            </w:r>
          </w:p>
        </w:tc>
        <w:tc>
          <w:tcPr>
            <w:tcW w:w="1182" w:type="dxa"/>
            <w:tcBorders>
              <w:top w:val="nil"/>
              <w:left w:val="nil"/>
              <w:bottom w:val="single" w:sz="4" w:space="0" w:color="auto"/>
              <w:right w:val="single" w:sz="4" w:space="0" w:color="auto"/>
            </w:tcBorders>
            <w:shd w:val="clear" w:color="auto" w:fill="auto"/>
            <w:noWrap/>
            <w:vAlign w:val="center"/>
            <w:hideMark/>
          </w:tcPr>
          <w:p w14:paraId="08A7E8B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18,44</w:t>
            </w:r>
          </w:p>
        </w:tc>
        <w:tc>
          <w:tcPr>
            <w:tcW w:w="1182" w:type="dxa"/>
            <w:tcBorders>
              <w:top w:val="nil"/>
              <w:left w:val="nil"/>
              <w:bottom w:val="single" w:sz="4" w:space="0" w:color="auto"/>
              <w:right w:val="single" w:sz="4" w:space="0" w:color="auto"/>
            </w:tcBorders>
            <w:shd w:val="clear" w:color="auto" w:fill="auto"/>
            <w:noWrap/>
            <w:vAlign w:val="center"/>
            <w:hideMark/>
          </w:tcPr>
          <w:p w14:paraId="2C9697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26,23</w:t>
            </w:r>
          </w:p>
        </w:tc>
        <w:tc>
          <w:tcPr>
            <w:tcW w:w="1182" w:type="dxa"/>
            <w:tcBorders>
              <w:top w:val="nil"/>
              <w:left w:val="nil"/>
              <w:bottom w:val="single" w:sz="4" w:space="0" w:color="auto"/>
              <w:right w:val="single" w:sz="4" w:space="0" w:color="auto"/>
            </w:tcBorders>
            <w:shd w:val="clear" w:color="auto" w:fill="auto"/>
            <w:noWrap/>
            <w:vAlign w:val="center"/>
            <w:hideMark/>
          </w:tcPr>
          <w:p w14:paraId="284D7AD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26,57</w:t>
            </w:r>
          </w:p>
        </w:tc>
        <w:tc>
          <w:tcPr>
            <w:tcW w:w="1182" w:type="dxa"/>
            <w:tcBorders>
              <w:top w:val="nil"/>
              <w:left w:val="nil"/>
              <w:bottom w:val="single" w:sz="4" w:space="0" w:color="auto"/>
              <w:right w:val="single" w:sz="4" w:space="0" w:color="auto"/>
            </w:tcBorders>
            <w:shd w:val="clear" w:color="auto" w:fill="auto"/>
            <w:noWrap/>
            <w:vAlign w:val="center"/>
            <w:hideMark/>
          </w:tcPr>
          <w:p w14:paraId="3F6D62D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31,81</w:t>
            </w:r>
          </w:p>
        </w:tc>
        <w:tc>
          <w:tcPr>
            <w:tcW w:w="1182" w:type="dxa"/>
            <w:tcBorders>
              <w:top w:val="nil"/>
              <w:left w:val="nil"/>
              <w:bottom w:val="single" w:sz="4" w:space="0" w:color="auto"/>
              <w:right w:val="single" w:sz="4" w:space="0" w:color="auto"/>
            </w:tcBorders>
            <w:shd w:val="clear" w:color="auto" w:fill="auto"/>
            <w:noWrap/>
            <w:vAlign w:val="center"/>
            <w:hideMark/>
          </w:tcPr>
          <w:p w14:paraId="6276A8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27,30</w:t>
            </w:r>
          </w:p>
        </w:tc>
      </w:tr>
      <w:tr w:rsidR="00BF12D5" w:rsidRPr="00BD0223" w14:paraId="06D7A19E"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561957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LIMEIRA DO OESTE</w:t>
            </w:r>
          </w:p>
        </w:tc>
        <w:tc>
          <w:tcPr>
            <w:tcW w:w="1182" w:type="dxa"/>
            <w:tcBorders>
              <w:top w:val="nil"/>
              <w:left w:val="nil"/>
              <w:bottom w:val="single" w:sz="4" w:space="0" w:color="auto"/>
              <w:right w:val="single" w:sz="4" w:space="0" w:color="auto"/>
            </w:tcBorders>
            <w:shd w:val="clear" w:color="auto" w:fill="auto"/>
            <w:noWrap/>
            <w:vAlign w:val="center"/>
            <w:hideMark/>
          </w:tcPr>
          <w:p w14:paraId="2543D25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6,49</w:t>
            </w:r>
          </w:p>
        </w:tc>
        <w:tc>
          <w:tcPr>
            <w:tcW w:w="1182" w:type="dxa"/>
            <w:tcBorders>
              <w:top w:val="nil"/>
              <w:left w:val="nil"/>
              <w:bottom w:val="single" w:sz="4" w:space="0" w:color="auto"/>
              <w:right w:val="single" w:sz="4" w:space="0" w:color="auto"/>
            </w:tcBorders>
            <w:shd w:val="clear" w:color="auto" w:fill="auto"/>
            <w:noWrap/>
            <w:vAlign w:val="center"/>
            <w:hideMark/>
          </w:tcPr>
          <w:p w14:paraId="35E85FE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6,72</w:t>
            </w:r>
          </w:p>
        </w:tc>
        <w:tc>
          <w:tcPr>
            <w:tcW w:w="1182" w:type="dxa"/>
            <w:tcBorders>
              <w:top w:val="nil"/>
              <w:left w:val="nil"/>
              <w:bottom w:val="single" w:sz="4" w:space="0" w:color="auto"/>
              <w:right w:val="single" w:sz="4" w:space="0" w:color="auto"/>
            </w:tcBorders>
            <w:shd w:val="clear" w:color="auto" w:fill="auto"/>
            <w:noWrap/>
            <w:vAlign w:val="center"/>
            <w:hideMark/>
          </w:tcPr>
          <w:p w14:paraId="2EB482D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7,55</w:t>
            </w:r>
          </w:p>
        </w:tc>
        <w:tc>
          <w:tcPr>
            <w:tcW w:w="1182" w:type="dxa"/>
            <w:tcBorders>
              <w:top w:val="nil"/>
              <w:left w:val="nil"/>
              <w:bottom w:val="single" w:sz="4" w:space="0" w:color="auto"/>
              <w:right w:val="single" w:sz="4" w:space="0" w:color="auto"/>
            </w:tcBorders>
            <w:shd w:val="clear" w:color="auto" w:fill="auto"/>
            <w:noWrap/>
            <w:vAlign w:val="center"/>
            <w:hideMark/>
          </w:tcPr>
          <w:p w14:paraId="5E0BCB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9,46</w:t>
            </w:r>
          </w:p>
        </w:tc>
        <w:tc>
          <w:tcPr>
            <w:tcW w:w="1182" w:type="dxa"/>
            <w:tcBorders>
              <w:top w:val="nil"/>
              <w:left w:val="nil"/>
              <w:bottom w:val="single" w:sz="4" w:space="0" w:color="auto"/>
              <w:right w:val="single" w:sz="4" w:space="0" w:color="auto"/>
            </w:tcBorders>
            <w:shd w:val="clear" w:color="auto" w:fill="auto"/>
            <w:noWrap/>
            <w:vAlign w:val="center"/>
            <w:hideMark/>
          </w:tcPr>
          <w:p w14:paraId="0582D2A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9,23</w:t>
            </w:r>
          </w:p>
        </w:tc>
      </w:tr>
      <w:tr w:rsidR="00BF12D5" w:rsidRPr="00BD0223" w14:paraId="00EAAD90"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195FDB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MONTE ALEGRE DE MINAS</w:t>
            </w:r>
          </w:p>
        </w:tc>
        <w:tc>
          <w:tcPr>
            <w:tcW w:w="1182" w:type="dxa"/>
            <w:tcBorders>
              <w:top w:val="nil"/>
              <w:left w:val="nil"/>
              <w:bottom w:val="single" w:sz="4" w:space="0" w:color="auto"/>
              <w:right w:val="single" w:sz="4" w:space="0" w:color="auto"/>
            </w:tcBorders>
            <w:shd w:val="clear" w:color="auto" w:fill="auto"/>
            <w:noWrap/>
            <w:vAlign w:val="center"/>
            <w:hideMark/>
          </w:tcPr>
          <w:p w14:paraId="0D6830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6,25</w:t>
            </w:r>
          </w:p>
        </w:tc>
        <w:tc>
          <w:tcPr>
            <w:tcW w:w="1182" w:type="dxa"/>
            <w:tcBorders>
              <w:top w:val="nil"/>
              <w:left w:val="nil"/>
              <w:bottom w:val="single" w:sz="4" w:space="0" w:color="auto"/>
              <w:right w:val="single" w:sz="4" w:space="0" w:color="auto"/>
            </w:tcBorders>
            <w:shd w:val="clear" w:color="auto" w:fill="auto"/>
            <w:noWrap/>
            <w:vAlign w:val="center"/>
            <w:hideMark/>
          </w:tcPr>
          <w:p w14:paraId="71213DA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6,78</w:t>
            </w:r>
          </w:p>
        </w:tc>
        <w:tc>
          <w:tcPr>
            <w:tcW w:w="1182" w:type="dxa"/>
            <w:tcBorders>
              <w:top w:val="nil"/>
              <w:left w:val="nil"/>
              <w:bottom w:val="single" w:sz="4" w:space="0" w:color="auto"/>
              <w:right w:val="single" w:sz="4" w:space="0" w:color="auto"/>
            </w:tcBorders>
            <w:shd w:val="clear" w:color="auto" w:fill="auto"/>
            <w:noWrap/>
            <w:vAlign w:val="center"/>
            <w:hideMark/>
          </w:tcPr>
          <w:p w14:paraId="234849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7,02</w:t>
            </w:r>
          </w:p>
        </w:tc>
        <w:tc>
          <w:tcPr>
            <w:tcW w:w="1182" w:type="dxa"/>
            <w:tcBorders>
              <w:top w:val="nil"/>
              <w:left w:val="nil"/>
              <w:bottom w:val="single" w:sz="4" w:space="0" w:color="auto"/>
              <w:right w:val="single" w:sz="4" w:space="0" w:color="auto"/>
            </w:tcBorders>
            <w:shd w:val="clear" w:color="auto" w:fill="auto"/>
            <w:noWrap/>
            <w:vAlign w:val="center"/>
            <w:hideMark/>
          </w:tcPr>
          <w:p w14:paraId="273F49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8,88</w:t>
            </w:r>
          </w:p>
        </w:tc>
        <w:tc>
          <w:tcPr>
            <w:tcW w:w="1182" w:type="dxa"/>
            <w:tcBorders>
              <w:top w:val="nil"/>
              <w:left w:val="nil"/>
              <w:bottom w:val="single" w:sz="4" w:space="0" w:color="auto"/>
              <w:right w:val="single" w:sz="4" w:space="0" w:color="auto"/>
            </w:tcBorders>
            <w:shd w:val="clear" w:color="auto" w:fill="auto"/>
            <w:noWrap/>
            <w:vAlign w:val="center"/>
            <w:hideMark/>
          </w:tcPr>
          <w:p w14:paraId="41EB74B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11,43</w:t>
            </w:r>
          </w:p>
        </w:tc>
      </w:tr>
      <w:tr w:rsidR="00BF12D5" w:rsidRPr="00BD0223" w14:paraId="1C2DF1DC"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46112F8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PIRAJUBA</w:t>
            </w:r>
          </w:p>
        </w:tc>
        <w:tc>
          <w:tcPr>
            <w:tcW w:w="1182" w:type="dxa"/>
            <w:tcBorders>
              <w:top w:val="nil"/>
              <w:left w:val="nil"/>
              <w:bottom w:val="single" w:sz="4" w:space="0" w:color="auto"/>
              <w:right w:val="single" w:sz="4" w:space="0" w:color="auto"/>
            </w:tcBorders>
            <w:shd w:val="clear" w:color="auto" w:fill="auto"/>
            <w:noWrap/>
            <w:vAlign w:val="center"/>
            <w:hideMark/>
          </w:tcPr>
          <w:p w14:paraId="1C59FD9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8,91</w:t>
            </w:r>
          </w:p>
        </w:tc>
        <w:tc>
          <w:tcPr>
            <w:tcW w:w="1182" w:type="dxa"/>
            <w:tcBorders>
              <w:top w:val="nil"/>
              <w:left w:val="nil"/>
              <w:bottom w:val="single" w:sz="4" w:space="0" w:color="auto"/>
              <w:right w:val="single" w:sz="4" w:space="0" w:color="auto"/>
            </w:tcBorders>
            <w:shd w:val="clear" w:color="auto" w:fill="auto"/>
            <w:noWrap/>
            <w:vAlign w:val="center"/>
            <w:hideMark/>
          </w:tcPr>
          <w:p w14:paraId="4361F56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8,63</w:t>
            </w:r>
          </w:p>
        </w:tc>
        <w:tc>
          <w:tcPr>
            <w:tcW w:w="1182" w:type="dxa"/>
            <w:tcBorders>
              <w:top w:val="nil"/>
              <w:left w:val="nil"/>
              <w:bottom w:val="single" w:sz="4" w:space="0" w:color="auto"/>
              <w:right w:val="single" w:sz="4" w:space="0" w:color="auto"/>
            </w:tcBorders>
            <w:shd w:val="clear" w:color="auto" w:fill="auto"/>
            <w:noWrap/>
            <w:vAlign w:val="center"/>
            <w:hideMark/>
          </w:tcPr>
          <w:p w14:paraId="201033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10,08</w:t>
            </w:r>
          </w:p>
        </w:tc>
        <w:tc>
          <w:tcPr>
            <w:tcW w:w="1182" w:type="dxa"/>
            <w:tcBorders>
              <w:top w:val="nil"/>
              <w:left w:val="nil"/>
              <w:bottom w:val="single" w:sz="4" w:space="0" w:color="auto"/>
              <w:right w:val="single" w:sz="4" w:space="0" w:color="auto"/>
            </w:tcBorders>
            <w:shd w:val="clear" w:color="auto" w:fill="auto"/>
            <w:noWrap/>
            <w:vAlign w:val="center"/>
            <w:hideMark/>
          </w:tcPr>
          <w:p w14:paraId="289C5E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10,90</w:t>
            </w:r>
          </w:p>
        </w:tc>
        <w:tc>
          <w:tcPr>
            <w:tcW w:w="1182" w:type="dxa"/>
            <w:tcBorders>
              <w:top w:val="nil"/>
              <w:left w:val="nil"/>
              <w:bottom w:val="single" w:sz="4" w:space="0" w:color="auto"/>
              <w:right w:val="single" w:sz="4" w:space="0" w:color="auto"/>
            </w:tcBorders>
            <w:shd w:val="clear" w:color="auto" w:fill="auto"/>
            <w:noWrap/>
            <w:vAlign w:val="center"/>
            <w:hideMark/>
          </w:tcPr>
          <w:p w14:paraId="11E5139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11,63</w:t>
            </w:r>
          </w:p>
        </w:tc>
      </w:tr>
      <w:tr w:rsidR="00BF12D5" w:rsidRPr="00BD0223" w14:paraId="15E808D3"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29A442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PLANURA</w:t>
            </w:r>
          </w:p>
        </w:tc>
        <w:tc>
          <w:tcPr>
            <w:tcW w:w="1182" w:type="dxa"/>
            <w:tcBorders>
              <w:top w:val="nil"/>
              <w:left w:val="nil"/>
              <w:bottom w:val="single" w:sz="4" w:space="0" w:color="auto"/>
              <w:right w:val="single" w:sz="4" w:space="0" w:color="auto"/>
            </w:tcBorders>
            <w:shd w:val="clear" w:color="auto" w:fill="auto"/>
            <w:noWrap/>
            <w:vAlign w:val="center"/>
            <w:hideMark/>
          </w:tcPr>
          <w:p w14:paraId="1D9881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0,99</w:t>
            </w:r>
          </w:p>
        </w:tc>
        <w:tc>
          <w:tcPr>
            <w:tcW w:w="1182" w:type="dxa"/>
            <w:tcBorders>
              <w:top w:val="nil"/>
              <w:left w:val="nil"/>
              <w:bottom w:val="single" w:sz="4" w:space="0" w:color="auto"/>
              <w:right w:val="single" w:sz="4" w:space="0" w:color="auto"/>
            </w:tcBorders>
            <w:shd w:val="clear" w:color="auto" w:fill="auto"/>
            <w:noWrap/>
            <w:vAlign w:val="center"/>
            <w:hideMark/>
          </w:tcPr>
          <w:p w14:paraId="7EA3FA3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1,13</w:t>
            </w:r>
          </w:p>
        </w:tc>
        <w:tc>
          <w:tcPr>
            <w:tcW w:w="1182" w:type="dxa"/>
            <w:tcBorders>
              <w:top w:val="nil"/>
              <w:left w:val="nil"/>
              <w:bottom w:val="single" w:sz="4" w:space="0" w:color="auto"/>
              <w:right w:val="single" w:sz="4" w:space="0" w:color="auto"/>
            </w:tcBorders>
            <w:shd w:val="clear" w:color="auto" w:fill="auto"/>
            <w:noWrap/>
            <w:vAlign w:val="center"/>
            <w:hideMark/>
          </w:tcPr>
          <w:p w14:paraId="73C250F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1,87</w:t>
            </w:r>
          </w:p>
        </w:tc>
        <w:tc>
          <w:tcPr>
            <w:tcW w:w="1182" w:type="dxa"/>
            <w:tcBorders>
              <w:top w:val="nil"/>
              <w:left w:val="nil"/>
              <w:bottom w:val="single" w:sz="4" w:space="0" w:color="auto"/>
              <w:right w:val="single" w:sz="4" w:space="0" w:color="auto"/>
            </w:tcBorders>
            <w:shd w:val="clear" w:color="auto" w:fill="auto"/>
            <w:noWrap/>
            <w:vAlign w:val="center"/>
            <w:hideMark/>
          </w:tcPr>
          <w:p w14:paraId="00A8F6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0,80</w:t>
            </w:r>
          </w:p>
        </w:tc>
        <w:tc>
          <w:tcPr>
            <w:tcW w:w="1182" w:type="dxa"/>
            <w:tcBorders>
              <w:top w:val="nil"/>
              <w:left w:val="nil"/>
              <w:bottom w:val="single" w:sz="4" w:space="0" w:color="auto"/>
              <w:right w:val="single" w:sz="4" w:space="0" w:color="auto"/>
            </w:tcBorders>
            <w:shd w:val="clear" w:color="auto" w:fill="auto"/>
            <w:noWrap/>
            <w:vAlign w:val="center"/>
            <w:hideMark/>
          </w:tcPr>
          <w:p w14:paraId="6D133BB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0,50</w:t>
            </w:r>
          </w:p>
        </w:tc>
      </w:tr>
      <w:tr w:rsidR="00BF12D5" w:rsidRPr="00BD0223" w14:paraId="71731CEB"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01A73E0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PRATA</w:t>
            </w:r>
          </w:p>
        </w:tc>
        <w:tc>
          <w:tcPr>
            <w:tcW w:w="1182" w:type="dxa"/>
            <w:tcBorders>
              <w:top w:val="nil"/>
              <w:left w:val="nil"/>
              <w:bottom w:val="single" w:sz="4" w:space="0" w:color="auto"/>
              <w:right w:val="single" w:sz="4" w:space="0" w:color="auto"/>
            </w:tcBorders>
            <w:shd w:val="clear" w:color="auto" w:fill="auto"/>
            <w:noWrap/>
            <w:vAlign w:val="center"/>
            <w:hideMark/>
          </w:tcPr>
          <w:p w14:paraId="08034EF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91,88</w:t>
            </w:r>
          </w:p>
        </w:tc>
        <w:tc>
          <w:tcPr>
            <w:tcW w:w="1182" w:type="dxa"/>
            <w:tcBorders>
              <w:top w:val="nil"/>
              <w:left w:val="nil"/>
              <w:bottom w:val="single" w:sz="4" w:space="0" w:color="auto"/>
              <w:right w:val="single" w:sz="4" w:space="0" w:color="auto"/>
            </w:tcBorders>
            <w:shd w:val="clear" w:color="auto" w:fill="auto"/>
            <w:noWrap/>
            <w:vAlign w:val="center"/>
            <w:hideMark/>
          </w:tcPr>
          <w:p w14:paraId="01F8101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117,82</w:t>
            </w:r>
          </w:p>
        </w:tc>
        <w:tc>
          <w:tcPr>
            <w:tcW w:w="1182" w:type="dxa"/>
            <w:tcBorders>
              <w:top w:val="nil"/>
              <w:left w:val="nil"/>
              <w:bottom w:val="single" w:sz="4" w:space="0" w:color="auto"/>
              <w:right w:val="single" w:sz="4" w:space="0" w:color="auto"/>
            </w:tcBorders>
            <w:shd w:val="clear" w:color="auto" w:fill="auto"/>
            <w:noWrap/>
            <w:vAlign w:val="center"/>
            <w:hideMark/>
          </w:tcPr>
          <w:p w14:paraId="248E7C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128,66</w:t>
            </w:r>
          </w:p>
        </w:tc>
        <w:tc>
          <w:tcPr>
            <w:tcW w:w="1182" w:type="dxa"/>
            <w:tcBorders>
              <w:top w:val="nil"/>
              <w:left w:val="nil"/>
              <w:bottom w:val="single" w:sz="4" w:space="0" w:color="auto"/>
              <w:right w:val="single" w:sz="4" w:space="0" w:color="auto"/>
            </w:tcBorders>
            <w:shd w:val="clear" w:color="auto" w:fill="auto"/>
            <w:noWrap/>
            <w:vAlign w:val="center"/>
            <w:hideMark/>
          </w:tcPr>
          <w:p w14:paraId="094305F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142,95</w:t>
            </w:r>
          </w:p>
        </w:tc>
        <w:tc>
          <w:tcPr>
            <w:tcW w:w="1182" w:type="dxa"/>
            <w:tcBorders>
              <w:top w:val="nil"/>
              <w:left w:val="nil"/>
              <w:bottom w:val="single" w:sz="4" w:space="0" w:color="auto"/>
              <w:right w:val="single" w:sz="4" w:space="0" w:color="auto"/>
            </w:tcBorders>
            <w:shd w:val="clear" w:color="auto" w:fill="auto"/>
            <w:noWrap/>
            <w:vAlign w:val="center"/>
            <w:hideMark/>
          </w:tcPr>
          <w:p w14:paraId="6B492DE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152,41</w:t>
            </w:r>
          </w:p>
        </w:tc>
      </w:tr>
      <w:tr w:rsidR="00BF12D5" w:rsidRPr="00BD0223" w14:paraId="49BC5887"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682960B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ROSARIO DA LIMEIRA</w:t>
            </w:r>
          </w:p>
        </w:tc>
        <w:tc>
          <w:tcPr>
            <w:tcW w:w="1182" w:type="dxa"/>
            <w:tcBorders>
              <w:top w:val="nil"/>
              <w:left w:val="nil"/>
              <w:bottom w:val="single" w:sz="4" w:space="0" w:color="auto"/>
              <w:right w:val="single" w:sz="4" w:space="0" w:color="auto"/>
            </w:tcBorders>
            <w:shd w:val="clear" w:color="auto" w:fill="auto"/>
            <w:noWrap/>
            <w:vAlign w:val="center"/>
            <w:hideMark/>
          </w:tcPr>
          <w:p w14:paraId="167095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0,18</w:t>
            </w:r>
          </w:p>
        </w:tc>
        <w:tc>
          <w:tcPr>
            <w:tcW w:w="1182" w:type="dxa"/>
            <w:tcBorders>
              <w:top w:val="nil"/>
              <w:left w:val="nil"/>
              <w:bottom w:val="single" w:sz="4" w:space="0" w:color="auto"/>
              <w:right w:val="single" w:sz="4" w:space="0" w:color="auto"/>
            </w:tcBorders>
            <w:shd w:val="clear" w:color="auto" w:fill="auto"/>
            <w:noWrap/>
            <w:vAlign w:val="center"/>
            <w:hideMark/>
          </w:tcPr>
          <w:p w14:paraId="78136A5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0,18</w:t>
            </w:r>
          </w:p>
        </w:tc>
        <w:tc>
          <w:tcPr>
            <w:tcW w:w="1182" w:type="dxa"/>
            <w:tcBorders>
              <w:top w:val="nil"/>
              <w:left w:val="nil"/>
              <w:bottom w:val="single" w:sz="4" w:space="0" w:color="auto"/>
              <w:right w:val="single" w:sz="4" w:space="0" w:color="auto"/>
            </w:tcBorders>
            <w:shd w:val="clear" w:color="auto" w:fill="auto"/>
            <w:noWrap/>
            <w:vAlign w:val="center"/>
            <w:hideMark/>
          </w:tcPr>
          <w:p w14:paraId="1BE287A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0,19</w:t>
            </w:r>
          </w:p>
        </w:tc>
        <w:tc>
          <w:tcPr>
            <w:tcW w:w="1182" w:type="dxa"/>
            <w:tcBorders>
              <w:top w:val="nil"/>
              <w:left w:val="nil"/>
              <w:bottom w:val="single" w:sz="4" w:space="0" w:color="auto"/>
              <w:right w:val="single" w:sz="4" w:space="0" w:color="auto"/>
            </w:tcBorders>
            <w:shd w:val="clear" w:color="auto" w:fill="auto"/>
            <w:noWrap/>
            <w:vAlign w:val="center"/>
            <w:hideMark/>
          </w:tcPr>
          <w:p w14:paraId="5C7B16F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0,18</w:t>
            </w:r>
          </w:p>
        </w:tc>
        <w:tc>
          <w:tcPr>
            <w:tcW w:w="1182" w:type="dxa"/>
            <w:tcBorders>
              <w:top w:val="nil"/>
              <w:left w:val="nil"/>
              <w:bottom w:val="single" w:sz="4" w:space="0" w:color="auto"/>
              <w:right w:val="single" w:sz="4" w:space="0" w:color="auto"/>
            </w:tcBorders>
            <w:shd w:val="clear" w:color="auto" w:fill="auto"/>
            <w:noWrap/>
            <w:vAlign w:val="center"/>
            <w:hideMark/>
          </w:tcPr>
          <w:p w14:paraId="792CE0E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0,22</w:t>
            </w:r>
          </w:p>
        </w:tc>
      </w:tr>
      <w:tr w:rsidR="00BF12D5" w:rsidRPr="00BD0223" w14:paraId="406AD73F"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599D1AD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VITORIA</w:t>
            </w:r>
          </w:p>
        </w:tc>
        <w:tc>
          <w:tcPr>
            <w:tcW w:w="1182" w:type="dxa"/>
            <w:tcBorders>
              <w:top w:val="nil"/>
              <w:left w:val="nil"/>
              <w:bottom w:val="single" w:sz="4" w:space="0" w:color="auto"/>
              <w:right w:val="single" w:sz="4" w:space="0" w:color="auto"/>
            </w:tcBorders>
            <w:shd w:val="clear" w:color="auto" w:fill="auto"/>
            <w:noWrap/>
            <w:vAlign w:val="center"/>
            <w:hideMark/>
          </w:tcPr>
          <w:p w14:paraId="7B1AB3B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13,55</w:t>
            </w:r>
          </w:p>
        </w:tc>
        <w:tc>
          <w:tcPr>
            <w:tcW w:w="1182" w:type="dxa"/>
            <w:tcBorders>
              <w:top w:val="nil"/>
              <w:left w:val="nil"/>
              <w:bottom w:val="single" w:sz="4" w:space="0" w:color="auto"/>
              <w:right w:val="single" w:sz="4" w:space="0" w:color="auto"/>
            </w:tcBorders>
            <w:shd w:val="clear" w:color="auto" w:fill="auto"/>
            <w:noWrap/>
            <w:vAlign w:val="center"/>
            <w:hideMark/>
          </w:tcPr>
          <w:p w14:paraId="4A6D73F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13,60</w:t>
            </w:r>
          </w:p>
        </w:tc>
        <w:tc>
          <w:tcPr>
            <w:tcW w:w="1182" w:type="dxa"/>
            <w:tcBorders>
              <w:top w:val="nil"/>
              <w:left w:val="nil"/>
              <w:bottom w:val="single" w:sz="4" w:space="0" w:color="auto"/>
              <w:right w:val="single" w:sz="4" w:space="0" w:color="auto"/>
            </w:tcBorders>
            <w:shd w:val="clear" w:color="auto" w:fill="auto"/>
            <w:noWrap/>
            <w:vAlign w:val="center"/>
            <w:hideMark/>
          </w:tcPr>
          <w:p w14:paraId="640751C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16,34</w:t>
            </w:r>
          </w:p>
        </w:tc>
        <w:tc>
          <w:tcPr>
            <w:tcW w:w="1182" w:type="dxa"/>
            <w:tcBorders>
              <w:top w:val="nil"/>
              <w:left w:val="nil"/>
              <w:bottom w:val="single" w:sz="4" w:space="0" w:color="auto"/>
              <w:right w:val="single" w:sz="4" w:space="0" w:color="auto"/>
            </w:tcBorders>
            <w:shd w:val="clear" w:color="auto" w:fill="auto"/>
            <w:noWrap/>
            <w:vAlign w:val="center"/>
            <w:hideMark/>
          </w:tcPr>
          <w:p w14:paraId="07DA1BB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16,49</w:t>
            </w:r>
          </w:p>
        </w:tc>
        <w:tc>
          <w:tcPr>
            <w:tcW w:w="1182" w:type="dxa"/>
            <w:tcBorders>
              <w:top w:val="nil"/>
              <w:left w:val="nil"/>
              <w:bottom w:val="single" w:sz="4" w:space="0" w:color="auto"/>
              <w:right w:val="single" w:sz="4" w:space="0" w:color="auto"/>
            </w:tcBorders>
            <w:shd w:val="clear" w:color="auto" w:fill="auto"/>
            <w:noWrap/>
            <w:vAlign w:val="center"/>
            <w:hideMark/>
          </w:tcPr>
          <w:p w14:paraId="5565E0B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10,29</w:t>
            </w:r>
          </w:p>
        </w:tc>
      </w:tr>
      <w:tr w:rsidR="00BF12D5" w:rsidRPr="00BD0223" w14:paraId="4DFF36EB"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5DD075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FRANCISCO DE SALES</w:t>
            </w:r>
          </w:p>
        </w:tc>
        <w:tc>
          <w:tcPr>
            <w:tcW w:w="1182" w:type="dxa"/>
            <w:tcBorders>
              <w:top w:val="nil"/>
              <w:left w:val="nil"/>
              <w:bottom w:val="single" w:sz="4" w:space="0" w:color="auto"/>
              <w:right w:val="single" w:sz="4" w:space="0" w:color="auto"/>
            </w:tcBorders>
            <w:shd w:val="clear" w:color="auto" w:fill="auto"/>
            <w:noWrap/>
            <w:vAlign w:val="center"/>
            <w:hideMark/>
          </w:tcPr>
          <w:p w14:paraId="2125C7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0,97</w:t>
            </w:r>
          </w:p>
        </w:tc>
        <w:tc>
          <w:tcPr>
            <w:tcW w:w="1182" w:type="dxa"/>
            <w:tcBorders>
              <w:top w:val="nil"/>
              <w:left w:val="nil"/>
              <w:bottom w:val="single" w:sz="4" w:space="0" w:color="auto"/>
              <w:right w:val="single" w:sz="4" w:space="0" w:color="auto"/>
            </w:tcBorders>
            <w:shd w:val="clear" w:color="auto" w:fill="auto"/>
            <w:noWrap/>
            <w:vAlign w:val="center"/>
            <w:hideMark/>
          </w:tcPr>
          <w:p w14:paraId="41711F9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0,87</w:t>
            </w:r>
          </w:p>
        </w:tc>
        <w:tc>
          <w:tcPr>
            <w:tcW w:w="1182" w:type="dxa"/>
            <w:tcBorders>
              <w:top w:val="nil"/>
              <w:left w:val="nil"/>
              <w:bottom w:val="single" w:sz="4" w:space="0" w:color="auto"/>
              <w:right w:val="single" w:sz="4" w:space="0" w:color="auto"/>
            </w:tcBorders>
            <w:shd w:val="clear" w:color="auto" w:fill="auto"/>
            <w:noWrap/>
            <w:vAlign w:val="center"/>
            <w:hideMark/>
          </w:tcPr>
          <w:p w14:paraId="2BD6719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0,91</w:t>
            </w:r>
          </w:p>
        </w:tc>
        <w:tc>
          <w:tcPr>
            <w:tcW w:w="1182" w:type="dxa"/>
            <w:tcBorders>
              <w:top w:val="nil"/>
              <w:left w:val="nil"/>
              <w:bottom w:val="single" w:sz="4" w:space="0" w:color="auto"/>
              <w:right w:val="single" w:sz="4" w:space="0" w:color="auto"/>
            </w:tcBorders>
            <w:shd w:val="clear" w:color="auto" w:fill="auto"/>
            <w:noWrap/>
            <w:vAlign w:val="center"/>
            <w:hideMark/>
          </w:tcPr>
          <w:p w14:paraId="5CD0D0D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1,05</w:t>
            </w:r>
          </w:p>
        </w:tc>
        <w:tc>
          <w:tcPr>
            <w:tcW w:w="1182" w:type="dxa"/>
            <w:tcBorders>
              <w:top w:val="nil"/>
              <w:left w:val="nil"/>
              <w:bottom w:val="single" w:sz="4" w:space="0" w:color="auto"/>
              <w:right w:val="single" w:sz="4" w:space="0" w:color="auto"/>
            </w:tcBorders>
            <w:shd w:val="clear" w:color="auto" w:fill="auto"/>
            <w:noWrap/>
            <w:vAlign w:val="center"/>
            <w:hideMark/>
          </w:tcPr>
          <w:p w14:paraId="51E80B1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0,95</w:t>
            </w:r>
          </w:p>
        </w:tc>
      </w:tr>
      <w:tr w:rsidR="00BF12D5" w:rsidRPr="00BD0223" w14:paraId="42A3D697"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52EAB7F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TUPACIGUARA</w:t>
            </w:r>
          </w:p>
        </w:tc>
        <w:tc>
          <w:tcPr>
            <w:tcW w:w="1182" w:type="dxa"/>
            <w:tcBorders>
              <w:top w:val="nil"/>
              <w:left w:val="nil"/>
              <w:bottom w:val="single" w:sz="4" w:space="0" w:color="auto"/>
              <w:right w:val="single" w:sz="4" w:space="0" w:color="auto"/>
            </w:tcBorders>
            <w:shd w:val="clear" w:color="auto" w:fill="auto"/>
            <w:noWrap/>
            <w:vAlign w:val="center"/>
            <w:hideMark/>
          </w:tcPr>
          <w:p w14:paraId="11A0CD2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5,19</w:t>
            </w:r>
          </w:p>
        </w:tc>
        <w:tc>
          <w:tcPr>
            <w:tcW w:w="1182" w:type="dxa"/>
            <w:tcBorders>
              <w:top w:val="nil"/>
              <w:left w:val="nil"/>
              <w:bottom w:val="single" w:sz="4" w:space="0" w:color="auto"/>
              <w:right w:val="single" w:sz="4" w:space="0" w:color="auto"/>
            </w:tcBorders>
            <w:shd w:val="clear" w:color="auto" w:fill="auto"/>
            <w:noWrap/>
            <w:vAlign w:val="center"/>
            <w:hideMark/>
          </w:tcPr>
          <w:p w14:paraId="60EB617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4,75</w:t>
            </w:r>
          </w:p>
        </w:tc>
        <w:tc>
          <w:tcPr>
            <w:tcW w:w="1182" w:type="dxa"/>
            <w:tcBorders>
              <w:top w:val="nil"/>
              <w:left w:val="nil"/>
              <w:bottom w:val="single" w:sz="4" w:space="0" w:color="auto"/>
              <w:right w:val="single" w:sz="4" w:space="0" w:color="auto"/>
            </w:tcBorders>
            <w:shd w:val="clear" w:color="auto" w:fill="auto"/>
            <w:noWrap/>
            <w:vAlign w:val="center"/>
            <w:hideMark/>
          </w:tcPr>
          <w:p w14:paraId="41077F6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7,55</w:t>
            </w:r>
          </w:p>
        </w:tc>
        <w:tc>
          <w:tcPr>
            <w:tcW w:w="1182" w:type="dxa"/>
            <w:tcBorders>
              <w:top w:val="nil"/>
              <w:left w:val="nil"/>
              <w:bottom w:val="single" w:sz="4" w:space="0" w:color="auto"/>
              <w:right w:val="single" w:sz="4" w:space="0" w:color="auto"/>
            </w:tcBorders>
            <w:shd w:val="clear" w:color="auto" w:fill="auto"/>
            <w:noWrap/>
            <w:vAlign w:val="center"/>
            <w:hideMark/>
          </w:tcPr>
          <w:p w14:paraId="57AE81F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8,23</w:t>
            </w:r>
          </w:p>
        </w:tc>
        <w:tc>
          <w:tcPr>
            <w:tcW w:w="1182" w:type="dxa"/>
            <w:tcBorders>
              <w:top w:val="nil"/>
              <w:left w:val="nil"/>
              <w:bottom w:val="single" w:sz="4" w:space="0" w:color="auto"/>
              <w:right w:val="single" w:sz="4" w:space="0" w:color="auto"/>
            </w:tcBorders>
            <w:shd w:val="clear" w:color="auto" w:fill="auto"/>
            <w:noWrap/>
            <w:vAlign w:val="center"/>
            <w:hideMark/>
          </w:tcPr>
          <w:p w14:paraId="5CBC660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8,33</w:t>
            </w:r>
          </w:p>
        </w:tc>
      </w:tr>
      <w:tr w:rsidR="00BF12D5" w:rsidRPr="00BD0223" w14:paraId="2F94BE4C"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226C3ED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UBERABA</w:t>
            </w:r>
          </w:p>
        </w:tc>
        <w:tc>
          <w:tcPr>
            <w:tcW w:w="1182" w:type="dxa"/>
            <w:tcBorders>
              <w:top w:val="nil"/>
              <w:left w:val="nil"/>
              <w:bottom w:val="single" w:sz="4" w:space="0" w:color="auto"/>
              <w:right w:val="single" w:sz="4" w:space="0" w:color="auto"/>
            </w:tcBorders>
            <w:shd w:val="clear" w:color="auto" w:fill="auto"/>
            <w:noWrap/>
            <w:vAlign w:val="center"/>
            <w:hideMark/>
          </w:tcPr>
          <w:p w14:paraId="2DB38B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161,56</w:t>
            </w:r>
          </w:p>
        </w:tc>
        <w:tc>
          <w:tcPr>
            <w:tcW w:w="1182" w:type="dxa"/>
            <w:tcBorders>
              <w:top w:val="nil"/>
              <w:left w:val="nil"/>
              <w:bottom w:val="single" w:sz="4" w:space="0" w:color="auto"/>
              <w:right w:val="single" w:sz="4" w:space="0" w:color="auto"/>
            </w:tcBorders>
            <w:shd w:val="clear" w:color="auto" w:fill="auto"/>
            <w:noWrap/>
            <w:vAlign w:val="center"/>
            <w:hideMark/>
          </w:tcPr>
          <w:p w14:paraId="5C0465A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173,48</w:t>
            </w:r>
          </w:p>
        </w:tc>
        <w:tc>
          <w:tcPr>
            <w:tcW w:w="1182" w:type="dxa"/>
            <w:tcBorders>
              <w:top w:val="nil"/>
              <w:left w:val="nil"/>
              <w:bottom w:val="single" w:sz="4" w:space="0" w:color="auto"/>
              <w:right w:val="single" w:sz="4" w:space="0" w:color="auto"/>
            </w:tcBorders>
            <w:shd w:val="clear" w:color="auto" w:fill="auto"/>
            <w:noWrap/>
            <w:vAlign w:val="center"/>
            <w:hideMark/>
          </w:tcPr>
          <w:p w14:paraId="2FBD17B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165,27</w:t>
            </w:r>
          </w:p>
        </w:tc>
        <w:tc>
          <w:tcPr>
            <w:tcW w:w="1182" w:type="dxa"/>
            <w:tcBorders>
              <w:top w:val="nil"/>
              <w:left w:val="nil"/>
              <w:bottom w:val="single" w:sz="4" w:space="0" w:color="auto"/>
              <w:right w:val="single" w:sz="4" w:space="0" w:color="auto"/>
            </w:tcBorders>
            <w:shd w:val="clear" w:color="auto" w:fill="auto"/>
            <w:noWrap/>
            <w:vAlign w:val="center"/>
            <w:hideMark/>
          </w:tcPr>
          <w:p w14:paraId="0443324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156,10</w:t>
            </w:r>
          </w:p>
        </w:tc>
        <w:tc>
          <w:tcPr>
            <w:tcW w:w="1182" w:type="dxa"/>
            <w:tcBorders>
              <w:top w:val="nil"/>
              <w:left w:val="nil"/>
              <w:bottom w:val="single" w:sz="4" w:space="0" w:color="auto"/>
              <w:right w:val="single" w:sz="4" w:space="0" w:color="auto"/>
            </w:tcBorders>
            <w:shd w:val="clear" w:color="auto" w:fill="auto"/>
            <w:noWrap/>
            <w:vAlign w:val="center"/>
            <w:hideMark/>
          </w:tcPr>
          <w:p w14:paraId="20EC98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167,68</w:t>
            </w:r>
          </w:p>
        </w:tc>
      </w:tr>
      <w:tr w:rsidR="00BF12D5" w:rsidRPr="00BD0223" w14:paraId="0C7238BB"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785525B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UBERLANDIA</w:t>
            </w:r>
          </w:p>
        </w:tc>
        <w:tc>
          <w:tcPr>
            <w:tcW w:w="1182" w:type="dxa"/>
            <w:tcBorders>
              <w:top w:val="nil"/>
              <w:left w:val="nil"/>
              <w:bottom w:val="single" w:sz="4" w:space="0" w:color="auto"/>
              <w:right w:val="single" w:sz="4" w:space="0" w:color="auto"/>
            </w:tcBorders>
            <w:shd w:val="clear" w:color="auto" w:fill="auto"/>
            <w:noWrap/>
            <w:vAlign w:val="center"/>
            <w:hideMark/>
          </w:tcPr>
          <w:p w14:paraId="759437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273,44</w:t>
            </w:r>
          </w:p>
        </w:tc>
        <w:tc>
          <w:tcPr>
            <w:tcW w:w="1182" w:type="dxa"/>
            <w:tcBorders>
              <w:top w:val="nil"/>
              <w:left w:val="nil"/>
              <w:bottom w:val="single" w:sz="4" w:space="0" w:color="auto"/>
              <w:right w:val="single" w:sz="4" w:space="0" w:color="auto"/>
            </w:tcBorders>
            <w:shd w:val="clear" w:color="auto" w:fill="auto"/>
            <w:noWrap/>
            <w:vAlign w:val="center"/>
            <w:hideMark/>
          </w:tcPr>
          <w:p w14:paraId="522D32A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294,80</w:t>
            </w:r>
          </w:p>
        </w:tc>
        <w:tc>
          <w:tcPr>
            <w:tcW w:w="1182" w:type="dxa"/>
            <w:tcBorders>
              <w:top w:val="nil"/>
              <w:left w:val="nil"/>
              <w:bottom w:val="single" w:sz="4" w:space="0" w:color="auto"/>
              <w:right w:val="single" w:sz="4" w:space="0" w:color="auto"/>
            </w:tcBorders>
            <w:shd w:val="clear" w:color="auto" w:fill="auto"/>
            <w:noWrap/>
            <w:vAlign w:val="center"/>
            <w:hideMark/>
          </w:tcPr>
          <w:p w14:paraId="2AFCE44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306,23</w:t>
            </w:r>
          </w:p>
        </w:tc>
        <w:tc>
          <w:tcPr>
            <w:tcW w:w="1182" w:type="dxa"/>
            <w:tcBorders>
              <w:top w:val="nil"/>
              <w:left w:val="nil"/>
              <w:bottom w:val="single" w:sz="4" w:space="0" w:color="auto"/>
              <w:right w:val="single" w:sz="4" w:space="0" w:color="auto"/>
            </w:tcBorders>
            <w:shd w:val="clear" w:color="auto" w:fill="auto"/>
            <w:noWrap/>
            <w:vAlign w:val="center"/>
            <w:hideMark/>
          </w:tcPr>
          <w:p w14:paraId="42CEF0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310,32</w:t>
            </w:r>
          </w:p>
        </w:tc>
        <w:tc>
          <w:tcPr>
            <w:tcW w:w="1182" w:type="dxa"/>
            <w:tcBorders>
              <w:top w:val="nil"/>
              <w:left w:val="nil"/>
              <w:bottom w:val="single" w:sz="4" w:space="0" w:color="auto"/>
              <w:right w:val="single" w:sz="4" w:space="0" w:color="auto"/>
            </w:tcBorders>
            <w:shd w:val="clear" w:color="auto" w:fill="auto"/>
            <w:noWrap/>
            <w:vAlign w:val="center"/>
            <w:hideMark/>
          </w:tcPr>
          <w:p w14:paraId="17FAD2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315,38</w:t>
            </w:r>
          </w:p>
        </w:tc>
      </w:tr>
      <w:tr w:rsidR="00BF12D5" w:rsidRPr="00BD0223" w14:paraId="424ABA7D" w14:textId="77777777" w:rsidTr="0039539B">
        <w:trPr>
          <w:trHeight w:val="303"/>
          <w:jc w:val="center"/>
        </w:trPr>
        <w:tc>
          <w:tcPr>
            <w:tcW w:w="3151" w:type="dxa"/>
            <w:tcBorders>
              <w:top w:val="nil"/>
              <w:left w:val="single" w:sz="4" w:space="0" w:color="auto"/>
              <w:bottom w:val="single" w:sz="4" w:space="0" w:color="auto"/>
              <w:right w:val="single" w:sz="4" w:space="0" w:color="auto"/>
            </w:tcBorders>
            <w:shd w:val="clear" w:color="auto" w:fill="auto"/>
            <w:noWrap/>
            <w:vAlign w:val="center"/>
            <w:hideMark/>
          </w:tcPr>
          <w:p w14:paraId="14F722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UNIAO DE MINAS</w:t>
            </w:r>
          </w:p>
        </w:tc>
        <w:tc>
          <w:tcPr>
            <w:tcW w:w="1182" w:type="dxa"/>
            <w:tcBorders>
              <w:top w:val="nil"/>
              <w:left w:val="nil"/>
              <w:bottom w:val="single" w:sz="4" w:space="0" w:color="auto"/>
              <w:right w:val="single" w:sz="4" w:space="0" w:color="auto"/>
            </w:tcBorders>
            <w:shd w:val="clear" w:color="auto" w:fill="auto"/>
            <w:noWrap/>
            <w:vAlign w:val="center"/>
            <w:hideMark/>
          </w:tcPr>
          <w:p w14:paraId="67F8DD1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0,72</w:t>
            </w:r>
          </w:p>
        </w:tc>
        <w:tc>
          <w:tcPr>
            <w:tcW w:w="1182" w:type="dxa"/>
            <w:tcBorders>
              <w:top w:val="nil"/>
              <w:left w:val="nil"/>
              <w:bottom w:val="single" w:sz="4" w:space="0" w:color="auto"/>
              <w:right w:val="single" w:sz="4" w:space="0" w:color="auto"/>
            </w:tcBorders>
            <w:shd w:val="clear" w:color="auto" w:fill="auto"/>
            <w:noWrap/>
            <w:vAlign w:val="center"/>
            <w:hideMark/>
          </w:tcPr>
          <w:p w14:paraId="5145E02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0,52</w:t>
            </w:r>
          </w:p>
        </w:tc>
        <w:tc>
          <w:tcPr>
            <w:tcW w:w="1182" w:type="dxa"/>
            <w:tcBorders>
              <w:top w:val="nil"/>
              <w:left w:val="nil"/>
              <w:bottom w:val="single" w:sz="4" w:space="0" w:color="auto"/>
              <w:right w:val="single" w:sz="4" w:space="0" w:color="auto"/>
            </w:tcBorders>
            <w:shd w:val="clear" w:color="auto" w:fill="auto"/>
            <w:noWrap/>
            <w:vAlign w:val="center"/>
            <w:hideMark/>
          </w:tcPr>
          <w:p w14:paraId="00B5A9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1,19</w:t>
            </w:r>
          </w:p>
        </w:tc>
        <w:tc>
          <w:tcPr>
            <w:tcW w:w="1182" w:type="dxa"/>
            <w:tcBorders>
              <w:top w:val="nil"/>
              <w:left w:val="nil"/>
              <w:bottom w:val="single" w:sz="4" w:space="0" w:color="auto"/>
              <w:right w:val="single" w:sz="4" w:space="0" w:color="auto"/>
            </w:tcBorders>
            <w:shd w:val="clear" w:color="auto" w:fill="auto"/>
            <w:noWrap/>
            <w:vAlign w:val="center"/>
            <w:hideMark/>
          </w:tcPr>
          <w:p w14:paraId="542C43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1,42</w:t>
            </w:r>
          </w:p>
        </w:tc>
        <w:tc>
          <w:tcPr>
            <w:tcW w:w="1182" w:type="dxa"/>
            <w:tcBorders>
              <w:top w:val="nil"/>
              <w:left w:val="nil"/>
              <w:bottom w:val="single" w:sz="4" w:space="0" w:color="auto"/>
              <w:right w:val="single" w:sz="4" w:space="0" w:color="auto"/>
            </w:tcBorders>
            <w:shd w:val="clear" w:color="auto" w:fill="auto"/>
            <w:noWrap/>
            <w:vAlign w:val="center"/>
            <w:hideMark/>
          </w:tcPr>
          <w:p w14:paraId="411E4BB2" w14:textId="77777777" w:rsidR="00BF12D5" w:rsidRPr="00BD0223" w:rsidRDefault="00BF12D5" w:rsidP="0039539B">
            <w:pPr>
              <w:keepNext/>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1,57</w:t>
            </w:r>
          </w:p>
        </w:tc>
      </w:tr>
    </w:tbl>
    <w:p w14:paraId="47E12A8C" w14:textId="77777777" w:rsidR="00BF12D5" w:rsidRPr="00906965" w:rsidRDefault="00BF12D5" w:rsidP="00BF12D5">
      <w:pPr>
        <w:pStyle w:val="Ttabela-fonte"/>
        <w:rPr>
          <w:color w:val="FF0000"/>
        </w:rPr>
      </w:pPr>
      <w:r w:rsidRPr="00BD0223">
        <w:t>Fonte: ANP</w:t>
      </w:r>
      <w:r>
        <w:t xml:space="preserve">. </w:t>
      </w:r>
      <w:r w:rsidRPr="00906965">
        <w:t>Elaboração do Autor</w:t>
      </w:r>
      <w:r w:rsidRPr="008D398D">
        <w:rPr>
          <w:color w:val="FF0000"/>
        </w:rPr>
        <w:t>.</w:t>
      </w:r>
    </w:p>
    <w:p w14:paraId="242A0E3C" w14:textId="77777777" w:rsidR="00BF12D5" w:rsidRPr="00BD0223" w:rsidRDefault="00BF12D5" w:rsidP="00BF12D5">
      <w:pPr>
        <w:pStyle w:val="Tfigura-titulo"/>
        <w:spacing w:before="200"/>
        <w:jc w:val="both"/>
      </w:pPr>
      <w:r w:rsidRPr="00BD0223">
        <w:lastRenderedPageBreak/>
        <w:t xml:space="preserve">Tabela 18 - Vendas de óleo diesel, em milhões de litros, de </w:t>
      </w:r>
      <w:r>
        <w:t>municípios</w:t>
      </w:r>
      <w:r w:rsidRPr="00BD0223">
        <w:t xml:space="preserve"> selecionad</w:t>
      </w:r>
      <w:r>
        <w:t>o</w:t>
      </w:r>
      <w:r w:rsidRPr="00BD0223">
        <w:t xml:space="preserve">s do Triângulo Mineiro das </w:t>
      </w:r>
      <w:r>
        <w:t>M</w:t>
      </w:r>
      <w:r w:rsidRPr="00BD0223">
        <w:t>icrorregiões de Uberlândia, Uberaba, Frutal e Ituiutaba de 2015 a 2018.</w:t>
      </w:r>
    </w:p>
    <w:tbl>
      <w:tblPr>
        <w:tblW w:w="5000" w:type="pct"/>
        <w:jc w:val="center"/>
        <w:tblCellMar>
          <w:left w:w="70" w:type="dxa"/>
          <w:right w:w="70" w:type="dxa"/>
        </w:tblCellMar>
        <w:tblLook w:val="04A0" w:firstRow="1" w:lastRow="0" w:firstColumn="1" w:lastColumn="0" w:noHBand="0" w:noVBand="1"/>
      </w:tblPr>
      <w:tblGrid>
        <w:gridCol w:w="4064"/>
        <w:gridCol w:w="1250"/>
        <w:gridCol w:w="1249"/>
        <w:gridCol w:w="1249"/>
        <w:gridCol w:w="1249"/>
      </w:tblGrid>
      <w:tr w:rsidR="00BF12D5" w:rsidRPr="001C03A7" w14:paraId="0136DE47" w14:textId="77777777" w:rsidTr="0039539B">
        <w:trPr>
          <w:trHeight w:val="312"/>
          <w:jc w:val="center"/>
        </w:trPr>
        <w:tc>
          <w:tcPr>
            <w:tcW w:w="4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0D14F"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 </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0F1AC8C6"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2015</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11951E30"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2016</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20B3CB24"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2017</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2C84E44B"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2018</w:t>
            </w:r>
          </w:p>
        </w:tc>
      </w:tr>
      <w:tr w:rsidR="00BF12D5" w:rsidRPr="00BD0223" w14:paraId="3C6F38F1"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30F9F2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ÁGUA COMPRIDA</w:t>
            </w:r>
          </w:p>
        </w:tc>
        <w:tc>
          <w:tcPr>
            <w:tcW w:w="1250" w:type="dxa"/>
            <w:tcBorders>
              <w:top w:val="nil"/>
              <w:left w:val="nil"/>
              <w:bottom w:val="single" w:sz="4" w:space="0" w:color="auto"/>
              <w:right w:val="single" w:sz="4" w:space="0" w:color="auto"/>
            </w:tcBorders>
            <w:shd w:val="clear" w:color="auto" w:fill="auto"/>
            <w:noWrap/>
            <w:vAlign w:val="center"/>
            <w:hideMark/>
          </w:tcPr>
          <w:p w14:paraId="7FE3A3D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4,47</w:t>
            </w:r>
          </w:p>
        </w:tc>
        <w:tc>
          <w:tcPr>
            <w:tcW w:w="1249" w:type="dxa"/>
            <w:tcBorders>
              <w:top w:val="nil"/>
              <w:left w:val="nil"/>
              <w:bottom w:val="single" w:sz="4" w:space="0" w:color="auto"/>
              <w:right w:val="single" w:sz="4" w:space="0" w:color="auto"/>
            </w:tcBorders>
            <w:shd w:val="clear" w:color="auto" w:fill="auto"/>
            <w:noWrap/>
            <w:vAlign w:val="center"/>
            <w:hideMark/>
          </w:tcPr>
          <w:p w14:paraId="5B117B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5,07</w:t>
            </w:r>
          </w:p>
        </w:tc>
        <w:tc>
          <w:tcPr>
            <w:tcW w:w="1249" w:type="dxa"/>
            <w:tcBorders>
              <w:top w:val="nil"/>
              <w:left w:val="nil"/>
              <w:bottom w:val="single" w:sz="4" w:space="0" w:color="auto"/>
              <w:right w:val="single" w:sz="4" w:space="0" w:color="auto"/>
            </w:tcBorders>
            <w:shd w:val="clear" w:color="auto" w:fill="auto"/>
            <w:noWrap/>
            <w:vAlign w:val="center"/>
            <w:hideMark/>
          </w:tcPr>
          <w:p w14:paraId="48C975D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4,28</w:t>
            </w:r>
          </w:p>
        </w:tc>
        <w:tc>
          <w:tcPr>
            <w:tcW w:w="1249" w:type="dxa"/>
            <w:tcBorders>
              <w:top w:val="nil"/>
              <w:left w:val="nil"/>
              <w:bottom w:val="single" w:sz="4" w:space="0" w:color="auto"/>
              <w:right w:val="single" w:sz="4" w:space="0" w:color="auto"/>
            </w:tcBorders>
            <w:shd w:val="clear" w:color="auto" w:fill="auto"/>
            <w:noWrap/>
            <w:vAlign w:val="center"/>
            <w:hideMark/>
          </w:tcPr>
          <w:p w14:paraId="73B9DD6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3,16</w:t>
            </w:r>
          </w:p>
        </w:tc>
      </w:tr>
      <w:tr w:rsidR="00BF12D5" w:rsidRPr="00BD0223" w14:paraId="7D9F7B7B"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11E859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ARAGUARI</w:t>
            </w:r>
          </w:p>
        </w:tc>
        <w:tc>
          <w:tcPr>
            <w:tcW w:w="1250" w:type="dxa"/>
            <w:tcBorders>
              <w:top w:val="nil"/>
              <w:left w:val="nil"/>
              <w:bottom w:val="single" w:sz="4" w:space="0" w:color="auto"/>
              <w:right w:val="single" w:sz="4" w:space="0" w:color="auto"/>
            </w:tcBorders>
            <w:shd w:val="clear" w:color="auto" w:fill="auto"/>
            <w:noWrap/>
            <w:vAlign w:val="center"/>
            <w:hideMark/>
          </w:tcPr>
          <w:p w14:paraId="19CCEEE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46,26</w:t>
            </w:r>
          </w:p>
        </w:tc>
        <w:tc>
          <w:tcPr>
            <w:tcW w:w="1249" w:type="dxa"/>
            <w:tcBorders>
              <w:top w:val="nil"/>
              <w:left w:val="nil"/>
              <w:bottom w:val="single" w:sz="4" w:space="0" w:color="auto"/>
              <w:right w:val="single" w:sz="4" w:space="0" w:color="auto"/>
            </w:tcBorders>
            <w:shd w:val="clear" w:color="auto" w:fill="auto"/>
            <w:noWrap/>
            <w:vAlign w:val="center"/>
            <w:hideMark/>
          </w:tcPr>
          <w:p w14:paraId="65F59F1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43,13</w:t>
            </w:r>
          </w:p>
        </w:tc>
        <w:tc>
          <w:tcPr>
            <w:tcW w:w="1249" w:type="dxa"/>
            <w:tcBorders>
              <w:top w:val="nil"/>
              <w:left w:val="nil"/>
              <w:bottom w:val="single" w:sz="4" w:space="0" w:color="auto"/>
              <w:right w:val="single" w:sz="4" w:space="0" w:color="auto"/>
            </w:tcBorders>
            <w:shd w:val="clear" w:color="auto" w:fill="auto"/>
            <w:noWrap/>
            <w:vAlign w:val="center"/>
            <w:hideMark/>
          </w:tcPr>
          <w:p w14:paraId="1AE4C4F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46,22</w:t>
            </w:r>
          </w:p>
        </w:tc>
        <w:tc>
          <w:tcPr>
            <w:tcW w:w="1249" w:type="dxa"/>
            <w:tcBorders>
              <w:top w:val="nil"/>
              <w:left w:val="nil"/>
              <w:bottom w:val="single" w:sz="4" w:space="0" w:color="auto"/>
              <w:right w:val="single" w:sz="4" w:space="0" w:color="auto"/>
            </w:tcBorders>
            <w:shd w:val="clear" w:color="auto" w:fill="auto"/>
            <w:noWrap/>
            <w:vAlign w:val="center"/>
            <w:hideMark/>
          </w:tcPr>
          <w:p w14:paraId="556422F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46,38</w:t>
            </w:r>
          </w:p>
        </w:tc>
      </w:tr>
      <w:tr w:rsidR="00BF12D5" w:rsidRPr="00BD0223" w14:paraId="2A50C898"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6A511E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ARAPORA</w:t>
            </w:r>
          </w:p>
        </w:tc>
        <w:tc>
          <w:tcPr>
            <w:tcW w:w="1250" w:type="dxa"/>
            <w:tcBorders>
              <w:top w:val="nil"/>
              <w:left w:val="nil"/>
              <w:bottom w:val="single" w:sz="4" w:space="0" w:color="auto"/>
              <w:right w:val="single" w:sz="4" w:space="0" w:color="auto"/>
            </w:tcBorders>
            <w:shd w:val="clear" w:color="auto" w:fill="auto"/>
            <w:noWrap/>
            <w:vAlign w:val="center"/>
            <w:hideMark/>
          </w:tcPr>
          <w:p w14:paraId="45111DE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72,85</w:t>
            </w:r>
          </w:p>
        </w:tc>
        <w:tc>
          <w:tcPr>
            <w:tcW w:w="1249" w:type="dxa"/>
            <w:tcBorders>
              <w:top w:val="nil"/>
              <w:left w:val="nil"/>
              <w:bottom w:val="single" w:sz="4" w:space="0" w:color="auto"/>
              <w:right w:val="single" w:sz="4" w:space="0" w:color="auto"/>
            </w:tcBorders>
            <w:shd w:val="clear" w:color="auto" w:fill="auto"/>
            <w:noWrap/>
            <w:vAlign w:val="center"/>
            <w:hideMark/>
          </w:tcPr>
          <w:p w14:paraId="3CB59D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63,72</w:t>
            </w:r>
          </w:p>
        </w:tc>
        <w:tc>
          <w:tcPr>
            <w:tcW w:w="1249" w:type="dxa"/>
            <w:tcBorders>
              <w:top w:val="nil"/>
              <w:left w:val="nil"/>
              <w:bottom w:val="single" w:sz="4" w:space="0" w:color="auto"/>
              <w:right w:val="single" w:sz="4" w:space="0" w:color="auto"/>
            </w:tcBorders>
            <w:shd w:val="clear" w:color="auto" w:fill="auto"/>
            <w:noWrap/>
            <w:vAlign w:val="center"/>
            <w:hideMark/>
          </w:tcPr>
          <w:p w14:paraId="1E76B4F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52,81</w:t>
            </w:r>
          </w:p>
        </w:tc>
        <w:tc>
          <w:tcPr>
            <w:tcW w:w="1249" w:type="dxa"/>
            <w:tcBorders>
              <w:top w:val="nil"/>
              <w:left w:val="nil"/>
              <w:bottom w:val="single" w:sz="4" w:space="0" w:color="auto"/>
              <w:right w:val="single" w:sz="4" w:space="0" w:color="auto"/>
            </w:tcBorders>
            <w:shd w:val="clear" w:color="auto" w:fill="auto"/>
            <w:noWrap/>
            <w:vAlign w:val="center"/>
            <w:hideMark/>
          </w:tcPr>
          <w:p w14:paraId="4B08C3E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46,80</w:t>
            </w:r>
          </w:p>
        </w:tc>
      </w:tr>
      <w:tr w:rsidR="00BF12D5" w:rsidRPr="00BD0223" w14:paraId="558B249D"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782C27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CAMPINA VERDE</w:t>
            </w:r>
          </w:p>
        </w:tc>
        <w:tc>
          <w:tcPr>
            <w:tcW w:w="1250" w:type="dxa"/>
            <w:tcBorders>
              <w:top w:val="nil"/>
              <w:left w:val="nil"/>
              <w:bottom w:val="single" w:sz="4" w:space="0" w:color="auto"/>
              <w:right w:val="single" w:sz="4" w:space="0" w:color="auto"/>
            </w:tcBorders>
            <w:shd w:val="clear" w:color="auto" w:fill="auto"/>
            <w:noWrap/>
            <w:vAlign w:val="center"/>
            <w:hideMark/>
          </w:tcPr>
          <w:p w14:paraId="51022F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5,23</w:t>
            </w:r>
          </w:p>
        </w:tc>
        <w:tc>
          <w:tcPr>
            <w:tcW w:w="1249" w:type="dxa"/>
            <w:tcBorders>
              <w:top w:val="nil"/>
              <w:left w:val="nil"/>
              <w:bottom w:val="single" w:sz="4" w:space="0" w:color="auto"/>
              <w:right w:val="single" w:sz="4" w:space="0" w:color="auto"/>
            </w:tcBorders>
            <w:shd w:val="clear" w:color="auto" w:fill="auto"/>
            <w:noWrap/>
            <w:vAlign w:val="center"/>
            <w:hideMark/>
          </w:tcPr>
          <w:p w14:paraId="5BE1BF2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15,96</w:t>
            </w:r>
          </w:p>
        </w:tc>
        <w:tc>
          <w:tcPr>
            <w:tcW w:w="1249" w:type="dxa"/>
            <w:tcBorders>
              <w:top w:val="nil"/>
              <w:left w:val="nil"/>
              <w:bottom w:val="single" w:sz="4" w:space="0" w:color="auto"/>
              <w:right w:val="single" w:sz="4" w:space="0" w:color="auto"/>
            </w:tcBorders>
            <w:shd w:val="clear" w:color="auto" w:fill="auto"/>
            <w:noWrap/>
            <w:vAlign w:val="center"/>
            <w:hideMark/>
          </w:tcPr>
          <w:p w14:paraId="7E6F76E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13,31</w:t>
            </w:r>
          </w:p>
        </w:tc>
        <w:tc>
          <w:tcPr>
            <w:tcW w:w="1249" w:type="dxa"/>
            <w:tcBorders>
              <w:top w:val="nil"/>
              <w:left w:val="nil"/>
              <w:bottom w:val="single" w:sz="4" w:space="0" w:color="auto"/>
              <w:right w:val="single" w:sz="4" w:space="0" w:color="auto"/>
            </w:tcBorders>
            <w:shd w:val="clear" w:color="auto" w:fill="auto"/>
            <w:noWrap/>
            <w:vAlign w:val="center"/>
            <w:hideMark/>
          </w:tcPr>
          <w:p w14:paraId="1532B65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14,49</w:t>
            </w:r>
          </w:p>
        </w:tc>
      </w:tr>
      <w:tr w:rsidR="00BF12D5" w:rsidRPr="00BD0223" w14:paraId="14B38479"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56088D8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CAMPO FLORIDO</w:t>
            </w:r>
          </w:p>
        </w:tc>
        <w:tc>
          <w:tcPr>
            <w:tcW w:w="1250" w:type="dxa"/>
            <w:tcBorders>
              <w:top w:val="nil"/>
              <w:left w:val="nil"/>
              <w:bottom w:val="single" w:sz="4" w:space="0" w:color="auto"/>
              <w:right w:val="single" w:sz="4" w:space="0" w:color="auto"/>
            </w:tcBorders>
            <w:shd w:val="clear" w:color="auto" w:fill="auto"/>
            <w:noWrap/>
            <w:vAlign w:val="center"/>
            <w:hideMark/>
          </w:tcPr>
          <w:p w14:paraId="212A3C8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11,10</w:t>
            </w:r>
          </w:p>
        </w:tc>
        <w:tc>
          <w:tcPr>
            <w:tcW w:w="1249" w:type="dxa"/>
            <w:tcBorders>
              <w:top w:val="nil"/>
              <w:left w:val="nil"/>
              <w:bottom w:val="single" w:sz="4" w:space="0" w:color="auto"/>
              <w:right w:val="single" w:sz="4" w:space="0" w:color="auto"/>
            </w:tcBorders>
            <w:shd w:val="clear" w:color="auto" w:fill="auto"/>
            <w:noWrap/>
            <w:vAlign w:val="center"/>
            <w:hideMark/>
          </w:tcPr>
          <w:p w14:paraId="6C5FC6C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11,07</w:t>
            </w:r>
          </w:p>
        </w:tc>
        <w:tc>
          <w:tcPr>
            <w:tcW w:w="1249" w:type="dxa"/>
            <w:tcBorders>
              <w:top w:val="nil"/>
              <w:left w:val="nil"/>
              <w:bottom w:val="single" w:sz="4" w:space="0" w:color="auto"/>
              <w:right w:val="single" w:sz="4" w:space="0" w:color="auto"/>
            </w:tcBorders>
            <w:shd w:val="clear" w:color="auto" w:fill="auto"/>
            <w:noWrap/>
            <w:vAlign w:val="center"/>
            <w:hideMark/>
          </w:tcPr>
          <w:p w14:paraId="315996B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11,32</w:t>
            </w:r>
          </w:p>
        </w:tc>
        <w:tc>
          <w:tcPr>
            <w:tcW w:w="1249" w:type="dxa"/>
            <w:tcBorders>
              <w:top w:val="nil"/>
              <w:left w:val="nil"/>
              <w:bottom w:val="single" w:sz="4" w:space="0" w:color="auto"/>
              <w:right w:val="single" w:sz="4" w:space="0" w:color="auto"/>
            </w:tcBorders>
            <w:shd w:val="clear" w:color="auto" w:fill="auto"/>
            <w:noWrap/>
            <w:vAlign w:val="center"/>
            <w:hideMark/>
          </w:tcPr>
          <w:p w14:paraId="54F6A2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11,58</w:t>
            </w:r>
          </w:p>
        </w:tc>
      </w:tr>
      <w:tr w:rsidR="00BF12D5" w:rsidRPr="00BD0223" w14:paraId="2FA1C608"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45EDCED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CANAPOLIS</w:t>
            </w:r>
          </w:p>
        </w:tc>
        <w:tc>
          <w:tcPr>
            <w:tcW w:w="1250" w:type="dxa"/>
            <w:tcBorders>
              <w:top w:val="nil"/>
              <w:left w:val="nil"/>
              <w:bottom w:val="single" w:sz="4" w:space="0" w:color="auto"/>
              <w:right w:val="single" w:sz="4" w:space="0" w:color="auto"/>
            </w:tcBorders>
            <w:shd w:val="clear" w:color="auto" w:fill="auto"/>
            <w:noWrap/>
            <w:vAlign w:val="center"/>
            <w:hideMark/>
          </w:tcPr>
          <w:p w14:paraId="4F246FA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3,83</w:t>
            </w:r>
          </w:p>
        </w:tc>
        <w:tc>
          <w:tcPr>
            <w:tcW w:w="1249" w:type="dxa"/>
            <w:tcBorders>
              <w:top w:val="nil"/>
              <w:left w:val="nil"/>
              <w:bottom w:val="single" w:sz="4" w:space="0" w:color="auto"/>
              <w:right w:val="single" w:sz="4" w:space="0" w:color="auto"/>
            </w:tcBorders>
            <w:shd w:val="clear" w:color="auto" w:fill="auto"/>
            <w:noWrap/>
            <w:vAlign w:val="center"/>
            <w:hideMark/>
          </w:tcPr>
          <w:p w14:paraId="43DD702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3,55</w:t>
            </w:r>
          </w:p>
        </w:tc>
        <w:tc>
          <w:tcPr>
            <w:tcW w:w="1249" w:type="dxa"/>
            <w:tcBorders>
              <w:top w:val="nil"/>
              <w:left w:val="nil"/>
              <w:bottom w:val="single" w:sz="4" w:space="0" w:color="auto"/>
              <w:right w:val="single" w:sz="4" w:space="0" w:color="auto"/>
            </w:tcBorders>
            <w:shd w:val="clear" w:color="auto" w:fill="auto"/>
            <w:noWrap/>
            <w:vAlign w:val="center"/>
            <w:hideMark/>
          </w:tcPr>
          <w:p w14:paraId="2124715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3,46</w:t>
            </w:r>
          </w:p>
        </w:tc>
        <w:tc>
          <w:tcPr>
            <w:tcW w:w="1249" w:type="dxa"/>
            <w:tcBorders>
              <w:top w:val="nil"/>
              <w:left w:val="nil"/>
              <w:bottom w:val="single" w:sz="4" w:space="0" w:color="auto"/>
              <w:right w:val="single" w:sz="4" w:space="0" w:color="auto"/>
            </w:tcBorders>
            <w:shd w:val="clear" w:color="auto" w:fill="auto"/>
            <w:noWrap/>
            <w:vAlign w:val="center"/>
            <w:hideMark/>
          </w:tcPr>
          <w:p w14:paraId="0E1DFDE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4,57</w:t>
            </w:r>
          </w:p>
        </w:tc>
      </w:tr>
      <w:tr w:rsidR="00BF12D5" w:rsidRPr="00BD0223" w14:paraId="4BB41C3D"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6C36EF3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CAPINOPOLIS</w:t>
            </w:r>
          </w:p>
        </w:tc>
        <w:tc>
          <w:tcPr>
            <w:tcW w:w="1250" w:type="dxa"/>
            <w:tcBorders>
              <w:top w:val="nil"/>
              <w:left w:val="nil"/>
              <w:bottom w:val="single" w:sz="4" w:space="0" w:color="auto"/>
              <w:right w:val="single" w:sz="4" w:space="0" w:color="auto"/>
            </w:tcBorders>
            <w:shd w:val="clear" w:color="auto" w:fill="auto"/>
            <w:noWrap/>
            <w:vAlign w:val="center"/>
            <w:hideMark/>
          </w:tcPr>
          <w:p w14:paraId="128396F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4,88</w:t>
            </w:r>
          </w:p>
        </w:tc>
        <w:tc>
          <w:tcPr>
            <w:tcW w:w="1249" w:type="dxa"/>
            <w:tcBorders>
              <w:top w:val="nil"/>
              <w:left w:val="nil"/>
              <w:bottom w:val="single" w:sz="4" w:space="0" w:color="auto"/>
              <w:right w:val="single" w:sz="4" w:space="0" w:color="auto"/>
            </w:tcBorders>
            <w:shd w:val="clear" w:color="auto" w:fill="auto"/>
            <w:noWrap/>
            <w:vAlign w:val="center"/>
            <w:hideMark/>
          </w:tcPr>
          <w:p w14:paraId="5D43BC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4,30</w:t>
            </w:r>
          </w:p>
        </w:tc>
        <w:tc>
          <w:tcPr>
            <w:tcW w:w="1249" w:type="dxa"/>
            <w:tcBorders>
              <w:top w:val="nil"/>
              <w:left w:val="nil"/>
              <w:bottom w:val="single" w:sz="4" w:space="0" w:color="auto"/>
              <w:right w:val="single" w:sz="4" w:space="0" w:color="auto"/>
            </w:tcBorders>
            <w:shd w:val="clear" w:color="auto" w:fill="auto"/>
            <w:noWrap/>
            <w:vAlign w:val="center"/>
            <w:hideMark/>
          </w:tcPr>
          <w:p w14:paraId="0AAA1A1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4,85</w:t>
            </w:r>
          </w:p>
        </w:tc>
        <w:tc>
          <w:tcPr>
            <w:tcW w:w="1249" w:type="dxa"/>
            <w:tcBorders>
              <w:top w:val="nil"/>
              <w:left w:val="nil"/>
              <w:bottom w:val="single" w:sz="4" w:space="0" w:color="auto"/>
              <w:right w:val="single" w:sz="4" w:space="0" w:color="auto"/>
            </w:tcBorders>
            <w:shd w:val="clear" w:color="auto" w:fill="auto"/>
            <w:noWrap/>
            <w:vAlign w:val="center"/>
            <w:hideMark/>
          </w:tcPr>
          <w:p w14:paraId="3AB84EC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6,10</w:t>
            </w:r>
          </w:p>
        </w:tc>
      </w:tr>
      <w:tr w:rsidR="00BF12D5" w:rsidRPr="00BD0223" w14:paraId="5F9AF15A"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57AC1D1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CARNEIRINHO</w:t>
            </w:r>
          </w:p>
        </w:tc>
        <w:tc>
          <w:tcPr>
            <w:tcW w:w="1250" w:type="dxa"/>
            <w:tcBorders>
              <w:top w:val="nil"/>
              <w:left w:val="nil"/>
              <w:bottom w:val="single" w:sz="4" w:space="0" w:color="auto"/>
              <w:right w:val="single" w:sz="4" w:space="0" w:color="auto"/>
            </w:tcBorders>
            <w:shd w:val="clear" w:color="auto" w:fill="auto"/>
            <w:noWrap/>
            <w:vAlign w:val="center"/>
            <w:hideMark/>
          </w:tcPr>
          <w:p w14:paraId="00E5A9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5,96</w:t>
            </w:r>
          </w:p>
        </w:tc>
        <w:tc>
          <w:tcPr>
            <w:tcW w:w="1249" w:type="dxa"/>
            <w:tcBorders>
              <w:top w:val="nil"/>
              <w:left w:val="nil"/>
              <w:bottom w:val="single" w:sz="4" w:space="0" w:color="auto"/>
              <w:right w:val="single" w:sz="4" w:space="0" w:color="auto"/>
            </w:tcBorders>
            <w:shd w:val="clear" w:color="auto" w:fill="auto"/>
            <w:noWrap/>
            <w:vAlign w:val="center"/>
            <w:hideMark/>
          </w:tcPr>
          <w:p w14:paraId="05B461A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6,10</w:t>
            </w:r>
          </w:p>
        </w:tc>
        <w:tc>
          <w:tcPr>
            <w:tcW w:w="1249" w:type="dxa"/>
            <w:tcBorders>
              <w:top w:val="nil"/>
              <w:left w:val="nil"/>
              <w:bottom w:val="single" w:sz="4" w:space="0" w:color="auto"/>
              <w:right w:val="single" w:sz="4" w:space="0" w:color="auto"/>
            </w:tcBorders>
            <w:shd w:val="clear" w:color="auto" w:fill="auto"/>
            <w:noWrap/>
            <w:vAlign w:val="center"/>
            <w:hideMark/>
          </w:tcPr>
          <w:p w14:paraId="74142AB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5,59</w:t>
            </w:r>
          </w:p>
        </w:tc>
        <w:tc>
          <w:tcPr>
            <w:tcW w:w="1249" w:type="dxa"/>
            <w:tcBorders>
              <w:top w:val="nil"/>
              <w:left w:val="nil"/>
              <w:bottom w:val="single" w:sz="4" w:space="0" w:color="auto"/>
              <w:right w:val="single" w:sz="4" w:space="0" w:color="auto"/>
            </w:tcBorders>
            <w:shd w:val="clear" w:color="auto" w:fill="auto"/>
            <w:noWrap/>
            <w:vAlign w:val="center"/>
            <w:hideMark/>
          </w:tcPr>
          <w:p w14:paraId="44B7F0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4,95</w:t>
            </w:r>
          </w:p>
        </w:tc>
      </w:tr>
      <w:tr w:rsidR="00BF12D5" w:rsidRPr="00BD0223" w14:paraId="45BDB3DF"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5629E51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CASCALHO RICO</w:t>
            </w:r>
          </w:p>
        </w:tc>
        <w:tc>
          <w:tcPr>
            <w:tcW w:w="1250" w:type="dxa"/>
            <w:tcBorders>
              <w:top w:val="nil"/>
              <w:left w:val="nil"/>
              <w:bottom w:val="single" w:sz="4" w:space="0" w:color="auto"/>
              <w:right w:val="single" w:sz="4" w:space="0" w:color="auto"/>
            </w:tcBorders>
            <w:shd w:val="clear" w:color="auto" w:fill="auto"/>
            <w:noWrap/>
            <w:vAlign w:val="center"/>
            <w:hideMark/>
          </w:tcPr>
          <w:p w14:paraId="20472D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0,18</w:t>
            </w:r>
          </w:p>
        </w:tc>
        <w:tc>
          <w:tcPr>
            <w:tcW w:w="1249" w:type="dxa"/>
            <w:tcBorders>
              <w:top w:val="nil"/>
              <w:left w:val="nil"/>
              <w:bottom w:val="single" w:sz="4" w:space="0" w:color="auto"/>
              <w:right w:val="single" w:sz="4" w:space="0" w:color="auto"/>
            </w:tcBorders>
            <w:shd w:val="clear" w:color="auto" w:fill="auto"/>
            <w:noWrap/>
            <w:vAlign w:val="center"/>
            <w:hideMark/>
          </w:tcPr>
          <w:p w14:paraId="65B2082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0,18</w:t>
            </w:r>
          </w:p>
        </w:tc>
        <w:tc>
          <w:tcPr>
            <w:tcW w:w="1249" w:type="dxa"/>
            <w:tcBorders>
              <w:top w:val="nil"/>
              <w:left w:val="nil"/>
              <w:bottom w:val="single" w:sz="4" w:space="0" w:color="auto"/>
              <w:right w:val="single" w:sz="4" w:space="0" w:color="auto"/>
            </w:tcBorders>
            <w:shd w:val="clear" w:color="auto" w:fill="auto"/>
            <w:noWrap/>
            <w:vAlign w:val="center"/>
            <w:hideMark/>
          </w:tcPr>
          <w:p w14:paraId="79EF498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0,15</w:t>
            </w:r>
          </w:p>
        </w:tc>
        <w:tc>
          <w:tcPr>
            <w:tcW w:w="1249" w:type="dxa"/>
            <w:tcBorders>
              <w:top w:val="nil"/>
              <w:left w:val="nil"/>
              <w:bottom w:val="single" w:sz="4" w:space="0" w:color="auto"/>
              <w:right w:val="single" w:sz="4" w:space="0" w:color="auto"/>
            </w:tcBorders>
            <w:shd w:val="clear" w:color="auto" w:fill="auto"/>
            <w:noWrap/>
            <w:vAlign w:val="center"/>
            <w:hideMark/>
          </w:tcPr>
          <w:p w14:paraId="6BE4DB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0,12</w:t>
            </w:r>
          </w:p>
        </w:tc>
      </w:tr>
      <w:tr w:rsidR="00BF12D5" w:rsidRPr="00BD0223" w14:paraId="23087FBA"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19AA53F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CENTRALINA</w:t>
            </w:r>
          </w:p>
        </w:tc>
        <w:tc>
          <w:tcPr>
            <w:tcW w:w="1250" w:type="dxa"/>
            <w:tcBorders>
              <w:top w:val="nil"/>
              <w:left w:val="nil"/>
              <w:bottom w:val="single" w:sz="4" w:space="0" w:color="auto"/>
              <w:right w:val="single" w:sz="4" w:space="0" w:color="auto"/>
            </w:tcBorders>
            <w:shd w:val="clear" w:color="auto" w:fill="auto"/>
            <w:noWrap/>
            <w:vAlign w:val="center"/>
            <w:hideMark/>
          </w:tcPr>
          <w:p w14:paraId="36632DE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8,32</w:t>
            </w:r>
          </w:p>
        </w:tc>
        <w:tc>
          <w:tcPr>
            <w:tcW w:w="1249" w:type="dxa"/>
            <w:tcBorders>
              <w:top w:val="nil"/>
              <w:left w:val="nil"/>
              <w:bottom w:val="single" w:sz="4" w:space="0" w:color="auto"/>
              <w:right w:val="single" w:sz="4" w:space="0" w:color="auto"/>
            </w:tcBorders>
            <w:shd w:val="clear" w:color="auto" w:fill="auto"/>
            <w:noWrap/>
            <w:vAlign w:val="center"/>
            <w:hideMark/>
          </w:tcPr>
          <w:p w14:paraId="15E4B93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12,51</w:t>
            </w:r>
          </w:p>
        </w:tc>
        <w:tc>
          <w:tcPr>
            <w:tcW w:w="1249" w:type="dxa"/>
            <w:tcBorders>
              <w:top w:val="nil"/>
              <w:left w:val="nil"/>
              <w:bottom w:val="single" w:sz="4" w:space="0" w:color="auto"/>
              <w:right w:val="single" w:sz="4" w:space="0" w:color="auto"/>
            </w:tcBorders>
            <w:shd w:val="clear" w:color="auto" w:fill="auto"/>
            <w:noWrap/>
            <w:vAlign w:val="center"/>
            <w:hideMark/>
          </w:tcPr>
          <w:p w14:paraId="02A2DCC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35,74</w:t>
            </w:r>
          </w:p>
        </w:tc>
        <w:tc>
          <w:tcPr>
            <w:tcW w:w="1249" w:type="dxa"/>
            <w:tcBorders>
              <w:top w:val="nil"/>
              <w:left w:val="nil"/>
              <w:bottom w:val="single" w:sz="4" w:space="0" w:color="auto"/>
              <w:right w:val="single" w:sz="4" w:space="0" w:color="auto"/>
            </w:tcBorders>
            <w:shd w:val="clear" w:color="auto" w:fill="auto"/>
            <w:noWrap/>
            <w:vAlign w:val="center"/>
            <w:hideMark/>
          </w:tcPr>
          <w:p w14:paraId="3CFBCD8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40,15</w:t>
            </w:r>
          </w:p>
        </w:tc>
      </w:tr>
      <w:tr w:rsidR="00BF12D5" w:rsidRPr="00BD0223" w14:paraId="4DAAE266"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1818B8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COMENDADOR GOMES</w:t>
            </w:r>
          </w:p>
        </w:tc>
        <w:tc>
          <w:tcPr>
            <w:tcW w:w="1250" w:type="dxa"/>
            <w:tcBorders>
              <w:top w:val="nil"/>
              <w:left w:val="nil"/>
              <w:bottom w:val="single" w:sz="4" w:space="0" w:color="auto"/>
              <w:right w:val="single" w:sz="4" w:space="0" w:color="auto"/>
            </w:tcBorders>
            <w:shd w:val="clear" w:color="auto" w:fill="auto"/>
            <w:noWrap/>
            <w:vAlign w:val="center"/>
            <w:hideMark/>
          </w:tcPr>
          <w:p w14:paraId="076018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6,62</w:t>
            </w:r>
          </w:p>
        </w:tc>
        <w:tc>
          <w:tcPr>
            <w:tcW w:w="1249" w:type="dxa"/>
            <w:tcBorders>
              <w:top w:val="nil"/>
              <w:left w:val="nil"/>
              <w:bottom w:val="single" w:sz="4" w:space="0" w:color="auto"/>
              <w:right w:val="single" w:sz="4" w:space="0" w:color="auto"/>
            </w:tcBorders>
            <w:shd w:val="clear" w:color="auto" w:fill="auto"/>
            <w:noWrap/>
            <w:vAlign w:val="center"/>
            <w:hideMark/>
          </w:tcPr>
          <w:p w14:paraId="0C90572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5,67</w:t>
            </w:r>
          </w:p>
        </w:tc>
        <w:tc>
          <w:tcPr>
            <w:tcW w:w="1249" w:type="dxa"/>
            <w:tcBorders>
              <w:top w:val="nil"/>
              <w:left w:val="nil"/>
              <w:bottom w:val="single" w:sz="4" w:space="0" w:color="auto"/>
              <w:right w:val="single" w:sz="4" w:space="0" w:color="auto"/>
            </w:tcBorders>
            <w:shd w:val="clear" w:color="auto" w:fill="auto"/>
            <w:noWrap/>
            <w:vAlign w:val="center"/>
            <w:hideMark/>
          </w:tcPr>
          <w:p w14:paraId="186B3FB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5,01</w:t>
            </w:r>
          </w:p>
        </w:tc>
        <w:tc>
          <w:tcPr>
            <w:tcW w:w="1249" w:type="dxa"/>
            <w:tcBorders>
              <w:top w:val="nil"/>
              <w:left w:val="nil"/>
              <w:bottom w:val="single" w:sz="4" w:space="0" w:color="auto"/>
              <w:right w:val="single" w:sz="4" w:space="0" w:color="auto"/>
            </w:tcBorders>
            <w:shd w:val="clear" w:color="auto" w:fill="auto"/>
            <w:noWrap/>
            <w:vAlign w:val="center"/>
            <w:hideMark/>
          </w:tcPr>
          <w:p w14:paraId="6578283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4,90</w:t>
            </w:r>
          </w:p>
        </w:tc>
      </w:tr>
      <w:tr w:rsidR="00BF12D5" w:rsidRPr="00BD0223" w14:paraId="26A39D29"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2FBC53E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CONCEICAO DAS ALAGOAS</w:t>
            </w:r>
          </w:p>
        </w:tc>
        <w:tc>
          <w:tcPr>
            <w:tcW w:w="1250" w:type="dxa"/>
            <w:tcBorders>
              <w:top w:val="nil"/>
              <w:left w:val="nil"/>
              <w:bottom w:val="single" w:sz="4" w:space="0" w:color="auto"/>
              <w:right w:val="single" w:sz="4" w:space="0" w:color="auto"/>
            </w:tcBorders>
            <w:shd w:val="clear" w:color="auto" w:fill="auto"/>
            <w:noWrap/>
            <w:vAlign w:val="center"/>
            <w:hideMark/>
          </w:tcPr>
          <w:p w14:paraId="66EB67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25,03</w:t>
            </w:r>
          </w:p>
        </w:tc>
        <w:tc>
          <w:tcPr>
            <w:tcW w:w="1249" w:type="dxa"/>
            <w:tcBorders>
              <w:top w:val="nil"/>
              <w:left w:val="nil"/>
              <w:bottom w:val="single" w:sz="4" w:space="0" w:color="auto"/>
              <w:right w:val="single" w:sz="4" w:space="0" w:color="auto"/>
            </w:tcBorders>
            <w:shd w:val="clear" w:color="auto" w:fill="auto"/>
            <w:noWrap/>
            <w:vAlign w:val="center"/>
            <w:hideMark/>
          </w:tcPr>
          <w:p w14:paraId="6FE16A1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28,07</w:t>
            </w:r>
          </w:p>
        </w:tc>
        <w:tc>
          <w:tcPr>
            <w:tcW w:w="1249" w:type="dxa"/>
            <w:tcBorders>
              <w:top w:val="nil"/>
              <w:left w:val="nil"/>
              <w:bottom w:val="single" w:sz="4" w:space="0" w:color="auto"/>
              <w:right w:val="single" w:sz="4" w:space="0" w:color="auto"/>
            </w:tcBorders>
            <w:shd w:val="clear" w:color="auto" w:fill="auto"/>
            <w:noWrap/>
            <w:vAlign w:val="center"/>
            <w:hideMark/>
          </w:tcPr>
          <w:p w14:paraId="35B0825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28,48</w:t>
            </w:r>
          </w:p>
        </w:tc>
        <w:tc>
          <w:tcPr>
            <w:tcW w:w="1249" w:type="dxa"/>
            <w:tcBorders>
              <w:top w:val="nil"/>
              <w:left w:val="nil"/>
              <w:bottom w:val="single" w:sz="4" w:space="0" w:color="auto"/>
              <w:right w:val="single" w:sz="4" w:space="0" w:color="auto"/>
            </w:tcBorders>
            <w:shd w:val="clear" w:color="auto" w:fill="auto"/>
            <w:noWrap/>
            <w:vAlign w:val="center"/>
            <w:hideMark/>
          </w:tcPr>
          <w:p w14:paraId="4F846F0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23,40</w:t>
            </w:r>
          </w:p>
        </w:tc>
      </w:tr>
      <w:tr w:rsidR="00BF12D5" w:rsidRPr="00BD0223" w14:paraId="5BDA98F0"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6DD0E3E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CONQUISTA</w:t>
            </w:r>
          </w:p>
        </w:tc>
        <w:tc>
          <w:tcPr>
            <w:tcW w:w="1250" w:type="dxa"/>
            <w:tcBorders>
              <w:top w:val="nil"/>
              <w:left w:val="nil"/>
              <w:bottom w:val="single" w:sz="4" w:space="0" w:color="auto"/>
              <w:right w:val="single" w:sz="4" w:space="0" w:color="auto"/>
            </w:tcBorders>
            <w:shd w:val="clear" w:color="auto" w:fill="auto"/>
            <w:noWrap/>
            <w:vAlign w:val="center"/>
            <w:hideMark/>
          </w:tcPr>
          <w:p w14:paraId="01C486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2,05</w:t>
            </w:r>
          </w:p>
        </w:tc>
        <w:tc>
          <w:tcPr>
            <w:tcW w:w="1249" w:type="dxa"/>
            <w:tcBorders>
              <w:top w:val="nil"/>
              <w:left w:val="nil"/>
              <w:bottom w:val="single" w:sz="4" w:space="0" w:color="auto"/>
              <w:right w:val="single" w:sz="4" w:space="0" w:color="auto"/>
            </w:tcBorders>
            <w:shd w:val="clear" w:color="auto" w:fill="auto"/>
            <w:noWrap/>
            <w:vAlign w:val="center"/>
            <w:hideMark/>
          </w:tcPr>
          <w:p w14:paraId="6B73B3B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2,03</w:t>
            </w:r>
          </w:p>
        </w:tc>
        <w:tc>
          <w:tcPr>
            <w:tcW w:w="1249" w:type="dxa"/>
            <w:tcBorders>
              <w:top w:val="nil"/>
              <w:left w:val="nil"/>
              <w:bottom w:val="single" w:sz="4" w:space="0" w:color="auto"/>
              <w:right w:val="single" w:sz="4" w:space="0" w:color="auto"/>
            </w:tcBorders>
            <w:shd w:val="clear" w:color="auto" w:fill="auto"/>
            <w:noWrap/>
            <w:vAlign w:val="center"/>
            <w:hideMark/>
          </w:tcPr>
          <w:p w14:paraId="50C3815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2,34</w:t>
            </w:r>
          </w:p>
        </w:tc>
        <w:tc>
          <w:tcPr>
            <w:tcW w:w="1249" w:type="dxa"/>
            <w:tcBorders>
              <w:top w:val="nil"/>
              <w:left w:val="nil"/>
              <w:bottom w:val="single" w:sz="4" w:space="0" w:color="auto"/>
              <w:right w:val="single" w:sz="4" w:space="0" w:color="auto"/>
            </w:tcBorders>
            <w:shd w:val="clear" w:color="auto" w:fill="auto"/>
            <w:noWrap/>
            <w:vAlign w:val="center"/>
            <w:hideMark/>
          </w:tcPr>
          <w:p w14:paraId="774637E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1,93</w:t>
            </w:r>
          </w:p>
        </w:tc>
      </w:tr>
      <w:tr w:rsidR="00BF12D5" w:rsidRPr="00BD0223" w14:paraId="0A3F7C98"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6C2A26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DELTA</w:t>
            </w:r>
          </w:p>
        </w:tc>
        <w:tc>
          <w:tcPr>
            <w:tcW w:w="1250" w:type="dxa"/>
            <w:tcBorders>
              <w:top w:val="nil"/>
              <w:left w:val="nil"/>
              <w:bottom w:val="single" w:sz="4" w:space="0" w:color="auto"/>
              <w:right w:val="single" w:sz="4" w:space="0" w:color="auto"/>
            </w:tcBorders>
            <w:shd w:val="clear" w:color="auto" w:fill="auto"/>
            <w:noWrap/>
            <w:vAlign w:val="center"/>
            <w:hideMark/>
          </w:tcPr>
          <w:p w14:paraId="2804710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22,11</w:t>
            </w:r>
          </w:p>
        </w:tc>
        <w:tc>
          <w:tcPr>
            <w:tcW w:w="1249" w:type="dxa"/>
            <w:tcBorders>
              <w:top w:val="nil"/>
              <w:left w:val="nil"/>
              <w:bottom w:val="single" w:sz="4" w:space="0" w:color="auto"/>
              <w:right w:val="single" w:sz="4" w:space="0" w:color="auto"/>
            </w:tcBorders>
            <w:shd w:val="clear" w:color="auto" w:fill="auto"/>
            <w:noWrap/>
            <w:vAlign w:val="center"/>
            <w:hideMark/>
          </w:tcPr>
          <w:p w14:paraId="4D714C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23,39</w:t>
            </w:r>
          </w:p>
        </w:tc>
        <w:tc>
          <w:tcPr>
            <w:tcW w:w="1249" w:type="dxa"/>
            <w:tcBorders>
              <w:top w:val="nil"/>
              <w:left w:val="nil"/>
              <w:bottom w:val="single" w:sz="4" w:space="0" w:color="auto"/>
              <w:right w:val="single" w:sz="4" w:space="0" w:color="auto"/>
            </w:tcBorders>
            <w:shd w:val="clear" w:color="auto" w:fill="auto"/>
            <w:noWrap/>
            <w:vAlign w:val="center"/>
            <w:hideMark/>
          </w:tcPr>
          <w:p w14:paraId="0E812F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20,89</w:t>
            </w:r>
          </w:p>
        </w:tc>
        <w:tc>
          <w:tcPr>
            <w:tcW w:w="1249" w:type="dxa"/>
            <w:tcBorders>
              <w:top w:val="nil"/>
              <w:left w:val="nil"/>
              <w:bottom w:val="single" w:sz="4" w:space="0" w:color="auto"/>
              <w:right w:val="single" w:sz="4" w:space="0" w:color="auto"/>
            </w:tcBorders>
            <w:shd w:val="clear" w:color="auto" w:fill="auto"/>
            <w:noWrap/>
            <w:vAlign w:val="center"/>
            <w:hideMark/>
          </w:tcPr>
          <w:p w14:paraId="0CFABD5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20,47</w:t>
            </w:r>
          </w:p>
        </w:tc>
      </w:tr>
      <w:tr w:rsidR="00BF12D5" w:rsidRPr="00BD0223" w14:paraId="380F0E6A"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409B849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FRONTEIRA</w:t>
            </w:r>
          </w:p>
        </w:tc>
        <w:tc>
          <w:tcPr>
            <w:tcW w:w="1250" w:type="dxa"/>
            <w:tcBorders>
              <w:top w:val="nil"/>
              <w:left w:val="nil"/>
              <w:bottom w:val="single" w:sz="4" w:space="0" w:color="auto"/>
              <w:right w:val="single" w:sz="4" w:space="0" w:color="auto"/>
            </w:tcBorders>
            <w:shd w:val="clear" w:color="auto" w:fill="auto"/>
            <w:noWrap/>
            <w:vAlign w:val="center"/>
            <w:hideMark/>
          </w:tcPr>
          <w:p w14:paraId="293AAFF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1,89</w:t>
            </w:r>
          </w:p>
        </w:tc>
        <w:tc>
          <w:tcPr>
            <w:tcW w:w="1249" w:type="dxa"/>
            <w:tcBorders>
              <w:top w:val="nil"/>
              <w:left w:val="nil"/>
              <w:bottom w:val="single" w:sz="4" w:space="0" w:color="auto"/>
              <w:right w:val="single" w:sz="4" w:space="0" w:color="auto"/>
            </w:tcBorders>
            <w:shd w:val="clear" w:color="auto" w:fill="auto"/>
            <w:noWrap/>
            <w:vAlign w:val="center"/>
            <w:hideMark/>
          </w:tcPr>
          <w:p w14:paraId="4B7D23B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1,75</w:t>
            </w:r>
          </w:p>
        </w:tc>
        <w:tc>
          <w:tcPr>
            <w:tcW w:w="1249" w:type="dxa"/>
            <w:tcBorders>
              <w:top w:val="nil"/>
              <w:left w:val="nil"/>
              <w:bottom w:val="single" w:sz="4" w:space="0" w:color="auto"/>
              <w:right w:val="single" w:sz="4" w:space="0" w:color="auto"/>
            </w:tcBorders>
            <w:shd w:val="clear" w:color="auto" w:fill="auto"/>
            <w:noWrap/>
            <w:vAlign w:val="center"/>
            <w:hideMark/>
          </w:tcPr>
          <w:p w14:paraId="1ACF276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1,92</w:t>
            </w:r>
          </w:p>
        </w:tc>
        <w:tc>
          <w:tcPr>
            <w:tcW w:w="1249" w:type="dxa"/>
            <w:tcBorders>
              <w:top w:val="nil"/>
              <w:left w:val="nil"/>
              <w:bottom w:val="single" w:sz="4" w:space="0" w:color="auto"/>
              <w:right w:val="single" w:sz="4" w:space="0" w:color="auto"/>
            </w:tcBorders>
            <w:shd w:val="clear" w:color="auto" w:fill="auto"/>
            <w:noWrap/>
            <w:vAlign w:val="center"/>
            <w:hideMark/>
          </w:tcPr>
          <w:p w14:paraId="182755B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1,42</w:t>
            </w:r>
          </w:p>
        </w:tc>
      </w:tr>
      <w:tr w:rsidR="00BF12D5" w:rsidRPr="00BD0223" w14:paraId="141187B3"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34A8CB4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FRUTAL</w:t>
            </w:r>
          </w:p>
        </w:tc>
        <w:tc>
          <w:tcPr>
            <w:tcW w:w="1250" w:type="dxa"/>
            <w:tcBorders>
              <w:top w:val="nil"/>
              <w:left w:val="nil"/>
              <w:bottom w:val="single" w:sz="4" w:space="0" w:color="auto"/>
              <w:right w:val="single" w:sz="4" w:space="0" w:color="auto"/>
            </w:tcBorders>
            <w:shd w:val="clear" w:color="auto" w:fill="auto"/>
            <w:noWrap/>
            <w:vAlign w:val="center"/>
            <w:hideMark/>
          </w:tcPr>
          <w:p w14:paraId="4A8C3E2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41,47</w:t>
            </w:r>
          </w:p>
        </w:tc>
        <w:tc>
          <w:tcPr>
            <w:tcW w:w="1249" w:type="dxa"/>
            <w:tcBorders>
              <w:top w:val="nil"/>
              <w:left w:val="nil"/>
              <w:bottom w:val="single" w:sz="4" w:space="0" w:color="auto"/>
              <w:right w:val="single" w:sz="4" w:space="0" w:color="auto"/>
            </w:tcBorders>
            <w:shd w:val="clear" w:color="auto" w:fill="auto"/>
            <w:noWrap/>
            <w:vAlign w:val="center"/>
            <w:hideMark/>
          </w:tcPr>
          <w:p w14:paraId="0139880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48,87</w:t>
            </w:r>
          </w:p>
        </w:tc>
        <w:tc>
          <w:tcPr>
            <w:tcW w:w="1249" w:type="dxa"/>
            <w:tcBorders>
              <w:top w:val="nil"/>
              <w:left w:val="nil"/>
              <w:bottom w:val="single" w:sz="4" w:space="0" w:color="auto"/>
              <w:right w:val="single" w:sz="4" w:space="0" w:color="auto"/>
            </w:tcBorders>
            <w:shd w:val="clear" w:color="auto" w:fill="auto"/>
            <w:noWrap/>
            <w:vAlign w:val="center"/>
            <w:hideMark/>
          </w:tcPr>
          <w:p w14:paraId="17246C4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46,26</w:t>
            </w:r>
          </w:p>
        </w:tc>
        <w:tc>
          <w:tcPr>
            <w:tcW w:w="1249" w:type="dxa"/>
            <w:tcBorders>
              <w:top w:val="nil"/>
              <w:left w:val="nil"/>
              <w:bottom w:val="single" w:sz="4" w:space="0" w:color="auto"/>
              <w:right w:val="single" w:sz="4" w:space="0" w:color="auto"/>
            </w:tcBorders>
            <w:shd w:val="clear" w:color="auto" w:fill="auto"/>
            <w:noWrap/>
            <w:vAlign w:val="center"/>
            <w:hideMark/>
          </w:tcPr>
          <w:p w14:paraId="6B5AC3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44,17</w:t>
            </w:r>
          </w:p>
        </w:tc>
      </w:tr>
      <w:tr w:rsidR="00BF12D5" w:rsidRPr="00BD0223" w14:paraId="2C9BE2F6"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7F8F90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GURINHATA</w:t>
            </w:r>
          </w:p>
        </w:tc>
        <w:tc>
          <w:tcPr>
            <w:tcW w:w="1250" w:type="dxa"/>
            <w:tcBorders>
              <w:top w:val="nil"/>
              <w:left w:val="nil"/>
              <w:bottom w:val="single" w:sz="4" w:space="0" w:color="auto"/>
              <w:right w:val="single" w:sz="4" w:space="0" w:color="auto"/>
            </w:tcBorders>
            <w:shd w:val="clear" w:color="auto" w:fill="auto"/>
            <w:noWrap/>
            <w:vAlign w:val="center"/>
            <w:hideMark/>
          </w:tcPr>
          <w:p w14:paraId="41AB551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0,93</w:t>
            </w:r>
          </w:p>
        </w:tc>
        <w:tc>
          <w:tcPr>
            <w:tcW w:w="1249" w:type="dxa"/>
            <w:tcBorders>
              <w:top w:val="nil"/>
              <w:left w:val="nil"/>
              <w:bottom w:val="single" w:sz="4" w:space="0" w:color="auto"/>
              <w:right w:val="single" w:sz="4" w:space="0" w:color="auto"/>
            </w:tcBorders>
            <w:shd w:val="clear" w:color="auto" w:fill="auto"/>
            <w:noWrap/>
            <w:vAlign w:val="center"/>
            <w:hideMark/>
          </w:tcPr>
          <w:p w14:paraId="64EC119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0,74</w:t>
            </w:r>
          </w:p>
        </w:tc>
        <w:tc>
          <w:tcPr>
            <w:tcW w:w="1249" w:type="dxa"/>
            <w:tcBorders>
              <w:top w:val="nil"/>
              <w:left w:val="nil"/>
              <w:bottom w:val="single" w:sz="4" w:space="0" w:color="auto"/>
              <w:right w:val="single" w:sz="4" w:space="0" w:color="auto"/>
            </w:tcBorders>
            <w:shd w:val="clear" w:color="auto" w:fill="auto"/>
            <w:noWrap/>
            <w:vAlign w:val="center"/>
            <w:hideMark/>
          </w:tcPr>
          <w:p w14:paraId="4F6CD86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0,67</w:t>
            </w:r>
          </w:p>
        </w:tc>
        <w:tc>
          <w:tcPr>
            <w:tcW w:w="1249" w:type="dxa"/>
            <w:tcBorders>
              <w:top w:val="nil"/>
              <w:left w:val="nil"/>
              <w:bottom w:val="single" w:sz="4" w:space="0" w:color="auto"/>
              <w:right w:val="single" w:sz="4" w:space="0" w:color="auto"/>
            </w:tcBorders>
            <w:shd w:val="clear" w:color="auto" w:fill="auto"/>
            <w:noWrap/>
            <w:vAlign w:val="center"/>
            <w:hideMark/>
          </w:tcPr>
          <w:p w14:paraId="1DB7BB5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0,65</w:t>
            </w:r>
          </w:p>
        </w:tc>
      </w:tr>
      <w:tr w:rsidR="00BF12D5" w:rsidRPr="00BD0223" w14:paraId="238EC78C"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735EBA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INDIANOPOLIS</w:t>
            </w:r>
          </w:p>
        </w:tc>
        <w:tc>
          <w:tcPr>
            <w:tcW w:w="1250" w:type="dxa"/>
            <w:tcBorders>
              <w:top w:val="nil"/>
              <w:left w:val="nil"/>
              <w:bottom w:val="single" w:sz="4" w:space="0" w:color="auto"/>
              <w:right w:val="single" w:sz="4" w:space="0" w:color="auto"/>
            </w:tcBorders>
            <w:shd w:val="clear" w:color="auto" w:fill="auto"/>
            <w:noWrap/>
            <w:vAlign w:val="center"/>
            <w:hideMark/>
          </w:tcPr>
          <w:p w14:paraId="142E56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1,85</w:t>
            </w:r>
          </w:p>
        </w:tc>
        <w:tc>
          <w:tcPr>
            <w:tcW w:w="1249" w:type="dxa"/>
            <w:tcBorders>
              <w:top w:val="nil"/>
              <w:left w:val="nil"/>
              <w:bottom w:val="single" w:sz="4" w:space="0" w:color="auto"/>
              <w:right w:val="single" w:sz="4" w:space="0" w:color="auto"/>
            </w:tcBorders>
            <w:shd w:val="clear" w:color="auto" w:fill="auto"/>
            <w:noWrap/>
            <w:vAlign w:val="center"/>
            <w:hideMark/>
          </w:tcPr>
          <w:p w14:paraId="50C1D9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2,26</w:t>
            </w:r>
          </w:p>
        </w:tc>
        <w:tc>
          <w:tcPr>
            <w:tcW w:w="1249" w:type="dxa"/>
            <w:tcBorders>
              <w:top w:val="nil"/>
              <w:left w:val="nil"/>
              <w:bottom w:val="single" w:sz="4" w:space="0" w:color="auto"/>
              <w:right w:val="single" w:sz="4" w:space="0" w:color="auto"/>
            </w:tcBorders>
            <w:shd w:val="clear" w:color="auto" w:fill="auto"/>
            <w:noWrap/>
            <w:vAlign w:val="center"/>
            <w:hideMark/>
          </w:tcPr>
          <w:p w14:paraId="37BF7C8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1,82</w:t>
            </w:r>
          </w:p>
        </w:tc>
        <w:tc>
          <w:tcPr>
            <w:tcW w:w="1249" w:type="dxa"/>
            <w:tcBorders>
              <w:top w:val="nil"/>
              <w:left w:val="nil"/>
              <w:bottom w:val="single" w:sz="4" w:space="0" w:color="auto"/>
              <w:right w:val="single" w:sz="4" w:space="0" w:color="auto"/>
            </w:tcBorders>
            <w:shd w:val="clear" w:color="auto" w:fill="auto"/>
            <w:noWrap/>
            <w:vAlign w:val="center"/>
            <w:hideMark/>
          </w:tcPr>
          <w:p w14:paraId="4819DF0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1,49</w:t>
            </w:r>
          </w:p>
        </w:tc>
      </w:tr>
      <w:tr w:rsidR="00BF12D5" w:rsidRPr="00BD0223" w14:paraId="518DFCC8"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378A06D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IPIACU</w:t>
            </w:r>
          </w:p>
        </w:tc>
        <w:tc>
          <w:tcPr>
            <w:tcW w:w="1250" w:type="dxa"/>
            <w:tcBorders>
              <w:top w:val="nil"/>
              <w:left w:val="nil"/>
              <w:bottom w:val="single" w:sz="4" w:space="0" w:color="auto"/>
              <w:right w:val="single" w:sz="4" w:space="0" w:color="auto"/>
            </w:tcBorders>
            <w:shd w:val="clear" w:color="auto" w:fill="auto"/>
            <w:noWrap/>
            <w:vAlign w:val="center"/>
            <w:hideMark/>
          </w:tcPr>
          <w:p w14:paraId="453492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249" w:type="dxa"/>
            <w:tcBorders>
              <w:top w:val="nil"/>
              <w:left w:val="nil"/>
              <w:bottom w:val="single" w:sz="4" w:space="0" w:color="auto"/>
              <w:right w:val="single" w:sz="4" w:space="0" w:color="auto"/>
            </w:tcBorders>
            <w:shd w:val="clear" w:color="auto" w:fill="auto"/>
            <w:noWrap/>
            <w:vAlign w:val="center"/>
            <w:hideMark/>
          </w:tcPr>
          <w:p w14:paraId="0CEA43B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0,23</w:t>
            </w:r>
          </w:p>
        </w:tc>
        <w:tc>
          <w:tcPr>
            <w:tcW w:w="1249" w:type="dxa"/>
            <w:tcBorders>
              <w:top w:val="nil"/>
              <w:left w:val="nil"/>
              <w:bottom w:val="single" w:sz="4" w:space="0" w:color="auto"/>
              <w:right w:val="single" w:sz="4" w:space="0" w:color="auto"/>
            </w:tcBorders>
            <w:shd w:val="clear" w:color="auto" w:fill="auto"/>
            <w:noWrap/>
            <w:vAlign w:val="center"/>
            <w:hideMark/>
          </w:tcPr>
          <w:p w14:paraId="1234AE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0,26</w:t>
            </w:r>
          </w:p>
        </w:tc>
        <w:tc>
          <w:tcPr>
            <w:tcW w:w="1249" w:type="dxa"/>
            <w:tcBorders>
              <w:top w:val="nil"/>
              <w:left w:val="nil"/>
              <w:bottom w:val="single" w:sz="4" w:space="0" w:color="auto"/>
              <w:right w:val="single" w:sz="4" w:space="0" w:color="auto"/>
            </w:tcBorders>
            <w:shd w:val="clear" w:color="auto" w:fill="auto"/>
            <w:noWrap/>
            <w:vAlign w:val="center"/>
            <w:hideMark/>
          </w:tcPr>
          <w:p w14:paraId="0A21E6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0,28</w:t>
            </w:r>
          </w:p>
        </w:tc>
      </w:tr>
      <w:tr w:rsidR="00BF12D5" w:rsidRPr="00BD0223" w14:paraId="11EE1A47"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4F275D7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ITAPAGIPE</w:t>
            </w:r>
          </w:p>
        </w:tc>
        <w:tc>
          <w:tcPr>
            <w:tcW w:w="1250" w:type="dxa"/>
            <w:tcBorders>
              <w:top w:val="nil"/>
              <w:left w:val="nil"/>
              <w:bottom w:val="single" w:sz="4" w:space="0" w:color="auto"/>
              <w:right w:val="single" w:sz="4" w:space="0" w:color="auto"/>
            </w:tcBorders>
            <w:shd w:val="clear" w:color="auto" w:fill="auto"/>
            <w:noWrap/>
            <w:vAlign w:val="center"/>
            <w:hideMark/>
          </w:tcPr>
          <w:p w14:paraId="3438C1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8,54</w:t>
            </w:r>
          </w:p>
        </w:tc>
        <w:tc>
          <w:tcPr>
            <w:tcW w:w="1249" w:type="dxa"/>
            <w:tcBorders>
              <w:top w:val="nil"/>
              <w:left w:val="nil"/>
              <w:bottom w:val="single" w:sz="4" w:space="0" w:color="auto"/>
              <w:right w:val="single" w:sz="4" w:space="0" w:color="auto"/>
            </w:tcBorders>
            <w:shd w:val="clear" w:color="auto" w:fill="auto"/>
            <w:noWrap/>
            <w:vAlign w:val="center"/>
            <w:hideMark/>
          </w:tcPr>
          <w:p w14:paraId="0068B7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8,02</w:t>
            </w:r>
          </w:p>
        </w:tc>
        <w:tc>
          <w:tcPr>
            <w:tcW w:w="1249" w:type="dxa"/>
            <w:tcBorders>
              <w:top w:val="nil"/>
              <w:left w:val="nil"/>
              <w:bottom w:val="single" w:sz="4" w:space="0" w:color="auto"/>
              <w:right w:val="single" w:sz="4" w:space="0" w:color="auto"/>
            </w:tcBorders>
            <w:shd w:val="clear" w:color="auto" w:fill="auto"/>
            <w:noWrap/>
            <w:vAlign w:val="center"/>
            <w:hideMark/>
          </w:tcPr>
          <w:p w14:paraId="4C45E93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8,05</w:t>
            </w:r>
          </w:p>
        </w:tc>
        <w:tc>
          <w:tcPr>
            <w:tcW w:w="1249" w:type="dxa"/>
            <w:tcBorders>
              <w:top w:val="nil"/>
              <w:left w:val="nil"/>
              <w:bottom w:val="single" w:sz="4" w:space="0" w:color="auto"/>
              <w:right w:val="single" w:sz="4" w:space="0" w:color="auto"/>
            </w:tcBorders>
            <w:shd w:val="clear" w:color="auto" w:fill="auto"/>
            <w:noWrap/>
            <w:vAlign w:val="center"/>
            <w:hideMark/>
          </w:tcPr>
          <w:p w14:paraId="3111C63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7,12</w:t>
            </w:r>
          </w:p>
        </w:tc>
      </w:tr>
      <w:tr w:rsidR="00BF12D5" w:rsidRPr="00BD0223" w14:paraId="769FC466"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7672D7A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ITUIUTABA</w:t>
            </w:r>
          </w:p>
        </w:tc>
        <w:tc>
          <w:tcPr>
            <w:tcW w:w="1250" w:type="dxa"/>
            <w:tcBorders>
              <w:top w:val="nil"/>
              <w:left w:val="nil"/>
              <w:bottom w:val="single" w:sz="4" w:space="0" w:color="auto"/>
              <w:right w:val="single" w:sz="4" w:space="0" w:color="auto"/>
            </w:tcBorders>
            <w:shd w:val="clear" w:color="auto" w:fill="auto"/>
            <w:noWrap/>
            <w:vAlign w:val="center"/>
            <w:hideMark/>
          </w:tcPr>
          <w:p w14:paraId="2EC814E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58,81</w:t>
            </w:r>
          </w:p>
        </w:tc>
        <w:tc>
          <w:tcPr>
            <w:tcW w:w="1249" w:type="dxa"/>
            <w:tcBorders>
              <w:top w:val="nil"/>
              <w:left w:val="nil"/>
              <w:bottom w:val="single" w:sz="4" w:space="0" w:color="auto"/>
              <w:right w:val="single" w:sz="4" w:space="0" w:color="auto"/>
            </w:tcBorders>
            <w:shd w:val="clear" w:color="auto" w:fill="auto"/>
            <w:noWrap/>
            <w:vAlign w:val="center"/>
            <w:hideMark/>
          </w:tcPr>
          <w:p w14:paraId="4CD6F03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58,71</w:t>
            </w:r>
          </w:p>
        </w:tc>
        <w:tc>
          <w:tcPr>
            <w:tcW w:w="1249" w:type="dxa"/>
            <w:tcBorders>
              <w:top w:val="nil"/>
              <w:left w:val="nil"/>
              <w:bottom w:val="single" w:sz="4" w:space="0" w:color="auto"/>
              <w:right w:val="single" w:sz="4" w:space="0" w:color="auto"/>
            </w:tcBorders>
            <w:shd w:val="clear" w:color="auto" w:fill="auto"/>
            <w:noWrap/>
            <w:vAlign w:val="center"/>
            <w:hideMark/>
          </w:tcPr>
          <w:p w14:paraId="6CC9F89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56,57</w:t>
            </w:r>
          </w:p>
        </w:tc>
        <w:tc>
          <w:tcPr>
            <w:tcW w:w="1249" w:type="dxa"/>
            <w:tcBorders>
              <w:top w:val="nil"/>
              <w:left w:val="nil"/>
              <w:bottom w:val="single" w:sz="4" w:space="0" w:color="auto"/>
              <w:right w:val="single" w:sz="4" w:space="0" w:color="auto"/>
            </w:tcBorders>
            <w:shd w:val="clear" w:color="auto" w:fill="auto"/>
            <w:noWrap/>
            <w:vAlign w:val="center"/>
            <w:hideMark/>
          </w:tcPr>
          <w:p w14:paraId="1B53BDA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53,62</w:t>
            </w:r>
          </w:p>
        </w:tc>
      </w:tr>
      <w:tr w:rsidR="00BF12D5" w:rsidRPr="00BD0223" w14:paraId="2BEDE321"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6A3E6C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ITURAMA</w:t>
            </w:r>
          </w:p>
        </w:tc>
        <w:tc>
          <w:tcPr>
            <w:tcW w:w="1250" w:type="dxa"/>
            <w:tcBorders>
              <w:top w:val="nil"/>
              <w:left w:val="nil"/>
              <w:bottom w:val="single" w:sz="4" w:space="0" w:color="auto"/>
              <w:right w:val="single" w:sz="4" w:space="0" w:color="auto"/>
            </w:tcBorders>
            <w:shd w:val="clear" w:color="auto" w:fill="auto"/>
            <w:noWrap/>
            <w:vAlign w:val="center"/>
            <w:hideMark/>
          </w:tcPr>
          <w:p w14:paraId="77CB9C0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22,41</w:t>
            </w:r>
          </w:p>
        </w:tc>
        <w:tc>
          <w:tcPr>
            <w:tcW w:w="1249" w:type="dxa"/>
            <w:tcBorders>
              <w:top w:val="nil"/>
              <w:left w:val="nil"/>
              <w:bottom w:val="single" w:sz="4" w:space="0" w:color="auto"/>
              <w:right w:val="single" w:sz="4" w:space="0" w:color="auto"/>
            </w:tcBorders>
            <w:shd w:val="clear" w:color="auto" w:fill="auto"/>
            <w:noWrap/>
            <w:vAlign w:val="center"/>
            <w:hideMark/>
          </w:tcPr>
          <w:p w14:paraId="592CBA8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22,12</w:t>
            </w:r>
          </w:p>
        </w:tc>
        <w:tc>
          <w:tcPr>
            <w:tcW w:w="1249" w:type="dxa"/>
            <w:tcBorders>
              <w:top w:val="nil"/>
              <w:left w:val="nil"/>
              <w:bottom w:val="single" w:sz="4" w:space="0" w:color="auto"/>
              <w:right w:val="single" w:sz="4" w:space="0" w:color="auto"/>
            </w:tcBorders>
            <w:shd w:val="clear" w:color="auto" w:fill="auto"/>
            <w:noWrap/>
            <w:vAlign w:val="center"/>
            <w:hideMark/>
          </w:tcPr>
          <w:p w14:paraId="23FC200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22,37</w:t>
            </w:r>
          </w:p>
        </w:tc>
        <w:tc>
          <w:tcPr>
            <w:tcW w:w="1249" w:type="dxa"/>
            <w:tcBorders>
              <w:top w:val="nil"/>
              <w:left w:val="nil"/>
              <w:bottom w:val="single" w:sz="4" w:space="0" w:color="auto"/>
              <w:right w:val="single" w:sz="4" w:space="0" w:color="auto"/>
            </w:tcBorders>
            <w:shd w:val="clear" w:color="auto" w:fill="auto"/>
            <w:noWrap/>
            <w:vAlign w:val="center"/>
            <w:hideMark/>
          </w:tcPr>
          <w:p w14:paraId="1A64E6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18,59</w:t>
            </w:r>
          </w:p>
        </w:tc>
      </w:tr>
      <w:tr w:rsidR="00BF12D5" w:rsidRPr="00BD0223" w14:paraId="52238456"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602F210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LIMEIRA DO OESTE</w:t>
            </w:r>
          </w:p>
        </w:tc>
        <w:tc>
          <w:tcPr>
            <w:tcW w:w="1250" w:type="dxa"/>
            <w:tcBorders>
              <w:top w:val="nil"/>
              <w:left w:val="nil"/>
              <w:bottom w:val="single" w:sz="4" w:space="0" w:color="auto"/>
              <w:right w:val="single" w:sz="4" w:space="0" w:color="auto"/>
            </w:tcBorders>
            <w:shd w:val="clear" w:color="auto" w:fill="auto"/>
            <w:noWrap/>
            <w:vAlign w:val="center"/>
            <w:hideMark/>
          </w:tcPr>
          <w:p w14:paraId="0B132B0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9,74</w:t>
            </w:r>
          </w:p>
        </w:tc>
        <w:tc>
          <w:tcPr>
            <w:tcW w:w="1249" w:type="dxa"/>
            <w:tcBorders>
              <w:top w:val="nil"/>
              <w:left w:val="nil"/>
              <w:bottom w:val="single" w:sz="4" w:space="0" w:color="auto"/>
              <w:right w:val="single" w:sz="4" w:space="0" w:color="auto"/>
            </w:tcBorders>
            <w:shd w:val="clear" w:color="auto" w:fill="auto"/>
            <w:noWrap/>
            <w:vAlign w:val="center"/>
            <w:hideMark/>
          </w:tcPr>
          <w:p w14:paraId="7965FC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9,46</w:t>
            </w:r>
          </w:p>
        </w:tc>
        <w:tc>
          <w:tcPr>
            <w:tcW w:w="1249" w:type="dxa"/>
            <w:tcBorders>
              <w:top w:val="nil"/>
              <w:left w:val="nil"/>
              <w:bottom w:val="single" w:sz="4" w:space="0" w:color="auto"/>
              <w:right w:val="single" w:sz="4" w:space="0" w:color="auto"/>
            </w:tcBorders>
            <w:shd w:val="clear" w:color="auto" w:fill="auto"/>
            <w:noWrap/>
            <w:vAlign w:val="center"/>
            <w:hideMark/>
          </w:tcPr>
          <w:p w14:paraId="5899DE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9,98</w:t>
            </w:r>
          </w:p>
        </w:tc>
        <w:tc>
          <w:tcPr>
            <w:tcW w:w="1249" w:type="dxa"/>
            <w:tcBorders>
              <w:top w:val="nil"/>
              <w:left w:val="nil"/>
              <w:bottom w:val="single" w:sz="4" w:space="0" w:color="auto"/>
              <w:right w:val="single" w:sz="4" w:space="0" w:color="auto"/>
            </w:tcBorders>
            <w:shd w:val="clear" w:color="auto" w:fill="auto"/>
            <w:noWrap/>
            <w:vAlign w:val="center"/>
            <w:hideMark/>
          </w:tcPr>
          <w:p w14:paraId="21F1BE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10,45</w:t>
            </w:r>
          </w:p>
        </w:tc>
      </w:tr>
      <w:tr w:rsidR="00BF12D5" w:rsidRPr="00BD0223" w14:paraId="027F0CB9"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3798B3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MONTE ALEGRE DE MINAS</w:t>
            </w:r>
          </w:p>
        </w:tc>
        <w:tc>
          <w:tcPr>
            <w:tcW w:w="1250" w:type="dxa"/>
            <w:tcBorders>
              <w:top w:val="nil"/>
              <w:left w:val="nil"/>
              <w:bottom w:val="single" w:sz="4" w:space="0" w:color="auto"/>
              <w:right w:val="single" w:sz="4" w:space="0" w:color="auto"/>
            </w:tcBorders>
            <w:shd w:val="clear" w:color="auto" w:fill="auto"/>
            <w:noWrap/>
            <w:vAlign w:val="center"/>
            <w:hideMark/>
          </w:tcPr>
          <w:p w14:paraId="781EC0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10,96</w:t>
            </w:r>
          </w:p>
        </w:tc>
        <w:tc>
          <w:tcPr>
            <w:tcW w:w="1249" w:type="dxa"/>
            <w:tcBorders>
              <w:top w:val="nil"/>
              <w:left w:val="nil"/>
              <w:bottom w:val="single" w:sz="4" w:space="0" w:color="auto"/>
              <w:right w:val="single" w:sz="4" w:space="0" w:color="auto"/>
            </w:tcBorders>
            <w:shd w:val="clear" w:color="auto" w:fill="auto"/>
            <w:noWrap/>
            <w:vAlign w:val="center"/>
            <w:hideMark/>
          </w:tcPr>
          <w:p w14:paraId="4ED2AC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14,35</w:t>
            </w:r>
          </w:p>
        </w:tc>
        <w:tc>
          <w:tcPr>
            <w:tcW w:w="1249" w:type="dxa"/>
            <w:tcBorders>
              <w:top w:val="nil"/>
              <w:left w:val="nil"/>
              <w:bottom w:val="single" w:sz="4" w:space="0" w:color="auto"/>
              <w:right w:val="single" w:sz="4" w:space="0" w:color="auto"/>
            </w:tcBorders>
            <w:shd w:val="clear" w:color="auto" w:fill="auto"/>
            <w:noWrap/>
            <w:vAlign w:val="center"/>
            <w:hideMark/>
          </w:tcPr>
          <w:p w14:paraId="0328DEC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14,58</w:t>
            </w:r>
          </w:p>
        </w:tc>
        <w:tc>
          <w:tcPr>
            <w:tcW w:w="1249" w:type="dxa"/>
            <w:tcBorders>
              <w:top w:val="nil"/>
              <w:left w:val="nil"/>
              <w:bottom w:val="single" w:sz="4" w:space="0" w:color="auto"/>
              <w:right w:val="single" w:sz="4" w:space="0" w:color="auto"/>
            </w:tcBorders>
            <w:shd w:val="clear" w:color="auto" w:fill="auto"/>
            <w:noWrap/>
            <w:vAlign w:val="center"/>
            <w:hideMark/>
          </w:tcPr>
          <w:p w14:paraId="51F6C20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12,57</w:t>
            </w:r>
          </w:p>
        </w:tc>
      </w:tr>
      <w:tr w:rsidR="00BF12D5" w:rsidRPr="00BD0223" w14:paraId="58F8DF98"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5F17CED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PIRAJUBA</w:t>
            </w:r>
          </w:p>
        </w:tc>
        <w:tc>
          <w:tcPr>
            <w:tcW w:w="1250" w:type="dxa"/>
            <w:tcBorders>
              <w:top w:val="nil"/>
              <w:left w:val="nil"/>
              <w:bottom w:val="single" w:sz="4" w:space="0" w:color="auto"/>
              <w:right w:val="single" w:sz="4" w:space="0" w:color="auto"/>
            </w:tcBorders>
            <w:shd w:val="clear" w:color="auto" w:fill="auto"/>
            <w:noWrap/>
            <w:vAlign w:val="center"/>
            <w:hideMark/>
          </w:tcPr>
          <w:p w14:paraId="2F6668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12,79</w:t>
            </w:r>
          </w:p>
        </w:tc>
        <w:tc>
          <w:tcPr>
            <w:tcW w:w="1249" w:type="dxa"/>
            <w:tcBorders>
              <w:top w:val="nil"/>
              <w:left w:val="nil"/>
              <w:bottom w:val="single" w:sz="4" w:space="0" w:color="auto"/>
              <w:right w:val="single" w:sz="4" w:space="0" w:color="auto"/>
            </w:tcBorders>
            <w:shd w:val="clear" w:color="auto" w:fill="auto"/>
            <w:noWrap/>
            <w:vAlign w:val="center"/>
            <w:hideMark/>
          </w:tcPr>
          <w:p w14:paraId="06C9535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12,20</w:t>
            </w:r>
          </w:p>
        </w:tc>
        <w:tc>
          <w:tcPr>
            <w:tcW w:w="1249" w:type="dxa"/>
            <w:tcBorders>
              <w:top w:val="nil"/>
              <w:left w:val="nil"/>
              <w:bottom w:val="single" w:sz="4" w:space="0" w:color="auto"/>
              <w:right w:val="single" w:sz="4" w:space="0" w:color="auto"/>
            </w:tcBorders>
            <w:shd w:val="clear" w:color="auto" w:fill="auto"/>
            <w:noWrap/>
            <w:vAlign w:val="center"/>
            <w:hideMark/>
          </w:tcPr>
          <w:p w14:paraId="748E07F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11,90</w:t>
            </w:r>
          </w:p>
        </w:tc>
        <w:tc>
          <w:tcPr>
            <w:tcW w:w="1249" w:type="dxa"/>
            <w:tcBorders>
              <w:top w:val="nil"/>
              <w:left w:val="nil"/>
              <w:bottom w:val="single" w:sz="4" w:space="0" w:color="auto"/>
              <w:right w:val="single" w:sz="4" w:space="0" w:color="auto"/>
            </w:tcBorders>
            <w:shd w:val="clear" w:color="auto" w:fill="auto"/>
            <w:noWrap/>
            <w:vAlign w:val="center"/>
            <w:hideMark/>
          </w:tcPr>
          <w:p w14:paraId="07D3874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11,57</w:t>
            </w:r>
          </w:p>
        </w:tc>
      </w:tr>
      <w:tr w:rsidR="00BF12D5" w:rsidRPr="00BD0223" w14:paraId="0881A39D"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5EA6A44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PLANURA</w:t>
            </w:r>
          </w:p>
        </w:tc>
        <w:tc>
          <w:tcPr>
            <w:tcW w:w="1250" w:type="dxa"/>
            <w:tcBorders>
              <w:top w:val="nil"/>
              <w:left w:val="nil"/>
              <w:bottom w:val="single" w:sz="4" w:space="0" w:color="auto"/>
              <w:right w:val="single" w:sz="4" w:space="0" w:color="auto"/>
            </w:tcBorders>
            <w:shd w:val="clear" w:color="auto" w:fill="auto"/>
            <w:noWrap/>
            <w:vAlign w:val="center"/>
            <w:hideMark/>
          </w:tcPr>
          <w:p w14:paraId="39F944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0,39</w:t>
            </w:r>
          </w:p>
        </w:tc>
        <w:tc>
          <w:tcPr>
            <w:tcW w:w="1249" w:type="dxa"/>
            <w:tcBorders>
              <w:top w:val="nil"/>
              <w:left w:val="nil"/>
              <w:bottom w:val="single" w:sz="4" w:space="0" w:color="auto"/>
              <w:right w:val="single" w:sz="4" w:space="0" w:color="auto"/>
            </w:tcBorders>
            <w:shd w:val="clear" w:color="auto" w:fill="auto"/>
            <w:noWrap/>
            <w:vAlign w:val="center"/>
            <w:hideMark/>
          </w:tcPr>
          <w:p w14:paraId="2ACEAD5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0,73</w:t>
            </w:r>
          </w:p>
        </w:tc>
        <w:tc>
          <w:tcPr>
            <w:tcW w:w="1249" w:type="dxa"/>
            <w:tcBorders>
              <w:top w:val="nil"/>
              <w:left w:val="nil"/>
              <w:bottom w:val="single" w:sz="4" w:space="0" w:color="auto"/>
              <w:right w:val="single" w:sz="4" w:space="0" w:color="auto"/>
            </w:tcBorders>
            <w:shd w:val="clear" w:color="auto" w:fill="auto"/>
            <w:noWrap/>
            <w:vAlign w:val="center"/>
            <w:hideMark/>
          </w:tcPr>
          <w:p w14:paraId="55DC188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0,37</w:t>
            </w:r>
          </w:p>
        </w:tc>
        <w:tc>
          <w:tcPr>
            <w:tcW w:w="1249" w:type="dxa"/>
            <w:tcBorders>
              <w:top w:val="nil"/>
              <w:left w:val="nil"/>
              <w:bottom w:val="single" w:sz="4" w:space="0" w:color="auto"/>
              <w:right w:val="single" w:sz="4" w:space="0" w:color="auto"/>
            </w:tcBorders>
            <w:shd w:val="clear" w:color="auto" w:fill="auto"/>
            <w:noWrap/>
            <w:vAlign w:val="center"/>
            <w:hideMark/>
          </w:tcPr>
          <w:p w14:paraId="77A4CE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0,49</w:t>
            </w:r>
          </w:p>
        </w:tc>
      </w:tr>
      <w:tr w:rsidR="00BF12D5" w:rsidRPr="00BD0223" w14:paraId="0CE9AD61"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706E7E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PRATA</w:t>
            </w:r>
          </w:p>
        </w:tc>
        <w:tc>
          <w:tcPr>
            <w:tcW w:w="1250" w:type="dxa"/>
            <w:tcBorders>
              <w:top w:val="nil"/>
              <w:left w:val="nil"/>
              <w:bottom w:val="single" w:sz="4" w:space="0" w:color="auto"/>
              <w:right w:val="single" w:sz="4" w:space="0" w:color="auto"/>
            </w:tcBorders>
            <w:shd w:val="clear" w:color="auto" w:fill="auto"/>
            <w:noWrap/>
            <w:vAlign w:val="center"/>
            <w:hideMark/>
          </w:tcPr>
          <w:p w14:paraId="59EE2A4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136,22</w:t>
            </w:r>
          </w:p>
        </w:tc>
        <w:tc>
          <w:tcPr>
            <w:tcW w:w="1249" w:type="dxa"/>
            <w:tcBorders>
              <w:top w:val="nil"/>
              <w:left w:val="nil"/>
              <w:bottom w:val="single" w:sz="4" w:space="0" w:color="auto"/>
              <w:right w:val="single" w:sz="4" w:space="0" w:color="auto"/>
            </w:tcBorders>
            <w:shd w:val="clear" w:color="auto" w:fill="auto"/>
            <w:noWrap/>
            <w:vAlign w:val="center"/>
            <w:hideMark/>
          </w:tcPr>
          <w:p w14:paraId="20D8B52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109,88</w:t>
            </w:r>
          </w:p>
        </w:tc>
        <w:tc>
          <w:tcPr>
            <w:tcW w:w="1249" w:type="dxa"/>
            <w:tcBorders>
              <w:top w:val="nil"/>
              <w:left w:val="nil"/>
              <w:bottom w:val="single" w:sz="4" w:space="0" w:color="auto"/>
              <w:right w:val="single" w:sz="4" w:space="0" w:color="auto"/>
            </w:tcBorders>
            <w:shd w:val="clear" w:color="auto" w:fill="auto"/>
            <w:noWrap/>
            <w:vAlign w:val="center"/>
            <w:hideMark/>
          </w:tcPr>
          <w:p w14:paraId="34AA0DA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81,59</w:t>
            </w:r>
          </w:p>
        </w:tc>
        <w:tc>
          <w:tcPr>
            <w:tcW w:w="1249" w:type="dxa"/>
            <w:tcBorders>
              <w:top w:val="nil"/>
              <w:left w:val="nil"/>
              <w:bottom w:val="single" w:sz="4" w:space="0" w:color="auto"/>
              <w:right w:val="single" w:sz="4" w:space="0" w:color="auto"/>
            </w:tcBorders>
            <w:shd w:val="clear" w:color="auto" w:fill="auto"/>
            <w:noWrap/>
            <w:vAlign w:val="center"/>
            <w:hideMark/>
          </w:tcPr>
          <w:p w14:paraId="7AD9B45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63,81</w:t>
            </w:r>
          </w:p>
        </w:tc>
      </w:tr>
      <w:tr w:rsidR="00BF12D5" w:rsidRPr="00BD0223" w14:paraId="5B96E4A0"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7BAD28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ROSARIO DA LIMEIRA</w:t>
            </w:r>
          </w:p>
        </w:tc>
        <w:tc>
          <w:tcPr>
            <w:tcW w:w="1250" w:type="dxa"/>
            <w:tcBorders>
              <w:top w:val="nil"/>
              <w:left w:val="nil"/>
              <w:bottom w:val="single" w:sz="4" w:space="0" w:color="auto"/>
              <w:right w:val="single" w:sz="4" w:space="0" w:color="auto"/>
            </w:tcBorders>
            <w:shd w:val="clear" w:color="auto" w:fill="auto"/>
            <w:noWrap/>
            <w:vAlign w:val="center"/>
            <w:hideMark/>
          </w:tcPr>
          <w:p w14:paraId="3CEFBF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0,17</w:t>
            </w:r>
          </w:p>
        </w:tc>
        <w:tc>
          <w:tcPr>
            <w:tcW w:w="1249" w:type="dxa"/>
            <w:tcBorders>
              <w:top w:val="nil"/>
              <w:left w:val="nil"/>
              <w:bottom w:val="single" w:sz="4" w:space="0" w:color="auto"/>
              <w:right w:val="single" w:sz="4" w:space="0" w:color="auto"/>
            </w:tcBorders>
            <w:shd w:val="clear" w:color="auto" w:fill="auto"/>
            <w:noWrap/>
            <w:vAlign w:val="center"/>
            <w:hideMark/>
          </w:tcPr>
          <w:p w14:paraId="548249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0,11</w:t>
            </w:r>
          </w:p>
        </w:tc>
        <w:tc>
          <w:tcPr>
            <w:tcW w:w="1249" w:type="dxa"/>
            <w:tcBorders>
              <w:top w:val="nil"/>
              <w:left w:val="nil"/>
              <w:bottom w:val="single" w:sz="4" w:space="0" w:color="auto"/>
              <w:right w:val="single" w:sz="4" w:space="0" w:color="auto"/>
            </w:tcBorders>
            <w:shd w:val="clear" w:color="auto" w:fill="auto"/>
            <w:noWrap/>
            <w:vAlign w:val="center"/>
            <w:hideMark/>
          </w:tcPr>
          <w:p w14:paraId="254E123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0,15</w:t>
            </w:r>
          </w:p>
        </w:tc>
        <w:tc>
          <w:tcPr>
            <w:tcW w:w="1249" w:type="dxa"/>
            <w:tcBorders>
              <w:top w:val="nil"/>
              <w:left w:val="nil"/>
              <w:bottom w:val="single" w:sz="4" w:space="0" w:color="auto"/>
              <w:right w:val="single" w:sz="4" w:space="0" w:color="auto"/>
            </w:tcBorders>
            <w:shd w:val="clear" w:color="auto" w:fill="auto"/>
            <w:noWrap/>
            <w:vAlign w:val="center"/>
            <w:hideMark/>
          </w:tcPr>
          <w:p w14:paraId="3F1D21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0,13</w:t>
            </w:r>
          </w:p>
        </w:tc>
      </w:tr>
      <w:tr w:rsidR="00BF12D5" w:rsidRPr="00BD0223" w14:paraId="285A7B6F"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46CDAC2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VITORIA</w:t>
            </w:r>
          </w:p>
        </w:tc>
        <w:tc>
          <w:tcPr>
            <w:tcW w:w="1250" w:type="dxa"/>
            <w:tcBorders>
              <w:top w:val="nil"/>
              <w:left w:val="nil"/>
              <w:bottom w:val="single" w:sz="4" w:space="0" w:color="auto"/>
              <w:right w:val="single" w:sz="4" w:space="0" w:color="auto"/>
            </w:tcBorders>
            <w:shd w:val="clear" w:color="auto" w:fill="auto"/>
            <w:noWrap/>
            <w:vAlign w:val="center"/>
            <w:hideMark/>
          </w:tcPr>
          <w:p w14:paraId="5B52792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19,11</w:t>
            </w:r>
          </w:p>
        </w:tc>
        <w:tc>
          <w:tcPr>
            <w:tcW w:w="1249" w:type="dxa"/>
            <w:tcBorders>
              <w:top w:val="nil"/>
              <w:left w:val="nil"/>
              <w:bottom w:val="single" w:sz="4" w:space="0" w:color="auto"/>
              <w:right w:val="single" w:sz="4" w:space="0" w:color="auto"/>
            </w:tcBorders>
            <w:shd w:val="clear" w:color="auto" w:fill="auto"/>
            <w:noWrap/>
            <w:vAlign w:val="center"/>
            <w:hideMark/>
          </w:tcPr>
          <w:p w14:paraId="05FEF2B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18,03</w:t>
            </w:r>
          </w:p>
        </w:tc>
        <w:tc>
          <w:tcPr>
            <w:tcW w:w="1249" w:type="dxa"/>
            <w:tcBorders>
              <w:top w:val="nil"/>
              <w:left w:val="nil"/>
              <w:bottom w:val="single" w:sz="4" w:space="0" w:color="auto"/>
              <w:right w:val="single" w:sz="4" w:space="0" w:color="auto"/>
            </w:tcBorders>
            <w:shd w:val="clear" w:color="auto" w:fill="auto"/>
            <w:noWrap/>
            <w:vAlign w:val="center"/>
            <w:hideMark/>
          </w:tcPr>
          <w:p w14:paraId="20B106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15,49</w:t>
            </w:r>
          </w:p>
        </w:tc>
        <w:tc>
          <w:tcPr>
            <w:tcW w:w="1249" w:type="dxa"/>
            <w:tcBorders>
              <w:top w:val="nil"/>
              <w:left w:val="nil"/>
              <w:bottom w:val="single" w:sz="4" w:space="0" w:color="auto"/>
              <w:right w:val="single" w:sz="4" w:space="0" w:color="auto"/>
            </w:tcBorders>
            <w:shd w:val="clear" w:color="auto" w:fill="auto"/>
            <w:noWrap/>
            <w:vAlign w:val="center"/>
            <w:hideMark/>
          </w:tcPr>
          <w:p w14:paraId="425DED0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12,33</w:t>
            </w:r>
          </w:p>
        </w:tc>
      </w:tr>
      <w:tr w:rsidR="00BF12D5" w:rsidRPr="00BD0223" w14:paraId="2861C8D2"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323E280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FRANCISCO DE SALES</w:t>
            </w:r>
          </w:p>
        </w:tc>
        <w:tc>
          <w:tcPr>
            <w:tcW w:w="1250" w:type="dxa"/>
            <w:tcBorders>
              <w:top w:val="nil"/>
              <w:left w:val="nil"/>
              <w:bottom w:val="single" w:sz="4" w:space="0" w:color="auto"/>
              <w:right w:val="single" w:sz="4" w:space="0" w:color="auto"/>
            </w:tcBorders>
            <w:shd w:val="clear" w:color="auto" w:fill="auto"/>
            <w:noWrap/>
            <w:vAlign w:val="center"/>
            <w:hideMark/>
          </w:tcPr>
          <w:p w14:paraId="1592015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0,87</w:t>
            </w:r>
          </w:p>
        </w:tc>
        <w:tc>
          <w:tcPr>
            <w:tcW w:w="1249" w:type="dxa"/>
            <w:tcBorders>
              <w:top w:val="nil"/>
              <w:left w:val="nil"/>
              <w:bottom w:val="single" w:sz="4" w:space="0" w:color="auto"/>
              <w:right w:val="single" w:sz="4" w:space="0" w:color="auto"/>
            </w:tcBorders>
            <w:shd w:val="clear" w:color="auto" w:fill="auto"/>
            <w:noWrap/>
            <w:vAlign w:val="center"/>
            <w:hideMark/>
          </w:tcPr>
          <w:p w14:paraId="1D4B137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0,86</w:t>
            </w:r>
          </w:p>
        </w:tc>
        <w:tc>
          <w:tcPr>
            <w:tcW w:w="1249" w:type="dxa"/>
            <w:tcBorders>
              <w:top w:val="nil"/>
              <w:left w:val="nil"/>
              <w:bottom w:val="single" w:sz="4" w:space="0" w:color="auto"/>
              <w:right w:val="single" w:sz="4" w:space="0" w:color="auto"/>
            </w:tcBorders>
            <w:shd w:val="clear" w:color="auto" w:fill="auto"/>
            <w:noWrap/>
            <w:vAlign w:val="center"/>
            <w:hideMark/>
          </w:tcPr>
          <w:p w14:paraId="6435BAE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0,78</w:t>
            </w:r>
          </w:p>
        </w:tc>
        <w:tc>
          <w:tcPr>
            <w:tcW w:w="1249" w:type="dxa"/>
            <w:tcBorders>
              <w:top w:val="nil"/>
              <w:left w:val="nil"/>
              <w:bottom w:val="single" w:sz="4" w:space="0" w:color="auto"/>
              <w:right w:val="single" w:sz="4" w:space="0" w:color="auto"/>
            </w:tcBorders>
            <w:shd w:val="clear" w:color="auto" w:fill="auto"/>
            <w:noWrap/>
            <w:vAlign w:val="center"/>
            <w:hideMark/>
          </w:tcPr>
          <w:p w14:paraId="7C501C7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0,73</w:t>
            </w:r>
          </w:p>
        </w:tc>
      </w:tr>
      <w:tr w:rsidR="00BF12D5" w:rsidRPr="00BD0223" w14:paraId="7FD2B718"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4A61D8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TUPACIGUARA</w:t>
            </w:r>
          </w:p>
        </w:tc>
        <w:tc>
          <w:tcPr>
            <w:tcW w:w="1250" w:type="dxa"/>
            <w:tcBorders>
              <w:top w:val="nil"/>
              <w:left w:val="nil"/>
              <w:bottom w:val="single" w:sz="4" w:space="0" w:color="auto"/>
              <w:right w:val="single" w:sz="4" w:space="0" w:color="auto"/>
            </w:tcBorders>
            <w:shd w:val="clear" w:color="auto" w:fill="auto"/>
            <w:noWrap/>
            <w:vAlign w:val="center"/>
            <w:hideMark/>
          </w:tcPr>
          <w:p w14:paraId="26C94F1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8,26</w:t>
            </w:r>
          </w:p>
        </w:tc>
        <w:tc>
          <w:tcPr>
            <w:tcW w:w="1249" w:type="dxa"/>
            <w:tcBorders>
              <w:top w:val="nil"/>
              <w:left w:val="nil"/>
              <w:bottom w:val="single" w:sz="4" w:space="0" w:color="auto"/>
              <w:right w:val="single" w:sz="4" w:space="0" w:color="auto"/>
            </w:tcBorders>
            <w:shd w:val="clear" w:color="auto" w:fill="auto"/>
            <w:noWrap/>
            <w:vAlign w:val="center"/>
            <w:hideMark/>
          </w:tcPr>
          <w:p w14:paraId="13EBA6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8,49</w:t>
            </w:r>
          </w:p>
        </w:tc>
        <w:tc>
          <w:tcPr>
            <w:tcW w:w="1249" w:type="dxa"/>
            <w:tcBorders>
              <w:top w:val="nil"/>
              <w:left w:val="nil"/>
              <w:bottom w:val="single" w:sz="4" w:space="0" w:color="auto"/>
              <w:right w:val="single" w:sz="4" w:space="0" w:color="auto"/>
            </w:tcBorders>
            <w:shd w:val="clear" w:color="auto" w:fill="auto"/>
            <w:noWrap/>
            <w:vAlign w:val="center"/>
            <w:hideMark/>
          </w:tcPr>
          <w:p w14:paraId="5258CC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7,30</w:t>
            </w:r>
          </w:p>
        </w:tc>
        <w:tc>
          <w:tcPr>
            <w:tcW w:w="1249" w:type="dxa"/>
            <w:tcBorders>
              <w:top w:val="nil"/>
              <w:left w:val="nil"/>
              <w:bottom w:val="single" w:sz="4" w:space="0" w:color="auto"/>
              <w:right w:val="single" w:sz="4" w:space="0" w:color="auto"/>
            </w:tcBorders>
            <w:shd w:val="clear" w:color="auto" w:fill="auto"/>
            <w:noWrap/>
            <w:vAlign w:val="center"/>
            <w:hideMark/>
          </w:tcPr>
          <w:p w14:paraId="339F42C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7,85</w:t>
            </w:r>
          </w:p>
        </w:tc>
      </w:tr>
      <w:tr w:rsidR="00BF12D5" w:rsidRPr="00BD0223" w14:paraId="6CDD2B9F"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51C700E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UBERABA</w:t>
            </w:r>
          </w:p>
        </w:tc>
        <w:tc>
          <w:tcPr>
            <w:tcW w:w="1250" w:type="dxa"/>
            <w:tcBorders>
              <w:top w:val="nil"/>
              <w:left w:val="nil"/>
              <w:bottom w:val="single" w:sz="4" w:space="0" w:color="auto"/>
              <w:right w:val="single" w:sz="4" w:space="0" w:color="auto"/>
            </w:tcBorders>
            <w:shd w:val="clear" w:color="auto" w:fill="auto"/>
            <w:noWrap/>
            <w:vAlign w:val="center"/>
            <w:hideMark/>
          </w:tcPr>
          <w:p w14:paraId="5A79F75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154,21</w:t>
            </w:r>
          </w:p>
        </w:tc>
        <w:tc>
          <w:tcPr>
            <w:tcW w:w="1249" w:type="dxa"/>
            <w:tcBorders>
              <w:top w:val="nil"/>
              <w:left w:val="nil"/>
              <w:bottom w:val="single" w:sz="4" w:space="0" w:color="auto"/>
              <w:right w:val="single" w:sz="4" w:space="0" w:color="auto"/>
            </w:tcBorders>
            <w:shd w:val="clear" w:color="auto" w:fill="auto"/>
            <w:noWrap/>
            <w:vAlign w:val="center"/>
            <w:hideMark/>
          </w:tcPr>
          <w:p w14:paraId="14123CD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154,06</w:t>
            </w:r>
          </w:p>
        </w:tc>
        <w:tc>
          <w:tcPr>
            <w:tcW w:w="1249" w:type="dxa"/>
            <w:tcBorders>
              <w:top w:val="nil"/>
              <w:left w:val="nil"/>
              <w:bottom w:val="single" w:sz="4" w:space="0" w:color="auto"/>
              <w:right w:val="single" w:sz="4" w:space="0" w:color="auto"/>
            </w:tcBorders>
            <w:shd w:val="clear" w:color="auto" w:fill="auto"/>
            <w:noWrap/>
            <w:vAlign w:val="center"/>
            <w:hideMark/>
          </w:tcPr>
          <w:p w14:paraId="1AB3D5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163,69</w:t>
            </w:r>
          </w:p>
        </w:tc>
        <w:tc>
          <w:tcPr>
            <w:tcW w:w="1249" w:type="dxa"/>
            <w:tcBorders>
              <w:top w:val="nil"/>
              <w:left w:val="nil"/>
              <w:bottom w:val="single" w:sz="4" w:space="0" w:color="auto"/>
              <w:right w:val="single" w:sz="4" w:space="0" w:color="auto"/>
            </w:tcBorders>
            <w:shd w:val="clear" w:color="auto" w:fill="auto"/>
            <w:noWrap/>
            <w:vAlign w:val="center"/>
            <w:hideMark/>
          </w:tcPr>
          <w:p w14:paraId="001626D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154,18</w:t>
            </w:r>
          </w:p>
        </w:tc>
      </w:tr>
      <w:tr w:rsidR="00BF12D5" w:rsidRPr="00BD0223" w14:paraId="52DE7ECB"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7BDF55F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UBERLANDIA</w:t>
            </w:r>
          </w:p>
        </w:tc>
        <w:tc>
          <w:tcPr>
            <w:tcW w:w="1250" w:type="dxa"/>
            <w:tcBorders>
              <w:top w:val="nil"/>
              <w:left w:val="nil"/>
              <w:bottom w:val="single" w:sz="4" w:space="0" w:color="auto"/>
              <w:right w:val="single" w:sz="4" w:space="0" w:color="auto"/>
            </w:tcBorders>
            <w:shd w:val="clear" w:color="auto" w:fill="auto"/>
            <w:noWrap/>
            <w:vAlign w:val="center"/>
            <w:hideMark/>
          </w:tcPr>
          <w:p w14:paraId="41F1DF3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295,80</w:t>
            </w:r>
          </w:p>
        </w:tc>
        <w:tc>
          <w:tcPr>
            <w:tcW w:w="1249" w:type="dxa"/>
            <w:tcBorders>
              <w:top w:val="nil"/>
              <w:left w:val="nil"/>
              <w:bottom w:val="single" w:sz="4" w:space="0" w:color="auto"/>
              <w:right w:val="single" w:sz="4" w:space="0" w:color="auto"/>
            </w:tcBorders>
            <w:shd w:val="clear" w:color="auto" w:fill="auto"/>
            <w:noWrap/>
            <w:vAlign w:val="center"/>
            <w:hideMark/>
          </w:tcPr>
          <w:p w14:paraId="770E006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291,63</w:t>
            </w:r>
          </w:p>
        </w:tc>
        <w:tc>
          <w:tcPr>
            <w:tcW w:w="1249" w:type="dxa"/>
            <w:tcBorders>
              <w:top w:val="nil"/>
              <w:left w:val="nil"/>
              <w:bottom w:val="single" w:sz="4" w:space="0" w:color="auto"/>
              <w:right w:val="single" w:sz="4" w:space="0" w:color="auto"/>
            </w:tcBorders>
            <w:shd w:val="clear" w:color="auto" w:fill="auto"/>
            <w:noWrap/>
            <w:vAlign w:val="center"/>
            <w:hideMark/>
          </w:tcPr>
          <w:p w14:paraId="6F322FB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283,95</w:t>
            </w:r>
          </w:p>
        </w:tc>
        <w:tc>
          <w:tcPr>
            <w:tcW w:w="1249" w:type="dxa"/>
            <w:tcBorders>
              <w:top w:val="nil"/>
              <w:left w:val="nil"/>
              <w:bottom w:val="single" w:sz="4" w:space="0" w:color="auto"/>
              <w:right w:val="single" w:sz="4" w:space="0" w:color="auto"/>
            </w:tcBorders>
            <w:shd w:val="clear" w:color="auto" w:fill="auto"/>
            <w:noWrap/>
            <w:vAlign w:val="center"/>
            <w:hideMark/>
          </w:tcPr>
          <w:p w14:paraId="735D06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273,97</w:t>
            </w:r>
          </w:p>
        </w:tc>
      </w:tr>
      <w:tr w:rsidR="00BF12D5" w:rsidRPr="00BD0223" w14:paraId="2648CAC8" w14:textId="77777777" w:rsidTr="0039539B">
        <w:trPr>
          <w:trHeight w:val="312"/>
          <w:jc w:val="center"/>
        </w:trPr>
        <w:tc>
          <w:tcPr>
            <w:tcW w:w="4064" w:type="dxa"/>
            <w:tcBorders>
              <w:top w:val="nil"/>
              <w:left w:val="single" w:sz="4" w:space="0" w:color="auto"/>
              <w:bottom w:val="single" w:sz="4" w:space="0" w:color="auto"/>
              <w:right w:val="single" w:sz="4" w:space="0" w:color="auto"/>
            </w:tcBorders>
            <w:shd w:val="clear" w:color="auto" w:fill="auto"/>
            <w:noWrap/>
            <w:vAlign w:val="center"/>
            <w:hideMark/>
          </w:tcPr>
          <w:p w14:paraId="3CB3187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UNIAO DE MINAS</w:t>
            </w:r>
          </w:p>
        </w:tc>
        <w:tc>
          <w:tcPr>
            <w:tcW w:w="1250" w:type="dxa"/>
            <w:tcBorders>
              <w:top w:val="nil"/>
              <w:left w:val="nil"/>
              <w:bottom w:val="single" w:sz="4" w:space="0" w:color="auto"/>
              <w:right w:val="single" w:sz="4" w:space="0" w:color="auto"/>
            </w:tcBorders>
            <w:shd w:val="clear" w:color="auto" w:fill="auto"/>
            <w:noWrap/>
            <w:vAlign w:val="center"/>
            <w:hideMark/>
          </w:tcPr>
          <w:p w14:paraId="3DBEB4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1,75</w:t>
            </w:r>
          </w:p>
        </w:tc>
        <w:tc>
          <w:tcPr>
            <w:tcW w:w="1249" w:type="dxa"/>
            <w:tcBorders>
              <w:top w:val="nil"/>
              <w:left w:val="nil"/>
              <w:bottom w:val="single" w:sz="4" w:space="0" w:color="auto"/>
              <w:right w:val="single" w:sz="4" w:space="0" w:color="auto"/>
            </w:tcBorders>
            <w:shd w:val="clear" w:color="auto" w:fill="auto"/>
            <w:noWrap/>
            <w:vAlign w:val="center"/>
            <w:hideMark/>
          </w:tcPr>
          <w:p w14:paraId="582F88D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1,70</w:t>
            </w:r>
          </w:p>
        </w:tc>
        <w:tc>
          <w:tcPr>
            <w:tcW w:w="1249" w:type="dxa"/>
            <w:tcBorders>
              <w:top w:val="nil"/>
              <w:left w:val="nil"/>
              <w:bottom w:val="single" w:sz="4" w:space="0" w:color="auto"/>
              <w:right w:val="single" w:sz="4" w:space="0" w:color="auto"/>
            </w:tcBorders>
            <w:shd w:val="clear" w:color="auto" w:fill="auto"/>
            <w:noWrap/>
            <w:vAlign w:val="center"/>
            <w:hideMark/>
          </w:tcPr>
          <w:p w14:paraId="32A1886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1,70</w:t>
            </w:r>
          </w:p>
        </w:tc>
        <w:tc>
          <w:tcPr>
            <w:tcW w:w="1249" w:type="dxa"/>
            <w:tcBorders>
              <w:top w:val="nil"/>
              <w:left w:val="nil"/>
              <w:bottom w:val="single" w:sz="4" w:space="0" w:color="auto"/>
              <w:right w:val="single" w:sz="4" w:space="0" w:color="auto"/>
            </w:tcBorders>
            <w:shd w:val="clear" w:color="auto" w:fill="auto"/>
            <w:noWrap/>
            <w:vAlign w:val="center"/>
            <w:hideMark/>
          </w:tcPr>
          <w:p w14:paraId="79FAD19F" w14:textId="77777777" w:rsidR="00BF12D5" w:rsidRPr="00BD0223" w:rsidRDefault="00BF12D5" w:rsidP="0039539B">
            <w:pPr>
              <w:keepNext/>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1,68</w:t>
            </w:r>
          </w:p>
        </w:tc>
      </w:tr>
    </w:tbl>
    <w:p w14:paraId="5198249C" w14:textId="77777777" w:rsidR="00BF12D5" w:rsidRPr="008D398D" w:rsidRDefault="00BF12D5" w:rsidP="00BF12D5">
      <w:pPr>
        <w:pStyle w:val="Ttabela-fonte"/>
        <w:rPr>
          <w:color w:val="FF0000"/>
        </w:rPr>
      </w:pPr>
      <w:r w:rsidRPr="00BD0223">
        <w:t>Fonte: ANP</w:t>
      </w:r>
      <w:r>
        <w:t xml:space="preserve">. </w:t>
      </w:r>
      <w:r w:rsidRPr="00906965">
        <w:t>Elaboração do Autor</w:t>
      </w:r>
      <w:r w:rsidRPr="008D398D">
        <w:rPr>
          <w:color w:val="FF0000"/>
        </w:rPr>
        <w:t>.</w:t>
      </w:r>
    </w:p>
    <w:p w14:paraId="54C1593A" w14:textId="77777777" w:rsidR="00BF12D5" w:rsidRPr="00BD0223" w:rsidRDefault="00BF12D5" w:rsidP="00BF12D5">
      <w:pPr>
        <w:pStyle w:val="Tfigura-titulo"/>
        <w:jc w:val="both"/>
      </w:pPr>
      <w:r w:rsidRPr="00BD0223">
        <w:lastRenderedPageBreak/>
        <w:t xml:space="preserve">Tabela 19 – Vendas de óleo diesel, em milhões de litros, de </w:t>
      </w:r>
      <w:r>
        <w:t>municípios selecionados</w:t>
      </w:r>
      <w:r w:rsidRPr="00BD0223">
        <w:t xml:space="preserve"> do estado de São Paulo das </w:t>
      </w:r>
      <w:r>
        <w:t>M</w:t>
      </w:r>
      <w:r w:rsidRPr="00BD0223">
        <w:t>acrorregiões de Ribeirão Preto e São José do Rio Preto, de 2010 a 2014</w:t>
      </w:r>
    </w:p>
    <w:tbl>
      <w:tblPr>
        <w:tblW w:w="9150" w:type="dxa"/>
        <w:tblCellMar>
          <w:left w:w="70" w:type="dxa"/>
          <w:right w:w="70" w:type="dxa"/>
        </w:tblCellMar>
        <w:tblLook w:val="04A0" w:firstRow="1" w:lastRow="0" w:firstColumn="1" w:lastColumn="0" w:noHBand="0" w:noVBand="1"/>
      </w:tblPr>
      <w:tblGrid>
        <w:gridCol w:w="3898"/>
        <w:gridCol w:w="1313"/>
        <w:gridCol w:w="1313"/>
        <w:gridCol w:w="1313"/>
        <w:gridCol w:w="1313"/>
      </w:tblGrid>
      <w:tr w:rsidR="00BF12D5" w:rsidRPr="001C03A7" w14:paraId="71247920" w14:textId="77777777" w:rsidTr="0039539B">
        <w:trPr>
          <w:trHeight w:val="314"/>
          <w:tblHeader/>
        </w:trPr>
        <w:tc>
          <w:tcPr>
            <w:tcW w:w="3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8D6C5"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 </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54A40F18"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2011</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34E3E928"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2012</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26746A6A"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2013</w:t>
            </w:r>
          </w:p>
        </w:tc>
        <w:tc>
          <w:tcPr>
            <w:tcW w:w="1313" w:type="dxa"/>
            <w:tcBorders>
              <w:top w:val="single" w:sz="4" w:space="0" w:color="auto"/>
              <w:left w:val="nil"/>
              <w:bottom w:val="single" w:sz="4" w:space="0" w:color="auto"/>
              <w:right w:val="single" w:sz="4" w:space="0" w:color="auto"/>
            </w:tcBorders>
            <w:shd w:val="clear" w:color="auto" w:fill="auto"/>
            <w:noWrap/>
            <w:vAlign w:val="center"/>
            <w:hideMark/>
          </w:tcPr>
          <w:p w14:paraId="5B2337E7"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2014</w:t>
            </w:r>
          </w:p>
        </w:tc>
      </w:tr>
      <w:tr w:rsidR="00BF12D5" w:rsidRPr="00BD0223" w14:paraId="70EE81B0"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F47A3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ADOLFO</w:t>
            </w:r>
          </w:p>
        </w:tc>
        <w:tc>
          <w:tcPr>
            <w:tcW w:w="1313" w:type="dxa"/>
            <w:tcBorders>
              <w:top w:val="nil"/>
              <w:left w:val="nil"/>
              <w:bottom w:val="single" w:sz="4" w:space="0" w:color="auto"/>
              <w:right w:val="single" w:sz="4" w:space="0" w:color="auto"/>
            </w:tcBorders>
            <w:shd w:val="clear" w:color="auto" w:fill="auto"/>
            <w:noWrap/>
            <w:vAlign w:val="center"/>
            <w:hideMark/>
          </w:tcPr>
          <w:p w14:paraId="1A4B09F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0,26</w:t>
            </w:r>
          </w:p>
        </w:tc>
        <w:tc>
          <w:tcPr>
            <w:tcW w:w="1313" w:type="dxa"/>
            <w:tcBorders>
              <w:top w:val="nil"/>
              <w:left w:val="nil"/>
              <w:bottom w:val="single" w:sz="4" w:space="0" w:color="auto"/>
              <w:right w:val="single" w:sz="4" w:space="0" w:color="auto"/>
            </w:tcBorders>
            <w:shd w:val="clear" w:color="auto" w:fill="auto"/>
            <w:noWrap/>
            <w:vAlign w:val="center"/>
            <w:hideMark/>
          </w:tcPr>
          <w:p w14:paraId="4BCA8A7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0,33</w:t>
            </w:r>
          </w:p>
        </w:tc>
        <w:tc>
          <w:tcPr>
            <w:tcW w:w="1313" w:type="dxa"/>
            <w:tcBorders>
              <w:top w:val="nil"/>
              <w:left w:val="nil"/>
              <w:bottom w:val="single" w:sz="4" w:space="0" w:color="auto"/>
              <w:right w:val="single" w:sz="4" w:space="0" w:color="auto"/>
            </w:tcBorders>
            <w:shd w:val="clear" w:color="auto" w:fill="auto"/>
            <w:noWrap/>
            <w:vAlign w:val="center"/>
            <w:hideMark/>
          </w:tcPr>
          <w:p w14:paraId="342FF9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0,34</w:t>
            </w:r>
          </w:p>
        </w:tc>
        <w:tc>
          <w:tcPr>
            <w:tcW w:w="1313" w:type="dxa"/>
            <w:tcBorders>
              <w:top w:val="nil"/>
              <w:left w:val="nil"/>
              <w:bottom w:val="single" w:sz="4" w:space="0" w:color="auto"/>
              <w:right w:val="single" w:sz="4" w:space="0" w:color="auto"/>
            </w:tcBorders>
            <w:shd w:val="clear" w:color="auto" w:fill="auto"/>
            <w:noWrap/>
            <w:vAlign w:val="center"/>
            <w:hideMark/>
          </w:tcPr>
          <w:p w14:paraId="2F7D31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0,23</w:t>
            </w:r>
          </w:p>
        </w:tc>
      </w:tr>
      <w:tr w:rsidR="00BF12D5" w:rsidRPr="00BD0223" w14:paraId="753F4BF7"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8F222B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ALTAIR</w:t>
            </w:r>
          </w:p>
        </w:tc>
        <w:tc>
          <w:tcPr>
            <w:tcW w:w="1313" w:type="dxa"/>
            <w:tcBorders>
              <w:top w:val="nil"/>
              <w:left w:val="nil"/>
              <w:bottom w:val="single" w:sz="4" w:space="0" w:color="auto"/>
              <w:right w:val="single" w:sz="4" w:space="0" w:color="auto"/>
            </w:tcBorders>
            <w:shd w:val="clear" w:color="auto" w:fill="auto"/>
            <w:noWrap/>
            <w:vAlign w:val="center"/>
            <w:hideMark/>
          </w:tcPr>
          <w:p w14:paraId="4C29AD8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3,55</w:t>
            </w:r>
          </w:p>
        </w:tc>
        <w:tc>
          <w:tcPr>
            <w:tcW w:w="1313" w:type="dxa"/>
            <w:tcBorders>
              <w:top w:val="nil"/>
              <w:left w:val="nil"/>
              <w:bottom w:val="single" w:sz="4" w:space="0" w:color="auto"/>
              <w:right w:val="single" w:sz="4" w:space="0" w:color="auto"/>
            </w:tcBorders>
            <w:shd w:val="clear" w:color="auto" w:fill="auto"/>
            <w:noWrap/>
            <w:vAlign w:val="center"/>
            <w:hideMark/>
          </w:tcPr>
          <w:p w14:paraId="75F3DE7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3,87</w:t>
            </w:r>
          </w:p>
        </w:tc>
        <w:tc>
          <w:tcPr>
            <w:tcW w:w="1313" w:type="dxa"/>
            <w:tcBorders>
              <w:top w:val="nil"/>
              <w:left w:val="nil"/>
              <w:bottom w:val="single" w:sz="4" w:space="0" w:color="auto"/>
              <w:right w:val="single" w:sz="4" w:space="0" w:color="auto"/>
            </w:tcBorders>
            <w:shd w:val="clear" w:color="auto" w:fill="auto"/>
            <w:noWrap/>
            <w:vAlign w:val="center"/>
            <w:hideMark/>
          </w:tcPr>
          <w:p w14:paraId="27AAC98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3,72</w:t>
            </w:r>
          </w:p>
        </w:tc>
        <w:tc>
          <w:tcPr>
            <w:tcW w:w="1313" w:type="dxa"/>
            <w:tcBorders>
              <w:top w:val="nil"/>
              <w:left w:val="nil"/>
              <w:bottom w:val="single" w:sz="4" w:space="0" w:color="auto"/>
              <w:right w:val="single" w:sz="4" w:space="0" w:color="auto"/>
            </w:tcBorders>
            <w:shd w:val="clear" w:color="auto" w:fill="auto"/>
            <w:noWrap/>
            <w:vAlign w:val="center"/>
            <w:hideMark/>
          </w:tcPr>
          <w:p w14:paraId="5E015C5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3,64</w:t>
            </w:r>
          </w:p>
        </w:tc>
      </w:tr>
      <w:tr w:rsidR="00BF12D5" w:rsidRPr="00BD0223" w14:paraId="0ECEEADE"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85239F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ALTINOPOLIS</w:t>
            </w:r>
          </w:p>
        </w:tc>
        <w:tc>
          <w:tcPr>
            <w:tcW w:w="1313" w:type="dxa"/>
            <w:tcBorders>
              <w:top w:val="nil"/>
              <w:left w:val="nil"/>
              <w:bottom w:val="single" w:sz="4" w:space="0" w:color="auto"/>
              <w:right w:val="single" w:sz="4" w:space="0" w:color="auto"/>
            </w:tcBorders>
            <w:shd w:val="clear" w:color="auto" w:fill="auto"/>
            <w:noWrap/>
            <w:vAlign w:val="center"/>
            <w:hideMark/>
          </w:tcPr>
          <w:p w14:paraId="2585AC1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4,58</w:t>
            </w:r>
          </w:p>
        </w:tc>
        <w:tc>
          <w:tcPr>
            <w:tcW w:w="1313" w:type="dxa"/>
            <w:tcBorders>
              <w:top w:val="nil"/>
              <w:left w:val="nil"/>
              <w:bottom w:val="single" w:sz="4" w:space="0" w:color="auto"/>
              <w:right w:val="single" w:sz="4" w:space="0" w:color="auto"/>
            </w:tcBorders>
            <w:shd w:val="clear" w:color="auto" w:fill="auto"/>
            <w:noWrap/>
            <w:vAlign w:val="center"/>
            <w:hideMark/>
          </w:tcPr>
          <w:p w14:paraId="1427CA8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5,89</w:t>
            </w:r>
          </w:p>
        </w:tc>
        <w:tc>
          <w:tcPr>
            <w:tcW w:w="1313" w:type="dxa"/>
            <w:tcBorders>
              <w:top w:val="nil"/>
              <w:left w:val="nil"/>
              <w:bottom w:val="single" w:sz="4" w:space="0" w:color="auto"/>
              <w:right w:val="single" w:sz="4" w:space="0" w:color="auto"/>
            </w:tcBorders>
            <w:shd w:val="clear" w:color="auto" w:fill="auto"/>
            <w:noWrap/>
            <w:vAlign w:val="center"/>
            <w:hideMark/>
          </w:tcPr>
          <w:p w14:paraId="559113D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6,17</w:t>
            </w:r>
          </w:p>
        </w:tc>
        <w:tc>
          <w:tcPr>
            <w:tcW w:w="1313" w:type="dxa"/>
            <w:tcBorders>
              <w:top w:val="nil"/>
              <w:left w:val="nil"/>
              <w:bottom w:val="single" w:sz="4" w:space="0" w:color="auto"/>
              <w:right w:val="single" w:sz="4" w:space="0" w:color="auto"/>
            </w:tcBorders>
            <w:shd w:val="clear" w:color="auto" w:fill="auto"/>
            <w:noWrap/>
            <w:vAlign w:val="center"/>
            <w:hideMark/>
          </w:tcPr>
          <w:p w14:paraId="39B278B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6,01</w:t>
            </w:r>
          </w:p>
        </w:tc>
      </w:tr>
      <w:tr w:rsidR="00BF12D5" w:rsidRPr="00BD0223" w14:paraId="5DAC87FA"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3314F1F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ALVARES FLORENCE</w:t>
            </w:r>
          </w:p>
        </w:tc>
        <w:tc>
          <w:tcPr>
            <w:tcW w:w="1313" w:type="dxa"/>
            <w:tcBorders>
              <w:top w:val="nil"/>
              <w:left w:val="nil"/>
              <w:bottom w:val="single" w:sz="4" w:space="0" w:color="auto"/>
              <w:right w:val="single" w:sz="4" w:space="0" w:color="auto"/>
            </w:tcBorders>
            <w:shd w:val="clear" w:color="auto" w:fill="auto"/>
            <w:noWrap/>
            <w:vAlign w:val="center"/>
            <w:hideMark/>
          </w:tcPr>
          <w:p w14:paraId="45931D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0,98</w:t>
            </w:r>
          </w:p>
        </w:tc>
        <w:tc>
          <w:tcPr>
            <w:tcW w:w="1313" w:type="dxa"/>
            <w:tcBorders>
              <w:top w:val="nil"/>
              <w:left w:val="nil"/>
              <w:bottom w:val="single" w:sz="4" w:space="0" w:color="auto"/>
              <w:right w:val="single" w:sz="4" w:space="0" w:color="auto"/>
            </w:tcBorders>
            <w:shd w:val="clear" w:color="auto" w:fill="auto"/>
            <w:noWrap/>
            <w:vAlign w:val="center"/>
            <w:hideMark/>
          </w:tcPr>
          <w:p w14:paraId="37DB79E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0,88</w:t>
            </w:r>
          </w:p>
        </w:tc>
        <w:tc>
          <w:tcPr>
            <w:tcW w:w="1313" w:type="dxa"/>
            <w:tcBorders>
              <w:top w:val="nil"/>
              <w:left w:val="nil"/>
              <w:bottom w:val="single" w:sz="4" w:space="0" w:color="auto"/>
              <w:right w:val="single" w:sz="4" w:space="0" w:color="auto"/>
            </w:tcBorders>
            <w:shd w:val="clear" w:color="auto" w:fill="auto"/>
            <w:noWrap/>
            <w:vAlign w:val="center"/>
            <w:hideMark/>
          </w:tcPr>
          <w:p w14:paraId="79E0F81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0,68</w:t>
            </w:r>
          </w:p>
        </w:tc>
        <w:tc>
          <w:tcPr>
            <w:tcW w:w="1313" w:type="dxa"/>
            <w:tcBorders>
              <w:top w:val="nil"/>
              <w:left w:val="nil"/>
              <w:bottom w:val="single" w:sz="4" w:space="0" w:color="auto"/>
              <w:right w:val="single" w:sz="4" w:space="0" w:color="auto"/>
            </w:tcBorders>
            <w:shd w:val="clear" w:color="auto" w:fill="auto"/>
            <w:noWrap/>
            <w:vAlign w:val="center"/>
            <w:hideMark/>
          </w:tcPr>
          <w:p w14:paraId="469BAF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0,50</w:t>
            </w:r>
          </w:p>
        </w:tc>
      </w:tr>
      <w:tr w:rsidR="00BF12D5" w:rsidRPr="00BD0223" w14:paraId="3683FAB4"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3EE9644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AMERICO DE CAMPOS</w:t>
            </w:r>
          </w:p>
        </w:tc>
        <w:tc>
          <w:tcPr>
            <w:tcW w:w="1313" w:type="dxa"/>
            <w:tcBorders>
              <w:top w:val="nil"/>
              <w:left w:val="nil"/>
              <w:bottom w:val="single" w:sz="4" w:space="0" w:color="auto"/>
              <w:right w:val="single" w:sz="4" w:space="0" w:color="auto"/>
            </w:tcBorders>
            <w:shd w:val="clear" w:color="auto" w:fill="auto"/>
            <w:noWrap/>
            <w:vAlign w:val="center"/>
            <w:hideMark/>
          </w:tcPr>
          <w:p w14:paraId="1AB8C53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1,07</w:t>
            </w:r>
          </w:p>
        </w:tc>
        <w:tc>
          <w:tcPr>
            <w:tcW w:w="1313" w:type="dxa"/>
            <w:tcBorders>
              <w:top w:val="nil"/>
              <w:left w:val="nil"/>
              <w:bottom w:val="single" w:sz="4" w:space="0" w:color="auto"/>
              <w:right w:val="single" w:sz="4" w:space="0" w:color="auto"/>
            </w:tcBorders>
            <w:shd w:val="clear" w:color="auto" w:fill="auto"/>
            <w:noWrap/>
            <w:vAlign w:val="center"/>
            <w:hideMark/>
          </w:tcPr>
          <w:p w14:paraId="3D71DAF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0,91</w:t>
            </w:r>
          </w:p>
        </w:tc>
        <w:tc>
          <w:tcPr>
            <w:tcW w:w="1313" w:type="dxa"/>
            <w:tcBorders>
              <w:top w:val="nil"/>
              <w:left w:val="nil"/>
              <w:bottom w:val="single" w:sz="4" w:space="0" w:color="auto"/>
              <w:right w:val="single" w:sz="4" w:space="0" w:color="auto"/>
            </w:tcBorders>
            <w:shd w:val="clear" w:color="auto" w:fill="auto"/>
            <w:noWrap/>
            <w:vAlign w:val="center"/>
            <w:hideMark/>
          </w:tcPr>
          <w:p w14:paraId="53EB153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0,42</w:t>
            </w:r>
          </w:p>
        </w:tc>
        <w:tc>
          <w:tcPr>
            <w:tcW w:w="1313" w:type="dxa"/>
            <w:tcBorders>
              <w:top w:val="nil"/>
              <w:left w:val="nil"/>
              <w:bottom w:val="single" w:sz="4" w:space="0" w:color="auto"/>
              <w:right w:val="single" w:sz="4" w:space="0" w:color="auto"/>
            </w:tcBorders>
            <w:shd w:val="clear" w:color="auto" w:fill="auto"/>
            <w:noWrap/>
            <w:vAlign w:val="center"/>
            <w:hideMark/>
          </w:tcPr>
          <w:p w14:paraId="7C99E21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0,43</w:t>
            </w:r>
          </w:p>
        </w:tc>
      </w:tr>
      <w:tr w:rsidR="00BF12D5" w:rsidRPr="00BD0223" w14:paraId="1988032E"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0359D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APARECIDA D'OESTE</w:t>
            </w:r>
          </w:p>
        </w:tc>
        <w:tc>
          <w:tcPr>
            <w:tcW w:w="1313" w:type="dxa"/>
            <w:tcBorders>
              <w:top w:val="nil"/>
              <w:left w:val="nil"/>
              <w:bottom w:val="single" w:sz="4" w:space="0" w:color="auto"/>
              <w:right w:val="single" w:sz="4" w:space="0" w:color="auto"/>
            </w:tcBorders>
            <w:shd w:val="clear" w:color="auto" w:fill="auto"/>
            <w:noWrap/>
            <w:vAlign w:val="center"/>
            <w:hideMark/>
          </w:tcPr>
          <w:p w14:paraId="23EB674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0,90</w:t>
            </w:r>
          </w:p>
        </w:tc>
        <w:tc>
          <w:tcPr>
            <w:tcW w:w="1313" w:type="dxa"/>
            <w:tcBorders>
              <w:top w:val="nil"/>
              <w:left w:val="nil"/>
              <w:bottom w:val="single" w:sz="4" w:space="0" w:color="auto"/>
              <w:right w:val="single" w:sz="4" w:space="0" w:color="auto"/>
            </w:tcBorders>
            <w:shd w:val="clear" w:color="auto" w:fill="auto"/>
            <w:noWrap/>
            <w:vAlign w:val="center"/>
            <w:hideMark/>
          </w:tcPr>
          <w:p w14:paraId="18E6A65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0,87</w:t>
            </w:r>
          </w:p>
        </w:tc>
        <w:tc>
          <w:tcPr>
            <w:tcW w:w="1313" w:type="dxa"/>
            <w:tcBorders>
              <w:top w:val="nil"/>
              <w:left w:val="nil"/>
              <w:bottom w:val="single" w:sz="4" w:space="0" w:color="auto"/>
              <w:right w:val="single" w:sz="4" w:space="0" w:color="auto"/>
            </w:tcBorders>
            <w:shd w:val="clear" w:color="auto" w:fill="auto"/>
            <w:noWrap/>
            <w:vAlign w:val="center"/>
            <w:hideMark/>
          </w:tcPr>
          <w:p w14:paraId="6388A7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0,74</w:t>
            </w:r>
          </w:p>
        </w:tc>
        <w:tc>
          <w:tcPr>
            <w:tcW w:w="1313" w:type="dxa"/>
            <w:tcBorders>
              <w:top w:val="nil"/>
              <w:left w:val="nil"/>
              <w:bottom w:val="single" w:sz="4" w:space="0" w:color="auto"/>
              <w:right w:val="single" w:sz="4" w:space="0" w:color="auto"/>
            </w:tcBorders>
            <w:shd w:val="clear" w:color="auto" w:fill="auto"/>
            <w:noWrap/>
            <w:vAlign w:val="center"/>
            <w:hideMark/>
          </w:tcPr>
          <w:p w14:paraId="0C8D086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0,59</w:t>
            </w:r>
          </w:p>
        </w:tc>
      </w:tr>
      <w:tr w:rsidR="00BF12D5" w:rsidRPr="00BD0223" w14:paraId="5295E42A"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1EEB2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ARAMINA</w:t>
            </w:r>
          </w:p>
        </w:tc>
        <w:tc>
          <w:tcPr>
            <w:tcW w:w="1313" w:type="dxa"/>
            <w:tcBorders>
              <w:top w:val="nil"/>
              <w:left w:val="nil"/>
              <w:bottom w:val="single" w:sz="4" w:space="0" w:color="auto"/>
              <w:right w:val="single" w:sz="4" w:space="0" w:color="auto"/>
            </w:tcBorders>
            <w:shd w:val="clear" w:color="auto" w:fill="auto"/>
            <w:noWrap/>
            <w:vAlign w:val="center"/>
            <w:hideMark/>
          </w:tcPr>
          <w:p w14:paraId="0D3690F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7,57</w:t>
            </w:r>
          </w:p>
        </w:tc>
        <w:tc>
          <w:tcPr>
            <w:tcW w:w="1313" w:type="dxa"/>
            <w:tcBorders>
              <w:top w:val="nil"/>
              <w:left w:val="nil"/>
              <w:bottom w:val="single" w:sz="4" w:space="0" w:color="auto"/>
              <w:right w:val="single" w:sz="4" w:space="0" w:color="auto"/>
            </w:tcBorders>
            <w:shd w:val="clear" w:color="auto" w:fill="auto"/>
            <w:noWrap/>
            <w:vAlign w:val="center"/>
            <w:hideMark/>
          </w:tcPr>
          <w:p w14:paraId="0163153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12,30</w:t>
            </w:r>
          </w:p>
        </w:tc>
        <w:tc>
          <w:tcPr>
            <w:tcW w:w="1313" w:type="dxa"/>
            <w:tcBorders>
              <w:top w:val="nil"/>
              <w:left w:val="nil"/>
              <w:bottom w:val="single" w:sz="4" w:space="0" w:color="auto"/>
              <w:right w:val="single" w:sz="4" w:space="0" w:color="auto"/>
            </w:tcBorders>
            <w:shd w:val="clear" w:color="auto" w:fill="auto"/>
            <w:noWrap/>
            <w:vAlign w:val="center"/>
            <w:hideMark/>
          </w:tcPr>
          <w:p w14:paraId="5130AFA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20,47</w:t>
            </w:r>
          </w:p>
        </w:tc>
        <w:tc>
          <w:tcPr>
            <w:tcW w:w="1313" w:type="dxa"/>
            <w:tcBorders>
              <w:top w:val="nil"/>
              <w:left w:val="nil"/>
              <w:bottom w:val="single" w:sz="4" w:space="0" w:color="auto"/>
              <w:right w:val="single" w:sz="4" w:space="0" w:color="auto"/>
            </w:tcBorders>
            <w:shd w:val="clear" w:color="auto" w:fill="auto"/>
            <w:noWrap/>
            <w:vAlign w:val="center"/>
            <w:hideMark/>
          </w:tcPr>
          <w:p w14:paraId="53CF4B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20,44</w:t>
            </w:r>
          </w:p>
        </w:tc>
      </w:tr>
      <w:tr w:rsidR="00BF12D5" w:rsidRPr="00BD0223" w14:paraId="646D419C"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B5EF65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ARIRANHA</w:t>
            </w:r>
          </w:p>
        </w:tc>
        <w:tc>
          <w:tcPr>
            <w:tcW w:w="1313" w:type="dxa"/>
            <w:tcBorders>
              <w:top w:val="nil"/>
              <w:left w:val="nil"/>
              <w:bottom w:val="single" w:sz="4" w:space="0" w:color="auto"/>
              <w:right w:val="single" w:sz="4" w:space="0" w:color="auto"/>
            </w:tcBorders>
            <w:shd w:val="clear" w:color="auto" w:fill="auto"/>
            <w:noWrap/>
            <w:vAlign w:val="center"/>
            <w:hideMark/>
          </w:tcPr>
          <w:p w14:paraId="651CAA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12,75</w:t>
            </w:r>
          </w:p>
        </w:tc>
        <w:tc>
          <w:tcPr>
            <w:tcW w:w="1313" w:type="dxa"/>
            <w:tcBorders>
              <w:top w:val="nil"/>
              <w:left w:val="nil"/>
              <w:bottom w:val="single" w:sz="4" w:space="0" w:color="auto"/>
              <w:right w:val="single" w:sz="4" w:space="0" w:color="auto"/>
            </w:tcBorders>
            <w:shd w:val="clear" w:color="auto" w:fill="auto"/>
            <w:noWrap/>
            <w:vAlign w:val="center"/>
            <w:hideMark/>
          </w:tcPr>
          <w:p w14:paraId="17C7488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17,77</w:t>
            </w:r>
          </w:p>
        </w:tc>
        <w:tc>
          <w:tcPr>
            <w:tcW w:w="1313" w:type="dxa"/>
            <w:tcBorders>
              <w:top w:val="nil"/>
              <w:left w:val="nil"/>
              <w:bottom w:val="single" w:sz="4" w:space="0" w:color="auto"/>
              <w:right w:val="single" w:sz="4" w:space="0" w:color="auto"/>
            </w:tcBorders>
            <w:shd w:val="clear" w:color="auto" w:fill="auto"/>
            <w:noWrap/>
            <w:vAlign w:val="center"/>
            <w:hideMark/>
          </w:tcPr>
          <w:p w14:paraId="5337099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19,74</w:t>
            </w:r>
          </w:p>
        </w:tc>
        <w:tc>
          <w:tcPr>
            <w:tcW w:w="1313" w:type="dxa"/>
            <w:tcBorders>
              <w:top w:val="nil"/>
              <w:left w:val="nil"/>
              <w:bottom w:val="single" w:sz="4" w:space="0" w:color="auto"/>
              <w:right w:val="single" w:sz="4" w:space="0" w:color="auto"/>
            </w:tcBorders>
            <w:shd w:val="clear" w:color="auto" w:fill="auto"/>
            <w:noWrap/>
            <w:vAlign w:val="center"/>
            <w:hideMark/>
          </w:tcPr>
          <w:p w14:paraId="01779A7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15,75</w:t>
            </w:r>
          </w:p>
        </w:tc>
      </w:tr>
      <w:tr w:rsidR="00BF12D5" w:rsidRPr="00BD0223" w14:paraId="049CD5B0"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E7AE5F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ASPASIA</w:t>
            </w:r>
          </w:p>
        </w:tc>
        <w:tc>
          <w:tcPr>
            <w:tcW w:w="1313" w:type="dxa"/>
            <w:tcBorders>
              <w:top w:val="nil"/>
              <w:left w:val="nil"/>
              <w:bottom w:val="single" w:sz="4" w:space="0" w:color="auto"/>
              <w:right w:val="single" w:sz="4" w:space="0" w:color="auto"/>
            </w:tcBorders>
            <w:shd w:val="clear" w:color="auto" w:fill="auto"/>
            <w:noWrap/>
            <w:vAlign w:val="center"/>
            <w:hideMark/>
          </w:tcPr>
          <w:p w14:paraId="5BD560C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0,21</w:t>
            </w:r>
          </w:p>
        </w:tc>
        <w:tc>
          <w:tcPr>
            <w:tcW w:w="1313" w:type="dxa"/>
            <w:tcBorders>
              <w:top w:val="nil"/>
              <w:left w:val="nil"/>
              <w:bottom w:val="single" w:sz="4" w:space="0" w:color="auto"/>
              <w:right w:val="single" w:sz="4" w:space="0" w:color="auto"/>
            </w:tcBorders>
            <w:shd w:val="clear" w:color="auto" w:fill="auto"/>
            <w:noWrap/>
            <w:vAlign w:val="center"/>
            <w:hideMark/>
          </w:tcPr>
          <w:p w14:paraId="23EE1A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0,19</w:t>
            </w:r>
          </w:p>
        </w:tc>
        <w:tc>
          <w:tcPr>
            <w:tcW w:w="1313" w:type="dxa"/>
            <w:tcBorders>
              <w:top w:val="nil"/>
              <w:left w:val="nil"/>
              <w:bottom w:val="single" w:sz="4" w:space="0" w:color="auto"/>
              <w:right w:val="single" w:sz="4" w:space="0" w:color="auto"/>
            </w:tcBorders>
            <w:shd w:val="clear" w:color="auto" w:fill="auto"/>
            <w:noWrap/>
            <w:vAlign w:val="center"/>
            <w:hideMark/>
          </w:tcPr>
          <w:p w14:paraId="0088899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0,16</w:t>
            </w:r>
          </w:p>
        </w:tc>
        <w:tc>
          <w:tcPr>
            <w:tcW w:w="1313" w:type="dxa"/>
            <w:tcBorders>
              <w:top w:val="nil"/>
              <w:left w:val="nil"/>
              <w:bottom w:val="single" w:sz="4" w:space="0" w:color="auto"/>
              <w:right w:val="single" w:sz="4" w:space="0" w:color="auto"/>
            </w:tcBorders>
            <w:shd w:val="clear" w:color="auto" w:fill="auto"/>
            <w:noWrap/>
            <w:vAlign w:val="center"/>
            <w:hideMark/>
          </w:tcPr>
          <w:p w14:paraId="111242E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0,16</w:t>
            </w:r>
          </w:p>
        </w:tc>
      </w:tr>
      <w:tr w:rsidR="00BF12D5" w:rsidRPr="00BD0223" w14:paraId="2CE460A2"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FBE6A0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AURIFLAMA</w:t>
            </w:r>
          </w:p>
        </w:tc>
        <w:tc>
          <w:tcPr>
            <w:tcW w:w="1313" w:type="dxa"/>
            <w:tcBorders>
              <w:top w:val="nil"/>
              <w:left w:val="nil"/>
              <w:bottom w:val="single" w:sz="4" w:space="0" w:color="auto"/>
              <w:right w:val="single" w:sz="4" w:space="0" w:color="auto"/>
            </w:tcBorders>
            <w:shd w:val="clear" w:color="auto" w:fill="auto"/>
            <w:noWrap/>
            <w:vAlign w:val="center"/>
            <w:hideMark/>
          </w:tcPr>
          <w:p w14:paraId="16F6BA1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2,20</w:t>
            </w:r>
          </w:p>
        </w:tc>
        <w:tc>
          <w:tcPr>
            <w:tcW w:w="1313" w:type="dxa"/>
            <w:tcBorders>
              <w:top w:val="nil"/>
              <w:left w:val="nil"/>
              <w:bottom w:val="single" w:sz="4" w:space="0" w:color="auto"/>
              <w:right w:val="single" w:sz="4" w:space="0" w:color="auto"/>
            </w:tcBorders>
            <w:shd w:val="clear" w:color="auto" w:fill="auto"/>
            <w:noWrap/>
            <w:vAlign w:val="center"/>
            <w:hideMark/>
          </w:tcPr>
          <w:p w14:paraId="124DEC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2,25</w:t>
            </w:r>
          </w:p>
        </w:tc>
        <w:tc>
          <w:tcPr>
            <w:tcW w:w="1313" w:type="dxa"/>
            <w:tcBorders>
              <w:top w:val="nil"/>
              <w:left w:val="nil"/>
              <w:bottom w:val="single" w:sz="4" w:space="0" w:color="auto"/>
              <w:right w:val="single" w:sz="4" w:space="0" w:color="auto"/>
            </w:tcBorders>
            <w:shd w:val="clear" w:color="auto" w:fill="auto"/>
            <w:noWrap/>
            <w:vAlign w:val="center"/>
            <w:hideMark/>
          </w:tcPr>
          <w:p w14:paraId="526CED9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2,34</w:t>
            </w:r>
          </w:p>
        </w:tc>
        <w:tc>
          <w:tcPr>
            <w:tcW w:w="1313" w:type="dxa"/>
            <w:tcBorders>
              <w:top w:val="nil"/>
              <w:left w:val="nil"/>
              <w:bottom w:val="single" w:sz="4" w:space="0" w:color="auto"/>
              <w:right w:val="single" w:sz="4" w:space="0" w:color="auto"/>
            </w:tcBorders>
            <w:shd w:val="clear" w:color="auto" w:fill="auto"/>
            <w:noWrap/>
            <w:vAlign w:val="center"/>
            <w:hideMark/>
          </w:tcPr>
          <w:p w14:paraId="37E37A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2,48</w:t>
            </w:r>
          </w:p>
        </w:tc>
      </w:tr>
      <w:tr w:rsidR="00BF12D5" w:rsidRPr="00BD0223" w14:paraId="5D049032"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05C012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BADY BASSITT</w:t>
            </w:r>
          </w:p>
        </w:tc>
        <w:tc>
          <w:tcPr>
            <w:tcW w:w="1313" w:type="dxa"/>
            <w:tcBorders>
              <w:top w:val="nil"/>
              <w:left w:val="nil"/>
              <w:bottom w:val="single" w:sz="4" w:space="0" w:color="auto"/>
              <w:right w:val="single" w:sz="4" w:space="0" w:color="auto"/>
            </w:tcBorders>
            <w:shd w:val="clear" w:color="auto" w:fill="auto"/>
            <w:noWrap/>
            <w:vAlign w:val="center"/>
            <w:hideMark/>
          </w:tcPr>
          <w:p w14:paraId="74A4973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23,90</w:t>
            </w:r>
          </w:p>
        </w:tc>
        <w:tc>
          <w:tcPr>
            <w:tcW w:w="1313" w:type="dxa"/>
            <w:tcBorders>
              <w:top w:val="nil"/>
              <w:left w:val="nil"/>
              <w:bottom w:val="single" w:sz="4" w:space="0" w:color="auto"/>
              <w:right w:val="single" w:sz="4" w:space="0" w:color="auto"/>
            </w:tcBorders>
            <w:shd w:val="clear" w:color="auto" w:fill="auto"/>
            <w:noWrap/>
            <w:vAlign w:val="center"/>
            <w:hideMark/>
          </w:tcPr>
          <w:p w14:paraId="694940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34,05</w:t>
            </w:r>
          </w:p>
        </w:tc>
        <w:tc>
          <w:tcPr>
            <w:tcW w:w="1313" w:type="dxa"/>
            <w:tcBorders>
              <w:top w:val="nil"/>
              <w:left w:val="nil"/>
              <w:bottom w:val="single" w:sz="4" w:space="0" w:color="auto"/>
              <w:right w:val="single" w:sz="4" w:space="0" w:color="auto"/>
            </w:tcBorders>
            <w:shd w:val="clear" w:color="auto" w:fill="auto"/>
            <w:noWrap/>
            <w:vAlign w:val="center"/>
            <w:hideMark/>
          </w:tcPr>
          <w:p w14:paraId="3A3068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35,46</w:t>
            </w:r>
          </w:p>
        </w:tc>
        <w:tc>
          <w:tcPr>
            <w:tcW w:w="1313" w:type="dxa"/>
            <w:tcBorders>
              <w:top w:val="nil"/>
              <w:left w:val="nil"/>
              <w:bottom w:val="single" w:sz="4" w:space="0" w:color="auto"/>
              <w:right w:val="single" w:sz="4" w:space="0" w:color="auto"/>
            </w:tcBorders>
            <w:shd w:val="clear" w:color="auto" w:fill="auto"/>
            <w:noWrap/>
            <w:vAlign w:val="center"/>
            <w:hideMark/>
          </w:tcPr>
          <w:p w14:paraId="6E2002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35,83</w:t>
            </w:r>
          </w:p>
        </w:tc>
      </w:tr>
      <w:tr w:rsidR="00BF12D5" w:rsidRPr="00BD0223" w14:paraId="3FCF908A"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31CBAB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BALSAMO</w:t>
            </w:r>
          </w:p>
        </w:tc>
        <w:tc>
          <w:tcPr>
            <w:tcW w:w="1313" w:type="dxa"/>
            <w:tcBorders>
              <w:top w:val="nil"/>
              <w:left w:val="nil"/>
              <w:bottom w:val="single" w:sz="4" w:space="0" w:color="auto"/>
              <w:right w:val="single" w:sz="4" w:space="0" w:color="auto"/>
            </w:tcBorders>
            <w:shd w:val="clear" w:color="auto" w:fill="auto"/>
            <w:noWrap/>
            <w:vAlign w:val="center"/>
            <w:hideMark/>
          </w:tcPr>
          <w:p w14:paraId="50349FB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1,45</w:t>
            </w:r>
          </w:p>
        </w:tc>
        <w:tc>
          <w:tcPr>
            <w:tcW w:w="1313" w:type="dxa"/>
            <w:tcBorders>
              <w:top w:val="nil"/>
              <w:left w:val="nil"/>
              <w:bottom w:val="single" w:sz="4" w:space="0" w:color="auto"/>
              <w:right w:val="single" w:sz="4" w:space="0" w:color="auto"/>
            </w:tcBorders>
            <w:shd w:val="clear" w:color="auto" w:fill="auto"/>
            <w:noWrap/>
            <w:vAlign w:val="center"/>
            <w:hideMark/>
          </w:tcPr>
          <w:p w14:paraId="0DDF9B5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1,51</w:t>
            </w:r>
          </w:p>
        </w:tc>
        <w:tc>
          <w:tcPr>
            <w:tcW w:w="1313" w:type="dxa"/>
            <w:tcBorders>
              <w:top w:val="nil"/>
              <w:left w:val="nil"/>
              <w:bottom w:val="single" w:sz="4" w:space="0" w:color="auto"/>
              <w:right w:val="single" w:sz="4" w:space="0" w:color="auto"/>
            </w:tcBorders>
            <w:shd w:val="clear" w:color="auto" w:fill="auto"/>
            <w:noWrap/>
            <w:vAlign w:val="center"/>
            <w:hideMark/>
          </w:tcPr>
          <w:p w14:paraId="56569E4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1,34</w:t>
            </w:r>
          </w:p>
        </w:tc>
        <w:tc>
          <w:tcPr>
            <w:tcW w:w="1313" w:type="dxa"/>
            <w:tcBorders>
              <w:top w:val="nil"/>
              <w:left w:val="nil"/>
              <w:bottom w:val="single" w:sz="4" w:space="0" w:color="auto"/>
              <w:right w:val="single" w:sz="4" w:space="0" w:color="auto"/>
            </w:tcBorders>
            <w:shd w:val="clear" w:color="auto" w:fill="auto"/>
            <w:noWrap/>
            <w:vAlign w:val="center"/>
            <w:hideMark/>
          </w:tcPr>
          <w:p w14:paraId="540430C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1,25</w:t>
            </w:r>
          </w:p>
        </w:tc>
      </w:tr>
      <w:tr w:rsidR="00BF12D5" w:rsidRPr="00BD0223" w14:paraId="7FA907E2"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8E8E6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BARRETOS</w:t>
            </w:r>
          </w:p>
        </w:tc>
        <w:tc>
          <w:tcPr>
            <w:tcW w:w="1313" w:type="dxa"/>
            <w:tcBorders>
              <w:top w:val="nil"/>
              <w:left w:val="nil"/>
              <w:bottom w:val="single" w:sz="4" w:space="0" w:color="auto"/>
              <w:right w:val="single" w:sz="4" w:space="0" w:color="auto"/>
            </w:tcBorders>
            <w:shd w:val="clear" w:color="auto" w:fill="auto"/>
            <w:noWrap/>
            <w:vAlign w:val="center"/>
            <w:hideMark/>
          </w:tcPr>
          <w:p w14:paraId="39F1234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31,72</w:t>
            </w:r>
          </w:p>
        </w:tc>
        <w:tc>
          <w:tcPr>
            <w:tcW w:w="1313" w:type="dxa"/>
            <w:tcBorders>
              <w:top w:val="nil"/>
              <w:left w:val="nil"/>
              <w:bottom w:val="single" w:sz="4" w:space="0" w:color="auto"/>
              <w:right w:val="single" w:sz="4" w:space="0" w:color="auto"/>
            </w:tcBorders>
            <w:shd w:val="clear" w:color="auto" w:fill="auto"/>
            <w:noWrap/>
            <w:vAlign w:val="center"/>
            <w:hideMark/>
          </w:tcPr>
          <w:p w14:paraId="72E2AE8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35,53</w:t>
            </w:r>
          </w:p>
        </w:tc>
        <w:tc>
          <w:tcPr>
            <w:tcW w:w="1313" w:type="dxa"/>
            <w:tcBorders>
              <w:top w:val="nil"/>
              <w:left w:val="nil"/>
              <w:bottom w:val="single" w:sz="4" w:space="0" w:color="auto"/>
              <w:right w:val="single" w:sz="4" w:space="0" w:color="auto"/>
            </w:tcBorders>
            <w:shd w:val="clear" w:color="auto" w:fill="auto"/>
            <w:noWrap/>
            <w:vAlign w:val="center"/>
            <w:hideMark/>
          </w:tcPr>
          <w:p w14:paraId="7D4DA40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41,61</w:t>
            </w:r>
          </w:p>
        </w:tc>
        <w:tc>
          <w:tcPr>
            <w:tcW w:w="1313" w:type="dxa"/>
            <w:tcBorders>
              <w:top w:val="nil"/>
              <w:left w:val="nil"/>
              <w:bottom w:val="single" w:sz="4" w:space="0" w:color="auto"/>
              <w:right w:val="single" w:sz="4" w:space="0" w:color="auto"/>
            </w:tcBorders>
            <w:shd w:val="clear" w:color="auto" w:fill="auto"/>
            <w:noWrap/>
            <w:vAlign w:val="center"/>
            <w:hideMark/>
          </w:tcPr>
          <w:p w14:paraId="269A11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48,12</w:t>
            </w:r>
          </w:p>
        </w:tc>
      </w:tr>
      <w:tr w:rsidR="00BF12D5" w:rsidRPr="00BD0223" w14:paraId="4A3BEBAF"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2A06E5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BARRINHA</w:t>
            </w:r>
          </w:p>
        </w:tc>
        <w:tc>
          <w:tcPr>
            <w:tcW w:w="1313" w:type="dxa"/>
            <w:tcBorders>
              <w:top w:val="nil"/>
              <w:left w:val="nil"/>
              <w:bottom w:val="single" w:sz="4" w:space="0" w:color="auto"/>
              <w:right w:val="single" w:sz="4" w:space="0" w:color="auto"/>
            </w:tcBorders>
            <w:shd w:val="clear" w:color="auto" w:fill="auto"/>
            <w:noWrap/>
            <w:vAlign w:val="center"/>
            <w:hideMark/>
          </w:tcPr>
          <w:p w14:paraId="2FB53E7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2,71</w:t>
            </w:r>
          </w:p>
        </w:tc>
        <w:tc>
          <w:tcPr>
            <w:tcW w:w="1313" w:type="dxa"/>
            <w:tcBorders>
              <w:top w:val="nil"/>
              <w:left w:val="nil"/>
              <w:bottom w:val="single" w:sz="4" w:space="0" w:color="auto"/>
              <w:right w:val="single" w:sz="4" w:space="0" w:color="auto"/>
            </w:tcBorders>
            <w:shd w:val="clear" w:color="auto" w:fill="auto"/>
            <w:noWrap/>
            <w:vAlign w:val="center"/>
            <w:hideMark/>
          </w:tcPr>
          <w:p w14:paraId="572B478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3,36</w:t>
            </w:r>
          </w:p>
        </w:tc>
        <w:tc>
          <w:tcPr>
            <w:tcW w:w="1313" w:type="dxa"/>
            <w:tcBorders>
              <w:top w:val="nil"/>
              <w:left w:val="nil"/>
              <w:bottom w:val="single" w:sz="4" w:space="0" w:color="auto"/>
              <w:right w:val="single" w:sz="4" w:space="0" w:color="auto"/>
            </w:tcBorders>
            <w:shd w:val="clear" w:color="auto" w:fill="auto"/>
            <w:noWrap/>
            <w:vAlign w:val="center"/>
            <w:hideMark/>
          </w:tcPr>
          <w:p w14:paraId="32640B7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3,62</w:t>
            </w:r>
          </w:p>
        </w:tc>
        <w:tc>
          <w:tcPr>
            <w:tcW w:w="1313" w:type="dxa"/>
            <w:tcBorders>
              <w:top w:val="nil"/>
              <w:left w:val="nil"/>
              <w:bottom w:val="single" w:sz="4" w:space="0" w:color="auto"/>
              <w:right w:val="single" w:sz="4" w:space="0" w:color="auto"/>
            </w:tcBorders>
            <w:shd w:val="clear" w:color="auto" w:fill="auto"/>
            <w:noWrap/>
            <w:vAlign w:val="center"/>
            <w:hideMark/>
          </w:tcPr>
          <w:p w14:paraId="4319A78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3,41</w:t>
            </w:r>
          </w:p>
        </w:tc>
      </w:tr>
      <w:tr w:rsidR="00BF12D5" w:rsidRPr="00BD0223" w14:paraId="7DD21718"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7CD810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BATATAIS</w:t>
            </w:r>
          </w:p>
        </w:tc>
        <w:tc>
          <w:tcPr>
            <w:tcW w:w="1313" w:type="dxa"/>
            <w:tcBorders>
              <w:top w:val="nil"/>
              <w:left w:val="nil"/>
              <w:bottom w:val="single" w:sz="4" w:space="0" w:color="auto"/>
              <w:right w:val="single" w:sz="4" w:space="0" w:color="auto"/>
            </w:tcBorders>
            <w:shd w:val="clear" w:color="auto" w:fill="auto"/>
            <w:noWrap/>
            <w:vAlign w:val="center"/>
            <w:hideMark/>
          </w:tcPr>
          <w:p w14:paraId="21DBA4F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23,61</w:t>
            </w:r>
          </w:p>
        </w:tc>
        <w:tc>
          <w:tcPr>
            <w:tcW w:w="1313" w:type="dxa"/>
            <w:tcBorders>
              <w:top w:val="nil"/>
              <w:left w:val="nil"/>
              <w:bottom w:val="single" w:sz="4" w:space="0" w:color="auto"/>
              <w:right w:val="single" w:sz="4" w:space="0" w:color="auto"/>
            </w:tcBorders>
            <w:shd w:val="clear" w:color="auto" w:fill="auto"/>
            <w:noWrap/>
            <w:vAlign w:val="center"/>
            <w:hideMark/>
          </w:tcPr>
          <w:p w14:paraId="02544C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23,55</w:t>
            </w:r>
          </w:p>
        </w:tc>
        <w:tc>
          <w:tcPr>
            <w:tcW w:w="1313" w:type="dxa"/>
            <w:tcBorders>
              <w:top w:val="nil"/>
              <w:left w:val="nil"/>
              <w:bottom w:val="single" w:sz="4" w:space="0" w:color="auto"/>
              <w:right w:val="single" w:sz="4" w:space="0" w:color="auto"/>
            </w:tcBorders>
            <w:shd w:val="clear" w:color="auto" w:fill="auto"/>
            <w:noWrap/>
            <w:vAlign w:val="center"/>
            <w:hideMark/>
          </w:tcPr>
          <w:p w14:paraId="77153F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24,99</w:t>
            </w:r>
          </w:p>
        </w:tc>
        <w:tc>
          <w:tcPr>
            <w:tcW w:w="1313" w:type="dxa"/>
            <w:tcBorders>
              <w:top w:val="nil"/>
              <w:left w:val="nil"/>
              <w:bottom w:val="single" w:sz="4" w:space="0" w:color="auto"/>
              <w:right w:val="single" w:sz="4" w:space="0" w:color="auto"/>
            </w:tcBorders>
            <w:shd w:val="clear" w:color="auto" w:fill="auto"/>
            <w:noWrap/>
            <w:vAlign w:val="center"/>
            <w:hideMark/>
          </w:tcPr>
          <w:p w14:paraId="0521D41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28,35</w:t>
            </w:r>
          </w:p>
        </w:tc>
      </w:tr>
      <w:tr w:rsidR="00BF12D5" w:rsidRPr="00BD0223" w14:paraId="6E4E4186"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FCD026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BEBEDOURO</w:t>
            </w:r>
          </w:p>
        </w:tc>
        <w:tc>
          <w:tcPr>
            <w:tcW w:w="1313" w:type="dxa"/>
            <w:tcBorders>
              <w:top w:val="nil"/>
              <w:left w:val="nil"/>
              <w:bottom w:val="single" w:sz="4" w:space="0" w:color="auto"/>
              <w:right w:val="single" w:sz="4" w:space="0" w:color="auto"/>
            </w:tcBorders>
            <w:shd w:val="clear" w:color="auto" w:fill="auto"/>
            <w:noWrap/>
            <w:vAlign w:val="center"/>
            <w:hideMark/>
          </w:tcPr>
          <w:p w14:paraId="76E13D7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38,22</w:t>
            </w:r>
          </w:p>
        </w:tc>
        <w:tc>
          <w:tcPr>
            <w:tcW w:w="1313" w:type="dxa"/>
            <w:tcBorders>
              <w:top w:val="nil"/>
              <w:left w:val="nil"/>
              <w:bottom w:val="single" w:sz="4" w:space="0" w:color="auto"/>
              <w:right w:val="single" w:sz="4" w:space="0" w:color="auto"/>
            </w:tcBorders>
            <w:shd w:val="clear" w:color="auto" w:fill="auto"/>
            <w:noWrap/>
            <w:vAlign w:val="center"/>
            <w:hideMark/>
          </w:tcPr>
          <w:p w14:paraId="39FF222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40,45</w:t>
            </w:r>
          </w:p>
        </w:tc>
        <w:tc>
          <w:tcPr>
            <w:tcW w:w="1313" w:type="dxa"/>
            <w:tcBorders>
              <w:top w:val="nil"/>
              <w:left w:val="nil"/>
              <w:bottom w:val="single" w:sz="4" w:space="0" w:color="auto"/>
              <w:right w:val="single" w:sz="4" w:space="0" w:color="auto"/>
            </w:tcBorders>
            <w:shd w:val="clear" w:color="auto" w:fill="auto"/>
            <w:noWrap/>
            <w:vAlign w:val="center"/>
            <w:hideMark/>
          </w:tcPr>
          <w:p w14:paraId="0BCDB6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45,92</w:t>
            </w:r>
          </w:p>
        </w:tc>
        <w:tc>
          <w:tcPr>
            <w:tcW w:w="1313" w:type="dxa"/>
            <w:tcBorders>
              <w:top w:val="nil"/>
              <w:left w:val="nil"/>
              <w:bottom w:val="single" w:sz="4" w:space="0" w:color="auto"/>
              <w:right w:val="single" w:sz="4" w:space="0" w:color="auto"/>
            </w:tcBorders>
            <w:shd w:val="clear" w:color="auto" w:fill="auto"/>
            <w:noWrap/>
            <w:vAlign w:val="center"/>
            <w:hideMark/>
          </w:tcPr>
          <w:p w14:paraId="6DD70E5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51,95</w:t>
            </w:r>
          </w:p>
        </w:tc>
      </w:tr>
      <w:tr w:rsidR="00BF12D5" w:rsidRPr="00BD0223" w14:paraId="0F583365"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B349FC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BRODOWSKI</w:t>
            </w:r>
          </w:p>
        </w:tc>
        <w:tc>
          <w:tcPr>
            <w:tcW w:w="1313" w:type="dxa"/>
            <w:tcBorders>
              <w:top w:val="nil"/>
              <w:left w:val="nil"/>
              <w:bottom w:val="single" w:sz="4" w:space="0" w:color="auto"/>
              <w:right w:val="single" w:sz="4" w:space="0" w:color="auto"/>
            </w:tcBorders>
            <w:shd w:val="clear" w:color="auto" w:fill="auto"/>
            <w:noWrap/>
            <w:vAlign w:val="center"/>
            <w:hideMark/>
          </w:tcPr>
          <w:p w14:paraId="3CE15C2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4,65</w:t>
            </w:r>
          </w:p>
        </w:tc>
        <w:tc>
          <w:tcPr>
            <w:tcW w:w="1313" w:type="dxa"/>
            <w:tcBorders>
              <w:top w:val="nil"/>
              <w:left w:val="nil"/>
              <w:bottom w:val="single" w:sz="4" w:space="0" w:color="auto"/>
              <w:right w:val="single" w:sz="4" w:space="0" w:color="auto"/>
            </w:tcBorders>
            <w:shd w:val="clear" w:color="auto" w:fill="auto"/>
            <w:noWrap/>
            <w:vAlign w:val="center"/>
            <w:hideMark/>
          </w:tcPr>
          <w:p w14:paraId="2C98D7A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4,17</w:t>
            </w:r>
          </w:p>
        </w:tc>
        <w:tc>
          <w:tcPr>
            <w:tcW w:w="1313" w:type="dxa"/>
            <w:tcBorders>
              <w:top w:val="nil"/>
              <w:left w:val="nil"/>
              <w:bottom w:val="single" w:sz="4" w:space="0" w:color="auto"/>
              <w:right w:val="single" w:sz="4" w:space="0" w:color="auto"/>
            </w:tcBorders>
            <w:shd w:val="clear" w:color="auto" w:fill="auto"/>
            <w:noWrap/>
            <w:vAlign w:val="center"/>
            <w:hideMark/>
          </w:tcPr>
          <w:p w14:paraId="7E95DDD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4,08</w:t>
            </w:r>
          </w:p>
        </w:tc>
        <w:tc>
          <w:tcPr>
            <w:tcW w:w="1313" w:type="dxa"/>
            <w:tcBorders>
              <w:top w:val="nil"/>
              <w:left w:val="nil"/>
              <w:bottom w:val="single" w:sz="4" w:space="0" w:color="auto"/>
              <w:right w:val="single" w:sz="4" w:space="0" w:color="auto"/>
            </w:tcBorders>
            <w:shd w:val="clear" w:color="auto" w:fill="auto"/>
            <w:noWrap/>
            <w:vAlign w:val="center"/>
            <w:hideMark/>
          </w:tcPr>
          <w:p w14:paraId="566C2F1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4,71</w:t>
            </w:r>
          </w:p>
        </w:tc>
      </w:tr>
      <w:tr w:rsidR="00BF12D5" w:rsidRPr="00BD0223" w14:paraId="0B3BA98E"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5B8649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BURITIZAL</w:t>
            </w:r>
          </w:p>
        </w:tc>
        <w:tc>
          <w:tcPr>
            <w:tcW w:w="1313" w:type="dxa"/>
            <w:tcBorders>
              <w:top w:val="nil"/>
              <w:left w:val="nil"/>
              <w:bottom w:val="single" w:sz="4" w:space="0" w:color="auto"/>
              <w:right w:val="single" w:sz="4" w:space="0" w:color="auto"/>
            </w:tcBorders>
            <w:shd w:val="clear" w:color="auto" w:fill="auto"/>
            <w:noWrap/>
            <w:vAlign w:val="center"/>
            <w:hideMark/>
          </w:tcPr>
          <w:p w14:paraId="4DF79F7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8,59</w:t>
            </w:r>
          </w:p>
        </w:tc>
        <w:tc>
          <w:tcPr>
            <w:tcW w:w="1313" w:type="dxa"/>
            <w:tcBorders>
              <w:top w:val="nil"/>
              <w:left w:val="nil"/>
              <w:bottom w:val="single" w:sz="4" w:space="0" w:color="auto"/>
              <w:right w:val="single" w:sz="4" w:space="0" w:color="auto"/>
            </w:tcBorders>
            <w:shd w:val="clear" w:color="auto" w:fill="auto"/>
            <w:noWrap/>
            <w:vAlign w:val="center"/>
            <w:hideMark/>
          </w:tcPr>
          <w:p w14:paraId="2FAE65D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7,64</w:t>
            </w:r>
          </w:p>
        </w:tc>
        <w:tc>
          <w:tcPr>
            <w:tcW w:w="1313" w:type="dxa"/>
            <w:tcBorders>
              <w:top w:val="nil"/>
              <w:left w:val="nil"/>
              <w:bottom w:val="single" w:sz="4" w:space="0" w:color="auto"/>
              <w:right w:val="single" w:sz="4" w:space="0" w:color="auto"/>
            </w:tcBorders>
            <w:shd w:val="clear" w:color="auto" w:fill="auto"/>
            <w:noWrap/>
            <w:vAlign w:val="center"/>
            <w:hideMark/>
          </w:tcPr>
          <w:p w14:paraId="5084A98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8,52</w:t>
            </w:r>
          </w:p>
        </w:tc>
        <w:tc>
          <w:tcPr>
            <w:tcW w:w="1313" w:type="dxa"/>
            <w:tcBorders>
              <w:top w:val="nil"/>
              <w:left w:val="nil"/>
              <w:bottom w:val="single" w:sz="4" w:space="0" w:color="auto"/>
              <w:right w:val="single" w:sz="4" w:space="0" w:color="auto"/>
            </w:tcBorders>
            <w:shd w:val="clear" w:color="auto" w:fill="auto"/>
            <w:noWrap/>
            <w:vAlign w:val="center"/>
            <w:hideMark/>
          </w:tcPr>
          <w:p w14:paraId="0C67F5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9,75</w:t>
            </w:r>
          </w:p>
        </w:tc>
      </w:tr>
      <w:tr w:rsidR="00BF12D5" w:rsidRPr="00BD0223" w14:paraId="6C59D1C2"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AE460B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CAJOBI</w:t>
            </w:r>
          </w:p>
        </w:tc>
        <w:tc>
          <w:tcPr>
            <w:tcW w:w="1313" w:type="dxa"/>
            <w:tcBorders>
              <w:top w:val="nil"/>
              <w:left w:val="nil"/>
              <w:bottom w:val="single" w:sz="4" w:space="0" w:color="auto"/>
              <w:right w:val="single" w:sz="4" w:space="0" w:color="auto"/>
            </w:tcBorders>
            <w:shd w:val="clear" w:color="auto" w:fill="auto"/>
            <w:noWrap/>
            <w:vAlign w:val="center"/>
            <w:hideMark/>
          </w:tcPr>
          <w:p w14:paraId="765FF65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2,37</w:t>
            </w:r>
          </w:p>
        </w:tc>
        <w:tc>
          <w:tcPr>
            <w:tcW w:w="1313" w:type="dxa"/>
            <w:tcBorders>
              <w:top w:val="nil"/>
              <w:left w:val="nil"/>
              <w:bottom w:val="single" w:sz="4" w:space="0" w:color="auto"/>
              <w:right w:val="single" w:sz="4" w:space="0" w:color="auto"/>
            </w:tcBorders>
            <w:shd w:val="clear" w:color="auto" w:fill="auto"/>
            <w:noWrap/>
            <w:vAlign w:val="center"/>
            <w:hideMark/>
          </w:tcPr>
          <w:p w14:paraId="5A79827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2,46</w:t>
            </w:r>
          </w:p>
        </w:tc>
        <w:tc>
          <w:tcPr>
            <w:tcW w:w="1313" w:type="dxa"/>
            <w:tcBorders>
              <w:top w:val="nil"/>
              <w:left w:val="nil"/>
              <w:bottom w:val="single" w:sz="4" w:space="0" w:color="auto"/>
              <w:right w:val="single" w:sz="4" w:space="0" w:color="auto"/>
            </w:tcBorders>
            <w:shd w:val="clear" w:color="auto" w:fill="auto"/>
            <w:noWrap/>
            <w:vAlign w:val="center"/>
            <w:hideMark/>
          </w:tcPr>
          <w:p w14:paraId="028E6DE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2,44</w:t>
            </w:r>
          </w:p>
        </w:tc>
        <w:tc>
          <w:tcPr>
            <w:tcW w:w="1313" w:type="dxa"/>
            <w:tcBorders>
              <w:top w:val="nil"/>
              <w:left w:val="nil"/>
              <w:bottom w:val="single" w:sz="4" w:space="0" w:color="auto"/>
              <w:right w:val="single" w:sz="4" w:space="0" w:color="auto"/>
            </w:tcBorders>
            <w:shd w:val="clear" w:color="auto" w:fill="auto"/>
            <w:noWrap/>
            <w:vAlign w:val="center"/>
            <w:hideMark/>
          </w:tcPr>
          <w:p w14:paraId="2D1A7DD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2,44</w:t>
            </w:r>
          </w:p>
        </w:tc>
      </w:tr>
      <w:tr w:rsidR="00BF12D5" w:rsidRPr="00BD0223" w14:paraId="3886C0B5"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CD0E2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CAJURU</w:t>
            </w:r>
          </w:p>
        </w:tc>
        <w:tc>
          <w:tcPr>
            <w:tcW w:w="1313" w:type="dxa"/>
            <w:tcBorders>
              <w:top w:val="nil"/>
              <w:left w:val="nil"/>
              <w:bottom w:val="single" w:sz="4" w:space="0" w:color="auto"/>
              <w:right w:val="single" w:sz="4" w:space="0" w:color="auto"/>
            </w:tcBorders>
            <w:shd w:val="clear" w:color="auto" w:fill="auto"/>
            <w:noWrap/>
            <w:vAlign w:val="center"/>
            <w:hideMark/>
          </w:tcPr>
          <w:p w14:paraId="04923A2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3,12</w:t>
            </w:r>
          </w:p>
        </w:tc>
        <w:tc>
          <w:tcPr>
            <w:tcW w:w="1313" w:type="dxa"/>
            <w:tcBorders>
              <w:top w:val="nil"/>
              <w:left w:val="nil"/>
              <w:bottom w:val="single" w:sz="4" w:space="0" w:color="auto"/>
              <w:right w:val="single" w:sz="4" w:space="0" w:color="auto"/>
            </w:tcBorders>
            <w:shd w:val="clear" w:color="auto" w:fill="auto"/>
            <w:noWrap/>
            <w:vAlign w:val="center"/>
            <w:hideMark/>
          </w:tcPr>
          <w:p w14:paraId="78CD24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3,35</w:t>
            </w:r>
          </w:p>
        </w:tc>
        <w:tc>
          <w:tcPr>
            <w:tcW w:w="1313" w:type="dxa"/>
            <w:tcBorders>
              <w:top w:val="nil"/>
              <w:left w:val="nil"/>
              <w:bottom w:val="single" w:sz="4" w:space="0" w:color="auto"/>
              <w:right w:val="single" w:sz="4" w:space="0" w:color="auto"/>
            </w:tcBorders>
            <w:shd w:val="clear" w:color="auto" w:fill="auto"/>
            <w:noWrap/>
            <w:vAlign w:val="center"/>
            <w:hideMark/>
          </w:tcPr>
          <w:p w14:paraId="710905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3,75</w:t>
            </w:r>
          </w:p>
        </w:tc>
        <w:tc>
          <w:tcPr>
            <w:tcW w:w="1313" w:type="dxa"/>
            <w:tcBorders>
              <w:top w:val="nil"/>
              <w:left w:val="nil"/>
              <w:bottom w:val="single" w:sz="4" w:space="0" w:color="auto"/>
              <w:right w:val="single" w:sz="4" w:space="0" w:color="auto"/>
            </w:tcBorders>
            <w:shd w:val="clear" w:color="auto" w:fill="auto"/>
            <w:noWrap/>
            <w:vAlign w:val="center"/>
            <w:hideMark/>
          </w:tcPr>
          <w:p w14:paraId="0219F2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4,09</w:t>
            </w:r>
          </w:p>
        </w:tc>
      </w:tr>
      <w:tr w:rsidR="00BF12D5" w:rsidRPr="00BD0223" w14:paraId="48149EC4"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249BB0F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CANDIDO RODRIGUES</w:t>
            </w:r>
          </w:p>
        </w:tc>
        <w:tc>
          <w:tcPr>
            <w:tcW w:w="1313" w:type="dxa"/>
            <w:tcBorders>
              <w:top w:val="nil"/>
              <w:left w:val="nil"/>
              <w:bottom w:val="single" w:sz="4" w:space="0" w:color="auto"/>
              <w:right w:val="single" w:sz="4" w:space="0" w:color="auto"/>
            </w:tcBorders>
            <w:shd w:val="clear" w:color="auto" w:fill="auto"/>
            <w:noWrap/>
            <w:vAlign w:val="center"/>
            <w:hideMark/>
          </w:tcPr>
          <w:p w14:paraId="03E153C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0,52</w:t>
            </w:r>
          </w:p>
        </w:tc>
        <w:tc>
          <w:tcPr>
            <w:tcW w:w="1313" w:type="dxa"/>
            <w:tcBorders>
              <w:top w:val="nil"/>
              <w:left w:val="nil"/>
              <w:bottom w:val="single" w:sz="4" w:space="0" w:color="auto"/>
              <w:right w:val="single" w:sz="4" w:space="0" w:color="auto"/>
            </w:tcBorders>
            <w:shd w:val="clear" w:color="auto" w:fill="auto"/>
            <w:noWrap/>
            <w:vAlign w:val="center"/>
            <w:hideMark/>
          </w:tcPr>
          <w:p w14:paraId="7657641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0,62</w:t>
            </w:r>
          </w:p>
        </w:tc>
        <w:tc>
          <w:tcPr>
            <w:tcW w:w="1313" w:type="dxa"/>
            <w:tcBorders>
              <w:top w:val="nil"/>
              <w:left w:val="nil"/>
              <w:bottom w:val="single" w:sz="4" w:space="0" w:color="auto"/>
              <w:right w:val="single" w:sz="4" w:space="0" w:color="auto"/>
            </w:tcBorders>
            <w:shd w:val="clear" w:color="auto" w:fill="auto"/>
            <w:noWrap/>
            <w:vAlign w:val="center"/>
            <w:hideMark/>
          </w:tcPr>
          <w:p w14:paraId="11A790B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0,84</w:t>
            </w:r>
          </w:p>
        </w:tc>
        <w:tc>
          <w:tcPr>
            <w:tcW w:w="1313" w:type="dxa"/>
            <w:tcBorders>
              <w:top w:val="nil"/>
              <w:left w:val="nil"/>
              <w:bottom w:val="single" w:sz="4" w:space="0" w:color="auto"/>
              <w:right w:val="single" w:sz="4" w:space="0" w:color="auto"/>
            </w:tcBorders>
            <w:shd w:val="clear" w:color="auto" w:fill="auto"/>
            <w:noWrap/>
            <w:vAlign w:val="center"/>
            <w:hideMark/>
          </w:tcPr>
          <w:p w14:paraId="64666A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0,44</w:t>
            </w:r>
          </w:p>
        </w:tc>
      </w:tr>
      <w:tr w:rsidR="00BF12D5" w:rsidRPr="00BD0223" w14:paraId="722B4D9B"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A1B92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CARDOSO</w:t>
            </w:r>
          </w:p>
        </w:tc>
        <w:tc>
          <w:tcPr>
            <w:tcW w:w="1313" w:type="dxa"/>
            <w:tcBorders>
              <w:top w:val="nil"/>
              <w:left w:val="nil"/>
              <w:bottom w:val="single" w:sz="4" w:space="0" w:color="auto"/>
              <w:right w:val="single" w:sz="4" w:space="0" w:color="auto"/>
            </w:tcBorders>
            <w:shd w:val="clear" w:color="auto" w:fill="auto"/>
            <w:noWrap/>
            <w:vAlign w:val="center"/>
            <w:hideMark/>
          </w:tcPr>
          <w:p w14:paraId="6ED4102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1,76</w:t>
            </w:r>
          </w:p>
        </w:tc>
        <w:tc>
          <w:tcPr>
            <w:tcW w:w="1313" w:type="dxa"/>
            <w:tcBorders>
              <w:top w:val="nil"/>
              <w:left w:val="nil"/>
              <w:bottom w:val="single" w:sz="4" w:space="0" w:color="auto"/>
              <w:right w:val="single" w:sz="4" w:space="0" w:color="auto"/>
            </w:tcBorders>
            <w:shd w:val="clear" w:color="auto" w:fill="auto"/>
            <w:noWrap/>
            <w:vAlign w:val="center"/>
            <w:hideMark/>
          </w:tcPr>
          <w:p w14:paraId="587BE1A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1,55</w:t>
            </w:r>
          </w:p>
        </w:tc>
        <w:tc>
          <w:tcPr>
            <w:tcW w:w="1313" w:type="dxa"/>
            <w:tcBorders>
              <w:top w:val="nil"/>
              <w:left w:val="nil"/>
              <w:bottom w:val="single" w:sz="4" w:space="0" w:color="auto"/>
              <w:right w:val="single" w:sz="4" w:space="0" w:color="auto"/>
            </w:tcBorders>
            <w:shd w:val="clear" w:color="auto" w:fill="auto"/>
            <w:noWrap/>
            <w:vAlign w:val="center"/>
            <w:hideMark/>
          </w:tcPr>
          <w:p w14:paraId="238CED3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1,55</w:t>
            </w:r>
          </w:p>
        </w:tc>
        <w:tc>
          <w:tcPr>
            <w:tcW w:w="1313" w:type="dxa"/>
            <w:tcBorders>
              <w:top w:val="nil"/>
              <w:left w:val="nil"/>
              <w:bottom w:val="single" w:sz="4" w:space="0" w:color="auto"/>
              <w:right w:val="single" w:sz="4" w:space="0" w:color="auto"/>
            </w:tcBorders>
            <w:shd w:val="clear" w:color="auto" w:fill="auto"/>
            <w:noWrap/>
            <w:vAlign w:val="center"/>
            <w:hideMark/>
          </w:tcPr>
          <w:p w14:paraId="7075CC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1,87</w:t>
            </w:r>
          </w:p>
        </w:tc>
      </w:tr>
      <w:tr w:rsidR="00BF12D5" w:rsidRPr="00BD0223" w14:paraId="3E2A7286"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24D36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CASSIA DOS COQUEIROS</w:t>
            </w:r>
          </w:p>
        </w:tc>
        <w:tc>
          <w:tcPr>
            <w:tcW w:w="1313" w:type="dxa"/>
            <w:tcBorders>
              <w:top w:val="nil"/>
              <w:left w:val="nil"/>
              <w:bottom w:val="single" w:sz="4" w:space="0" w:color="auto"/>
              <w:right w:val="single" w:sz="4" w:space="0" w:color="auto"/>
            </w:tcBorders>
            <w:shd w:val="clear" w:color="auto" w:fill="auto"/>
            <w:noWrap/>
            <w:vAlign w:val="center"/>
            <w:hideMark/>
          </w:tcPr>
          <w:p w14:paraId="6742346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0,35</w:t>
            </w:r>
          </w:p>
        </w:tc>
        <w:tc>
          <w:tcPr>
            <w:tcW w:w="1313" w:type="dxa"/>
            <w:tcBorders>
              <w:top w:val="nil"/>
              <w:left w:val="nil"/>
              <w:bottom w:val="single" w:sz="4" w:space="0" w:color="auto"/>
              <w:right w:val="single" w:sz="4" w:space="0" w:color="auto"/>
            </w:tcBorders>
            <w:shd w:val="clear" w:color="auto" w:fill="auto"/>
            <w:noWrap/>
            <w:vAlign w:val="center"/>
            <w:hideMark/>
          </w:tcPr>
          <w:p w14:paraId="71E09C9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0,18</w:t>
            </w:r>
          </w:p>
        </w:tc>
        <w:tc>
          <w:tcPr>
            <w:tcW w:w="1313" w:type="dxa"/>
            <w:tcBorders>
              <w:top w:val="nil"/>
              <w:left w:val="nil"/>
              <w:bottom w:val="single" w:sz="4" w:space="0" w:color="auto"/>
              <w:right w:val="single" w:sz="4" w:space="0" w:color="auto"/>
            </w:tcBorders>
            <w:shd w:val="clear" w:color="auto" w:fill="auto"/>
            <w:noWrap/>
            <w:vAlign w:val="center"/>
            <w:hideMark/>
          </w:tcPr>
          <w:p w14:paraId="50E37F6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0,34</w:t>
            </w:r>
          </w:p>
        </w:tc>
        <w:tc>
          <w:tcPr>
            <w:tcW w:w="1313" w:type="dxa"/>
            <w:tcBorders>
              <w:top w:val="nil"/>
              <w:left w:val="nil"/>
              <w:bottom w:val="single" w:sz="4" w:space="0" w:color="auto"/>
              <w:right w:val="single" w:sz="4" w:space="0" w:color="auto"/>
            </w:tcBorders>
            <w:shd w:val="clear" w:color="auto" w:fill="auto"/>
            <w:noWrap/>
            <w:vAlign w:val="center"/>
            <w:hideMark/>
          </w:tcPr>
          <w:p w14:paraId="429A8D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0,31</w:t>
            </w:r>
          </w:p>
        </w:tc>
      </w:tr>
      <w:tr w:rsidR="00BF12D5" w:rsidRPr="00BD0223" w14:paraId="63DE31AA"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D784C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CATANDUVA</w:t>
            </w:r>
          </w:p>
        </w:tc>
        <w:tc>
          <w:tcPr>
            <w:tcW w:w="1313" w:type="dxa"/>
            <w:tcBorders>
              <w:top w:val="nil"/>
              <w:left w:val="nil"/>
              <w:bottom w:val="single" w:sz="4" w:space="0" w:color="auto"/>
              <w:right w:val="single" w:sz="4" w:space="0" w:color="auto"/>
            </w:tcBorders>
            <w:shd w:val="clear" w:color="auto" w:fill="auto"/>
            <w:noWrap/>
            <w:vAlign w:val="center"/>
            <w:hideMark/>
          </w:tcPr>
          <w:p w14:paraId="0B0B8D7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67,86</w:t>
            </w:r>
          </w:p>
        </w:tc>
        <w:tc>
          <w:tcPr>
            <w:tcW w:w="1313" w:type="dxa"/>
            <w:tcBorders>
              <w:top w:val="nil"/>
              <w:left w:val="nil"/>
              <w:bottom w:val="single" w:sz="4" w:space="0" w:color="auto"/>
              <w:right w:val="single" w:sz="4" w:space="0" w:color="auto"/>
            </w:tcBorders>
            <w:shd w:val="clear" w:color="auto" w:fill="auto"/>
            <w:noWrap/>
            <w:vAlign w:val="center"/>
            <w:hideMark/>
          </w:tcPr>
          <w:p w14:paraId="553E947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71,36</w:t>
            </w:r>
          </w:p>
        </w:tc>
        <w:tc>
          <w:tcPr>
            <w:tcW w:w="1313" w:type="dxa"/>
            <w:tcBorders>
              <w:top w:val="nil"/>
              <w:left w:val="nil"/>
              <w:bottom w:val="single" w:sz="4" w:space="0" w:color="auto"/>
              <w:right w:val="single" w:sz="4" w:space="0" w:color="auto"/>
            </w:tcBorders>
            <w:shd w:val="clear" w:color="auto" w:fill="auto"/>
            <w:noWrap/>
            <w:vAlign w:val="center"/>
            <w:hideMark/>
          </w:tcPr>
          <w:p w14:paraId="5CD1DC8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70,45</w:t>
            </w:r>
          </w:p>
        </w:tc>
        <w:tc>
          <w:tcPr>
            <w:tcW w:w="1313" w:type="dxa"/>
            <w:tcBorders>
              <w:top w:val="nil"/>
              <w:left w:val="nil"/>
              <w:bottom w:val="single" w:sz="4" w:space="0" w:color="auto"/>
              <w:right w:val="single" w:sz="4" w:space="0" w:color="auto"/>
            </w:tcBorders>
            <w:shd w:val="clear" w:color="auto" w:fill="auto"/>
            <w:noWrap/>
            <w:vAlign w:val="center"/>
            <w:hideMark/>
          </w:tcPr>
          <w:p w14:paraId="7A066F0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69,05</w:t>
            </w:r>
          </w:p>
        </w:tc>
      </w:tr>
      <w:tr w:rsidR="00BF12D5" w:rsidRPr="00BD0223" w14:paraId="5DB6F2FB"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E24239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CATIGUA</w:t>
            </w:r>
          </w:p>
        </w:tc>
        <w:tc>
          <w:tcPr>
            <w:tcW w:w="1313" w:type="dxa"/>
            <w:tcBorders>
              <w:top w:val="nil"/>
              <w:left w:val="nil"/>
              <w:bottom w:val="single" w:sz="4" w:space="0" w:color="auto"/>
              <w:right w:val="single" w:sz="4" w:space="0" w:color="auto"/>
            </w:tcBorders>
            <w:shd w:val="clear" w:color="auto" w:fill="auto"/>
            <w:noWrap/>
            <w:vAlign w:val="center"/>
            <w:hideMark/>
          </w:tcPr>
          <w:p w14:paraId="2B765A1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11,94</w:t>
            </w:r>
          </w:p>
        </w:tc>
        <w:tc>
          <w:tcPr>
            <w:tcW w:w="1313" w:type="dxa"/>
            <w:tcBorders>
              <w:top w:val="nil"/>
              <w:left w:val="nil"/>
              <w:bottom w:val="single" w:sz="4" w:space="0" w:color="auto"/>
              <w:right w:val="single" w:sz="4" w:space="0" w:color="auto"/>
            </w:tcBorders>
            <w:shd w:val="clear" w:color="auto" w:fill="auto"/>
            <w:noWrap/>
            <w:vAlign w:val="center"/>
            <w:hideMark/>
          </w:tcPr>
          <w:p w14:paraId="766AA5A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15,00</w:t>
            </w:r>
          </w:p>
        </w:tc>
        <w:tc>
          <w:tcPr>
            <w:tcW w:w="1313" w:type="dxa"/>
            <w:tcBorders>
              <w:top w:val="nil"/>
              <w:left w:val="nil"/>
              <w:bottom w:val="single" w:sz="4" w:space="0" w:color="auto"/>
              <w:right w:val="single" w:sz="4" w:space="0" w:color="auto"/>
            </w:tcBorders>
            <w:shd w:val="clear" w:color="auto" w:fill="auto"/>
            <w:noWrap/>
            <w:vAlign w:val="center"/>
            <w:hideMark/>
          </w:tcPr>
          <w:p w14:paraId="7460EEB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15,04</w:t>
            </w:r>
          </w:p>
        </w:tc>
        <w:tc>
          <w:tcPr>
            <w:tcW w:w="1313" w:type="dxa"/>
            <w:tcBorders>
              <w:top w:val="nil"/>
              <w:left w:val="nil"/>
              <w:bottom w:val="single" w:sz="4" w:space="0" w:color="auto"/>
              <w:right w:val="single" w:sz="4" w:space="0" w:color="auto"/>
            </w:tcBorders>
            <w:shd w:val="clear" w:color="auto" w:fill="auto"/>
            <w:noWrap/>
            <w:vAlign w:val="center"/>
            <w:hideMark/>
          </w:tcPr>
          <w:p w14:paraId="45B2215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11,82</w:t>
            </w:r>
          </w:p>
        </w:tc>
      </w:tr>
      <w:tr w:rsidR="00BF12D5" w:rsidRPr="00BD0223" w14:paraId="252AC950"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E946D3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CEDRAL</w:t>
            </w:r>
          </w:p>
        </w:tc>
        <w:tc>
          <w:tcPr>
            <w:tcW w:w="1313" w:type="dxa"/>
            <w:tcBorders>
              <w:top w:val="nil"/>
              <w:left w:val="nil"/>
              <w:bottom w:val="single" w:sz="4" w:space="0" w:color="auto"/>
              <w:right w:val="single" w:sz="4" w:space="0" w:color="auto"/>
            </w:tcBorders>
            <w:shd w:val="clear" w:color="auto" w:fill="auto"/>
            <w:noWrap/>
            <w:vAlign w:val="center"/>
            <w:hideMark/>
          </w:tcPr>
          <w:p w14:paraId="2F2F7FC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2,34</w:t>
            </w:r>
          </w:p>
        </w:tc>
        <w:tc>
          <w:tcPr>
            <w:tcW w:w="1313" w:type="dxa"/>
            <w:tcBorders>
              <w:top w:val="nil"/>
              <w:left w:val="nil"/>
              <w:bottom w:val="single" w:sz="4" w:space="0" w:color="auto"/>
              <w:right w:val="single" w:sz="4" w:space="0" w:color="auto"/>
            </w:tcBorders>
            <w:shd w:val="clear" w:color="auto" w:fill="auto"/>
            <w:noWrap/>
            <w:vAlign w:val="center"/>
            <w:hideMark/>
          </w:tcPr>
          <w:p w14:paraId="4C4594C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2,60</w:t>
            </w:r>
          </w:p>
        </w:tc>
        <w:tc>
          <w:tcPr>
            <w:tcW w:w="1313" w:type="dxa"/>
            <w:tcBorders>
              <w:top w:val="nil"/>
              <w:left w:val="nil"/>
              <w:bottom w:val="single" w:sz="4" w:space="0" w:color="auto"/>
              <w:right w:val="single" w:sz="4" w:space="0" w:color="auto"/>
            </w:tcBorders>
            <w:shd w:val="clear" w:color="auto" w:fill="auto"/>
            <w:noWrap/>
            <w:vAlign w:val="center"/>
            <w:hideMark/>
          </w:tcPr>
          <w:p w14:paraId="2468E1C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2,66</w:t>
            </w:r>
          </w:p>
        </w:tc>
        <w:tc>
          <w:tcPr>
            <w:tcW w:w="1313" w:type="dxa"/>
            <w:tcBorders>
              <w:top w:val="nil"/>
              <w:left w:val="nil"/>
              <w:bottom w:val="single" w:sz="4" w:space="0" w:color="auto"/>
              <w:right w:val="single" w:sz="4" w:space="0" w:color="auto"/>
            </w:tcBorders>
            <w:shd w:val="clear" w:color="auto" w:fill="auto"/>
            <w:noWrap/>
            <w:vAlign w:val="center"/>
            <w:hideMark/>
          </w:tcPr>
          <w:p w14:paraId="66AA0FB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3,11</w:t>
            </w:r>
          </w:p>
        </w:tc>
      </w:tr>
      <w:tr w:rsidR="00BF12D5" w:rsidRPr="00BD0223" w14:paraId="169BC223"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579BB0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COLINA</w:t>
            </w:r>
          </w:p>
        </w:tc>
        <w:tc>
          <w:tcPr>
            <w:tcW w:w="1313" w:type="dxa"/>
            <w:tcBorders>
              <w:top w:val="nil"/>
              <w:left w:val="nil"/>
              <w:bottom w:val="single" w:sz="4" w:space="0" w:color="auto"/>
              <w:right w:val="single" w:sz="4" w:space="0" w:color="auto"/>
            </w:tcBorders>
            <w:shd w:val="clear" w:color="auto" w:fill="auto"/>
            <w:noWrap/>
            <w:vAlign w:val="center"/>
            <w:hideMark/>
          </w:tcPr>
          <w:p w14:paraId="5A08175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13,61</w:t>
            </w:r>
          </w:p>
        </w:tc>
        <w:tc>
          <w:tcPr>
            <w:tcW w:w="1313" w:type="dxa"/>
            <w:tcBorders>
              <w:top w:val="nil"/>
              <w:left w:val="nil"/>
              <w:bottom w:val="single" w:sz="4" w:space="0" w:color="auto"/>
              <w:right w:val="single" w:sz="4" w:space="0" w:color="auto"/>
            </w:tcBorders>
            <w:shd w:val="clear" w:color="auto" w:fill="auto"/>
            <w:noWrap/>
            <w:vAlign w:val="center"/>
            <w:hideMark/>
          </w:tcPr>
          <w:p w14:paraId="03752A5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13,08</w:t>
            </w:r>
          </w:p>
        </w:tc>
        <w:tc>
          <w:tcPr>
            <w:tcW w:w="1313" w:type="dxa"/>
            <w:tcBorders>
              <w:top w:val="nil"/>
              <w:left w:val="nil"/>
              <w:bottom w:val="single" w:sz="4" w:space="0" w:color="auto"/>
              <w:right w:val="single" w:sz="4" w:space="0" w:color="auto"/>
            </w:tcBorders>
            <w:shd w:val="clear" w:color="auto" w:fill="auto"/>
            <w:noWrap/>
            <w:vAlign w:val="center"/>
            <w:hideMark/>
          </w:tcPr>
          <w:p w14:paraId="40E555F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13,76</w:t>
            </w:r>
          </w:p>
        </w:tc>
        <w:tc>
          <w:tcPr>
            <w:tcW w:w="1313" w:type="dxa"/>
            <w:tcBorders>
              <w:top w:val="nil"/>
              <w:left w:val="nil"/>
              <w:bottom w:val="single" w:sz="4" w:space="0" w:color="auto"/>
              <w:right w:val="single" w:sz="4" w:space="0" w:color="auto"/>
            </w:tcBorders>
            <w:shd w:val="clear" w:color="auto" w:fill="auto"/>
            <w:noWrap/>
            <w:vAlign w:val="center"/>
            <w:hideMark/>
          </w:tcPr>
          <w:p w14:paraId="391FDE3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14,00</w:t>
            </w:r>
          </w:p>
        </w:tc>
      </w:tr>
      <w:tr w:rsidR="00BF12D5" w:rsidRPr="00BD0223" w14:paraId="42C98B57"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073855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COLOMBIA</w:t>
            </w:r>
          </w:p>
        </w:tc>
        <w:tc>
          <w:tcPr>
            <w:tcW w:w="1313" w:type="dxa"/>
            <w:tcBorders>
              <w:top w:val="nil"/>
              <w:left w:val="nil"/>
              <w:bottom w:val="single" w:sz="4" w:space="0" w:color="auto"/>
              <w:right w:val="single" w:sz="4" w:space="0" w:color="auto"/>
            </w:tcBorders>
            <w:shd w:val="clear" w:color="auto" w:fill="auto"/>
            <w:noWrap/>
            <w:vAlign w:val="center"/>
            <w:hideMark/>
          </w:tcPr>
          <w:p w14:paraId="1AD03A0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9,26</w:t>
            </w:r>
          </w:p>
        </w:tc>
        <w:tc>
          <w:tcPr>
            <w:tcW w:w="1313" w:type="dxa"/>
            <w:tcBorders>
              <w:top w:val="nil"/>
              <w:left w:val="nil"/>
              <w:bottom w:val="single" w:sz="4" w:space="0" w:color="auto"/>
              <w:right w:val="single" w:sz="4" w:space="0" w:color="auto"/>
            </w:tcBorders>
            <w:shd w:val="clear" w:color="auto" w:fill="auto"/>
            <w:noWrap/>
            <w:vAlign w:val="center"/>
            <w:hideMark/>
          </w:tcPr>
          <w:p w14:paraId="414EA7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9,64</w:t>
            </w:r>
          </w:p>
        </w:tc>
        <w:tc>
          <w:tcPr>
            <w:tcW w:w="1313" w:type="dxa"/>
            <w:tcBorders>
              <w:top w:val="nil"/>
              <w:left w:val="nil"/>
              <w:bottom w:val="single" w:sz="4" w:space="0" w:color="auto"/>
              <w:right w:val="single" w:sz="4" w:space="0" w:color="auto"/>
            </w:tcBorders>
            <w:shd w:val="clear" w:color="auto" w:fill="auto"/>
            <w:noWrap/>
            <w:vAlign w:val="center"/>
            <w:hideMark/>
          </w:tcPr>
          <w:p w14:paraId="0186A46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9,90</w:t>
            </w:r>
          </w:p>
        </w:tc>
        <w:tc>
          <w:tcPr>
            <w:tcW w:w="1313" w:type="dxa"/>
            <w:tcBorders>
              <w:top w:val="nil"/>
              <w:left w:val="nil"/>
              <w:bottom w:val="single" w:sz="4" w:space="0" w:color="auto"/>
              <w:right w:val="single" w:sz="4" w:space="0" w:color="auto"/>
            </w:tcBorders>
            <w:shd w:val="clear" w:color="auto" w:fill="auto"/>
            <w:noWrap/>
            <w:vAlign w:val="center"/>
            <w:hideMark/>
          </w:tcPr>
          <w:p w14:paraId="255ED97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10,09</w:t>
            </w:r>
          </w:p>
        </w:tc>
      </w:tr>
      <w:tr w:rsidR="00BF12D5" w:rsidRPr="00BD0223" w14:paraId="71A7E6CE"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8F3572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COSMORAMA</w:t>
            </w:r>
          </w:p>
        </w:tc>
        <w:tc>
          <w:tcPr>
            <w:tcW w:w="1313" w:type="dxa"/>
            <w:tcBorders>
              <w:top w:val="nil"/>
              <w:left w:val="nil"/>
              <w:bottom w:val="single" w:sz="4" w:space="0" w:color="auto"/>
              <w:right w:val="single" w:sz="4" w:space="0" w:color="auto"/>
            </w:tcBorders>
            <w:shd w:val="clear" w:color="auto" w:fill="auto"/>
            <w:noWrap/>
            <w:vAlign w:val="center"/>
            <w:hideMark/>
          </w:tcPr>
          <w:p w14:paraId="3A63E49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15,33</w:t>
            </w:r>
          </w:p>
        </w:tc>
        <w:tc>
          <w:tcPr>
            <w:tcW w:w="1313" w:type="dxa"/>
            <w:tcBorders>
              <w:top w:val="nil"/>
              <w:left w:val="nil"/>
              <w:bottom w:val="single" w:sz="4" w:space="0" w:color="auto"/>
              <w:right w:val="single" w:sz="4" w:space="0" w:color="auto"/>
            </w:tcBorders>
            <w:shd w:val="clear" w:color="auto" w:fill="auto"/>
            <w:noWrap/>
            <w:vAlign w:val="center"/>
            <w:hideMark/>
          </w:tcPr>
          <w:p w14:paraId="254531C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15,10</w:t>
            </w:r>
          </w:p>
        </w:tc>
        <w:tc>
          <w:tcPr>
            <w:tcW w:w="1313" w:type="dxa"/>
            <w:tcBorders>
              <w:top w:val="nil"/>
              <w:left w:val="nil"/>
              <w:bottom w:val="single" w:sz="4" w:space="0" w:color="auto"/>
              <w:right w:val="single" w:sz="4" w:space="0" w:color="auto"/>
            </w:tcBorders>
            <w:shd w:val="clear" w:color="auto" w:fill="auto"/>
            <w:noWrap/>
            <w:vAlign w:val="center"/>
            <w:hideMark/>
          </w:tcPr>
          <w:p w14:paraId="6A93464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3,52</w:t>
            </w:r>
          </w:p>
        </w:tc>
        <w:tc>
          <w:tcPr>
            <w:tcW w:w="1313" w:type="dxa"/>
            <w:tcBorders>
              <w:top w:val="nil"/>
              <w:left w:val="nil"/>
              <w:bottom w:val="single" w:sz="4" w:space="0" w:color="auto"/>
              <w:right w:val="single" w:sz="4" w:space="0" w:color="auto"/>
            </w:tcBorders>
            <w:shd w:val="clear" w:color="auto" w:fill="auto"/>
            <w:noWrap/>
            <w:vAlign w:val="center"/>
            <w:hideMark/>
          </w:tcPr>
          <w:p w14:paraId="2EFB16D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1,14</w:t>
            </w:r>
          </w:p>
        </w:tc>
      </w:tr>
      <w:tr w:rsidR="00BF12D5" w:rsidRPr="00BD0223" w14:paraId="060BF974"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14E6F9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CRAVINHOS</w:t>
            </w:r>
          </w:p>
        </w:tc>
        <w:tc>
          <w:tcPr>
            <w:tcW w:w="1313" w:type="dxa"/>
            <w:tcBorders>
              <w:top w:val="nil"/>
              <w:left w:val="nil"/>
              <w:bottom w:val="single" w:sz="4" w:space="0" w:color="auto"/>
              <w:right w:val="single" w:sz="4" w:space="0" w:color="auto"/>
            </w:tcBorders>
            <w:shd w:val="clear" w:color="auto" w:fill="auto"/>
            <w:noWrap/>
            <w:vAlign w:val="center"/>
            <w:hideMark/>
          </w:tcPr>
          <w:p w14:paraId="491BA5F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7,59</w:t>
            </w:r>
          </w:p>
        </w:tc>
        <w:tc>
          <w:tcPr>
            <w:tcW w:w="1313" w:type="dxa"/>
            <w:tcBorders>
              <w:top w:val="nil"/>
              <w:left w:val="nil"/>
              <w:bottom w:val="single" w:sz="4" w:space="0" w:color="auto"/>
              <w:right w:val="single" w:sz="4" w:space="0" w:color="auto"/>
            </w:tcBorders>
            <w:shd w:val="clear" w:color="auto" w:fill="auto"/>
            <w:noWrap/>
            <w:vAlign w:val="center"/>
            <w:hideMark/>
          </w:tcPr>
          <w:p w14:paraId="44BB7BE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6,13</w:t>
            </w:r>
          </w:p>
        </w:tc>
        <w:tc>
          <w:tcPr>
            <w:tcW w:w="1313" w:type="dxa"/>
            <w:tcBorders>
              <w:top w:val="nil"/>
              <w:left w:val="nil"/>
              <w:bottom w:val="single" w:sz="4" w:space="0" w:color="auto"/>
              <w:right w:val="single" w:sz="4" w:space="0" w:color="auto"/>
            </w:tcBorders>
            <w:shd w:val="clear" w:color="auto" w:fill="auto"/>
            <w:noWrap/>
            <w:vAlign w:val="center"/>
            <w:hideMark/>
          </w:tcPr>
          <w:p w14:paraId="678C3D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7,07</w:t>
            </w:r>
          </w:p>
        </w:tc>
        <w:tc>
          <w:tcPr>
            <w:tcW w:w="1313" w:type="dxa"/>
            <w:tcBorders>
              <w:top w:val="nil"/>
              <w:left w:val="nil"/>
              <w:bottom w:val="single" w:sz="4" w:space="0" w:color="auto"/>
              <w:right w:val="single" w:sz="4" w:space="0" w:color="auto"/>
            </w:tcBorders>
            <w:shd w:val="clear" w:color="auto" w:fill="auto"/>
            <w:noWrap/>
            <w:vAlign w:val="center"/>
            <w:hideMark/>
          </w:tcPr>
          <w:p w14:paraId="0A23449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8,10</w:t>
            </w:r>
          </w:p>
        </w:tc>
      </w:tr>
      <w:tr w:rsidR="00BF12D5" w:rsidRPr="00BD0223" w14:paraId="74AC5996"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46D96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CRISTAIS PAULISTA</w:t>
            </w:r>
          </w:p>
        </w:tc>
        <w:tc>
          <w:tcPr>
            <w:tcW w:w="1313" w:type="dxa"/>
            <w:tcBorders>
              <w:top w:val="nil"/>
              <w:left w:val="nil"/>
              <w:bottom w:val="single" w:sz="4" w:space="0" w:color="auto"/>
              <w:right w:val="single" w:sz="4" w:space="0" w:color="auto"/>
            </w:tcBorders>
            <w:shd w:val="clear" w:color="auto" w:fill="auto"/>
            <w:noWrap/>
            <w:vAlign w:val="center"/>
            <w:hideMark/>
          </w:tcPr>
          <w:p w14:paraId="4B2EECC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1,23</w:t>
            </w:r>
          </w:p>
        </w:tc>
        <w:tc>
          <w:tcPr>
            <w:tcW w:w="1313" w:type="dxa"/>
            <w:tcBorders>
              <w:top w:val="nil"/>
              <w:left w:val="nil"/>
              <w:bottom w:val="single" w:sz="4" w:space="0" w:color="auto"/>
              <w:right w:val="single" w:sz="4" w:space="0" w:color="auto"/>
            </w:tcBorders>
            <w:shd w:val="clear" w:color="auto" w:fill="auto"/>
            <w:noWrap/>
            <w:vAlign w:val="center"/>
            <w:hideMark/>
          </w:tcPr>
          <w:p w14:paraId="623DF9C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0,96</w:t>
            </w:r>
          </w:p>
        </w:tc>
        <w:tc>
          <w:tcPr>
            <w:tcW w:w="1313" w:type="dxa"/>
            <w:tcBorders>
              <w:top w:val="nil"/>
              <w:left w:val="nil"/>
              <w:bottom w:val="single" w:sz="4" w:space="0" w:color="auto"/>
              <w:right w:val="single" w:sz="4" w:space="0" w:color="auto"/>
            </w:tcBorders>
            <w:shd w:val="clear" w:color="auto" w:fill="auto"/>
            <w:noWrap/>
            <w:vAlign w:val="center"/>
            <w:hideMark/>
          </w:tcPr>
          <w:p w14:paraId="7EA390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3,00</w:t>
            </w:r>
          </w:p>
        </w:tc>
        <w:tc>
          <w:tcPr>
            <w:tcW w:w="1313" w:type="dxa"/>
            <w:tcBorders>
              <w:top w:val="nil"/>
              <w:left w:val="nil"/>
              <w:bottom w:val="single" w:sz="4" w:space="0" w:color="auto"/>
              <w:right w:val="single" w:sz="4" w:space="0" w:color="auto"/>
            </w:tcBorders>
            <w:shd w:val="clear" w:color="auto" w:fill="auto"/>
            <w:noWrap/>
            <w:vAlign w:val="center"/>
            <w:hideMark/>
          </w:tcPr>
          <w:p w14:paraId="63EC20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4,71</w:t>
            </w:r>
          </w:p>
        </w:tc>
      </w:tr>
      <w:tr w:rsidR="00BF12D5" w:rsidRPr="00BD0223" w14:paraId="6F7F3763"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2F5C9E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DIRCE REIS</w:t>
            </w:r>
          </w:p>
        </w:tc>
        <w:tc>
          <w:tcPr>
            <w:tcW w:w="1313" w:type="dxa"/>
            <w:tcBorders>
              <w:top w:val="nil"/>
              <w:left w:val="nil"/>
              <w:bottom w:val="single" w:sz="4" w:space="0" w:color="auto"/>
              <w:right w:val="single" w:sz="4" w:space="0" w:color="auto"/>
            </w:tcBorders>
            <w:shd w:val="clear" w:color="auto" w:fill="auto"/>
            <w:noWrap/>
            <w:vAlign w:val="center"/>
            <w:hideMark/>
          </w:tcPr>
          <w:p w14:paraId="7A505B7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0,20</w:t>
            </w:r>
          </w:p>
        </w:tc>
        <w:tc>
          <w:tcPr>
            <w:tcW w:w="1313" w:type="dxa"/>
            <w:tcBorders>
              <w:top w:val="nil"/>
              <w:left w:val="nil"/>
              <w:bottom w:val="single" w:sz="4" w:space="0" w:color="auto"/>
              <w:right w:val="single" w:sz="4" w:space="0" w:color="auto"/>
            </w:tcBorders>
            <w:shd w:val="clear" w:color="auto" w:fill="auto"/>
            <w:noWrap/>
            <w:vAlign w:val="center"/>
            <w:hideMark/>
          </w:tcPr>
          <w:p w14:paraId="77D0EF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0,28</w:t>
            </w:r>
          </w:p>
        </w:tc>
        <w:tc>
          <w:tcPr>
            <w:tcW w:w="1313" w:type="dxa"/>
            <w:tcBorders>
              <w:top w:val="nil"/>
              <w:left w:val="nil"/>
              <w:bottom w:val="single" w:sz="4" w:space="0" w:color="auto"/>
              <w:right w:val="single" w:sz="4" w:space="0" w:color="auto"/>
            </w:tcBorders>
            <w:shd w:val="clear" w:color="auto" w:fill="auto"/>
            <w:noWrap/>
            <w:vAlign w:val="center"/>
            <w:hideMark/>
          </w:tcPr>
          <w:p w14:paraId="258C0E6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0,22</w:t>
            </w:r>
          </w:p>
        </w:tc>
        <w:tc>
          <w:tcPr>
            <w:tcW w:w="1313" w:type="dxa"/>
            <w:tcBorders>
              <w:top w:val="nil"/>
              <w:left w:val="nil"/>
              <w:bottom w:val="single" w:sz="4" w:space="0" w:color="auto"/>
              <w:right w:val="single" w:sz="4" w:space="0" w:color="auto"/>
            </w:tcBorders>
            <w:shd w:val="clear" w:color="auto" w:fill="auto"/>
            <w:noWrap/>
            <w:vAlign w:val="center"/>
            <w:hideMark/>
          </w:tcPr>
          <w:p w14:paraId="091115D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0,21</w:t>
            </w:r>
          </w:p>
        </w:tc>
      </w:tr>
      <w:tr w:rsidR="00BF12D5" w:rsidRPr="00BD0223" w14:paraId="59AD8AC0"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E7CB4D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DOLCINOPOLIS</w:t>
            </w:r>
          </w:p>
        </w:tc>
        <w:tc>
          <w:tcPr>
            <w:tcW w:w="1313" w:type="dxa"/>
            <w:tcBorders>
              <w:top w:val="nil"/>
              <w:left w:val="nil"/>
              <w:bottom w:val="single" w:sz="4" w:space="0" w:color="auto"/>
              <w:right w:val="single" w:sz="4" w:space="0" w:color="auto"/>
            </w:tcBorders>
            <w:shd w:val="clear" w:color="auto" w:fill="auto"/>
            <w:noWrap/>
            <w:vAlign w:val="center"/>
            <w:hideMark/>
          </w:tcPr>
          <w:p w14:paraId="1132A14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0,31</w:t>
            </w:r>
          </w:p>
        </w:tc>
        <w:tc>
          <w:tcPr>
            <w:tcW w:w="1313" w:type="dxa"/>
            <w:tcBorders>
              <w:top w:val="nil"/>
              <w:left w:val="nil"/>
              <w:bottom w:val="single" w:sz="4" w:space="0" w:color="auto"/>
              <w:right w:val="single" w:sz="4" w:space="0" w:color="auto"/>
            </w:tcBorders>
            <w:shd w:val="clear" w:color="auto" w:fill="auto"/>
            <w:noWrap/>
            <w:vAlign w:val="center"/>
            <w:hideMark/>
          </w:tcPr>
          <w:p w14:paraId="5E610BE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313" w:type="dxa"/>
            <w:tcBorders>
              <w:top w:val="nil"/>
              <w:left w:val="nil"/>
              <w:bottom w:val="single" w:sz="4" w:space="0" w:color="auto"/>
              <w:right w:val="single" w:sz="4" w:space="0" w:color="auto"/>
            </w:tcBorders>
            <w:shd w:val="clear" w:color="auto" w:fill="auto"/>
            <w:noWrap/>
            <w:vAlign w:val="center"/>
            <w:hideMark/>
          </w:tcPr>
          <w:p w14:paraId="4C12C68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0,37</w:t>
            </w:r>
          </w:p>
        </w:tc>
        <w:tc>
          <w:tcPr>
            <w:tcW w:w="1313" w:type="dxa"/>
            <w:tcBorders>
              <w:top w:val="nil"/>
              <w:left w:val="nil"/>
              <w:bottom w:val="single" w:sz="4" w:space="0" w:color="auto"/>
              <w:right w:val="single" w:sz="4" w:space="0" w:color="auto"/>
            </w:tcBorders>
            <w:shd w:val="clear" w:color="auto" w:fill="auto"/>
            <w:noWrap/>
            <w:vAlign w:val="center"/>
            <w:hideMark/>
          </w:tcPr>
          <w:p w14:paraId="0758186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0,47</w:t>
            </w:r>
          </w:p>
        </w:tc>
      </w:tr>
      <w:tr w:rsidR="00BF12D5" w:rsidRPr="00BD0223" w14:paraId="7BC52331"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1B0C5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DUMONT</w:t>
            </w:r>
          </w:p>
        </w:tc>
        <w:tc>
          <w:tcPr>
            <w:tcW w:w="1313" w:type="dxa"/>
            <w:tcBorders>
              <w:top w:val="nil"/>
              <w:left w:val="nil"/>
              <w:bottom w:val="single" w:sz="4" w:space="0" w:color="auto"/>
              <w:right w:val="single" w:sz="4" w:space="0" w:color="auto"/>
            </w:tcBorders>
            <w:shd w:val="clear" w:color="auto" w:fill="auto"/>
            <w:noWrap/>
            <w:vAlign w:val="center"/>
            <w:hideMark/>
          </w:tcPr>
          <w:p w14:paraId="258F491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1,22</w:t>
            </w:r>
          </w:p>
        </w:tc>
        <w:tc>
          <w:tcPr>
            <w:tcW w:w="1313" w:type="dxa"/>
            <w:tcBorders>
              <w:top w:val="nil"/>
              <w:left w:val="nil"/>
              <w:bottom w:val="single" w:sz="4" w:space="0" w:color="auto"/>
              <w:right w:val="single" w:sz="4" w:space="0" w:color="auto"/>
            </w:tcBorders>
            <w:shd w:val="clear" w:color="auto" w:fill="auto"/>
            <w:noWrap/>
            <w:vAlign w:val="center"/>
            <w:hideMark/>
          </w:tcPr>
          <w:p w14:paraId="04F2B5F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1,60</w:t>
            </w:r>
          </w:p>
        </w:tc>
        <w:tc>
          <w:tcPr>
            <w:tcW w:w="1313" w:type="dxa"/>
            <w:tcBorders>
              <w:top w:val="nil"/>
              <w:left w:val="nil"/>
              <w:bottom w:val="single" w:sz="4" w:space="0" w:color="auto"/>
              <w:right w:val="single" w:sz="4" w:space="0" w:color="auto"/>
            </w:tcBorders>
            <w:shd w:val="clear" w:color="auto" w:fill="auto"/>
            <w:noWrap/>
            <w:vAlign w:val="center"/>
            <w:hideMark/>
          </w:tcPr>
          <w:p w14:paraId="6E3BA5A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1,66</w:t>
            </w:r>
          </w:p>
        </w:tc>
        <w:tc>
          <w:tcPr>
            <w:tcW w:w="1313" w:type="dxa"/>
            <w:tcBorders>
              <w:top w:val="nil"/>
              <w:left w:val="nil"/>
              <w:bottom w:val="single" w:sz="4" w:space="0" w:color="auto"/>
              <w:right w:val="single" w:sz="4" w:space="0" w:color="auto"/>
            </w:tcBorders>
            <w:shd w:val="clear" w:color="auto" w:fill="auto"/>
            <w:noWrap/>
            <w:vAlign w:val="center"/>
            <w:hideMark/>
          </w:tcPr>
          <w:p w14:paraId="01502C6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1,70</w:t>
            </w:r>
          </w:p>
        </w:tc>
      </w:tr>
      <w:tr w:rsidR="00BF12D5" w:rsidRPr="00BD0223" w14:paraId="606923E3"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4E4079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ELISIARIO</w:t>
            </w:r>
          </w:p>
        </w:tc>
        <w:tc>
          <w:tcPr>
            <w:tcW w:w="1313" w:type="dxa"/>
            <w:tcBorders>
              <w:top w:val="nil"/>
              <w:left w:val="nil"/>
              <w:bottom w:val="single" w:sz="4" w:space="0" w:color="auto"/>
              <w:right w:val="single" w:sz="4" w:space="0" w:color="auto"/>
            </w:tcBorders>
            <w:shd w:val="clear" w:color="auto" w:fill="auto"/>
            <w:noWrap/>
            <w:vAlign w:val="center"/>
            <w:hideMark/>
          </w:tcPr>
          <w:p w14:paraId="4B03E36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1,39</w:t>
            </w:r>
          </w:p>
        </w:tc>
        <w:tc>
          <w:tcPr>
            <w:tcW w:w="1313" w:type="dxa"/>
            <w:tcBorders>
              <w:top w:val="nil"/>
              <w:left w:val="nil"/>
              <w:bottom w:val="single" w:sz="4" w:space="0" w:color="auto"/>
              <w:right w:val="single" w:sz="4" w:space="0" w:color="auto"/>
            </w:tcBorders>
            <w:shd w:val="clear" w:color="auto" w:fill="auto"/>
            <w:noWrap/>
            <w:vAlign w:val="center"/>
            <w:hideMark/>
          </w:tcPr>
          <w:p w14:paraId="6F36CA9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1,00</w:t>
            </w:r>
          </w:p>
        </w:tc>
        <w:tc>
          <w:tcPr>
            <w:tcW w:w="1313" w:type="dxa"/>
            <w:tcBorders>
              <w:top w:val="nil"/>
              <w:left w:val="nil"/>
              <w:bottom w:val="single" w:sz="4" w:space="0" w:color="auto"/>
              <w:right w:val="single" w:sz="4" w:space="0" w:color="auto"/>
            </w:tcBorders>
            <w:shd w:val="clear" w:color="auto" w:fill="auto"/>
            <w:noWrap/>
            <w:vAlign w:val="center"/>
            <w:hideMark/>
          </w:tcPr>
          <w:p w14:paraId="2405FDB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2,08</w:t>
            </w:r>
          </w:p>
        </w:tc>
        <w:tc>
          <w:tcPr>
            <w:tcW w:w="1313" w:type="dxa"/>
            <w:tcBorders>
              <w:top w:val="nil"/>
              <w:left w:val="nil"/>
              <w:bottom w:val="single" w:sz="4" w:space="0" w:color="auto"/>
              <w:right w:val="single" w:sz="4" w:space="0" w:color="auto"/>
            </w:tcBorders>
            <w:shd w:val="clear" w:color="auto" w:fill="auto"/>
            <w:noWrap/>
            <w:vAlign w:val="center"/>
            <w:hideMark/>
          </w:tcPr>
          <w:p w14:paraId="14E2EB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1,78</w:t>
            </w:r>
          </w:p>
        </w:tc>
      </w:tr>
      <w:tr w:rsidR="00BF12D5" w:rsidRPr="00BD0223" w14:paraId="3B9406F5"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3C92A9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EMBAUBA</w:t>
            </w:r>
          </w:p>
        </w:tc>
        <w:tc>
          <w:tcPr>
            <w:tcW w:w="1313" w:type="dxa"/>
            <w:tcBorders>
              <w:top w:val="nil"/>
              <w:left w:val="nil"/>
              <w:bottom w:val="single" w:sz="4" w:space="0" w:color="auto"/>
              <w:right w:val="single" w:sz="4" w:space="0" w:color="auto"/>
            </w:tcBorders>
            <w:shd w:val="clear" w:color="auto" w:fill="auto"/>
            <w:noWrap/>
            <w:vAlign w:val="center"/>
            <w:hideMark/>
          </w:tcPr>
          <w:p w14:paraId="617EC01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0,47</w:t>
            </w:r>
          </w:p>
        </w:tc>
        <w:tc>
          <w:tcPr>
            <w:tcW w:w="1313" w:type="dxa"/>
            <w:tcBorders>
              <w:top w:val="nil"/>
              <w:left w:val="nil"/>
              <w:bottom w:val="single" w:sz="4" w:space="0" w:color="auto"/>
              <w:right w:val="single" w:sz="4" w:space="0" w:color="auto"/>
            </w:tcBorders>
            <w:shd w:val="clear" w:color="auto" w:fill="auto"/>
            <w:noWrap/>
            <w:vAlign w:val="center"/>
            <w:hideMark/>
          </w:tcPr>
          <w:p w14:paraId="569C0B9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0,88</w:t>
            </w:r>
          </w:p>
        </w:tc>
        <w:tc>
          <w:tcPr>
            <w:tcW w:w="1313" w:type="dxa"/>
            <w:tcBorders>
              <w:top w:val="nil"/>
              <w:left w:val="nil"/>
              <w:bottom w:val="single" w:sz="4" w:space="0" w:color="auto"/>
              <w:right w:val="single" w:sz="4" w:space="0" w:color="auto"/>
            </w:tcBorders>
            <w:shd w:val="clear" w:color="auto" w:fill="auto"/>
            <w:noWrap/>
            <w:vAlign w:val="center"/>
            <w:hideMark/>
          </w:tcPr>
          <w:p w14:paraId="3B75ACD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1,35</w:t>
            </w:r>
          </w:p>
        </w:tc>
        <w:tc>
          <w:tcPr>
            <w:tcW w:w="1313" w:type="dxa"/>
            <w:tcBorders>
              <w:top w:val="nil"/>
              <w:left w:val="nil"/>
              <w:bottom w:val="single" w:sz="4" w:space="0" w:color="auto"/>
              <w:right w:val="single" w:sz="4" w:space="0" w:color="auto"/>
            </w:tcBorders>
            <w:shd w:val="clear" w:color="auto" w:fill="auto"/>
            <w:noWrap/>
            <w:vAlign w:val="center"/>
            <w:hideMark/>
          </w:tcPr>
          <w:p w14:paraId="2C75BB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1,71</w:t>
            </w:r>
          </w:p>
        </w:tc>
      </w:tr>
      <w:tr w:rsidR="00BF12D5" w:rsidRPr="00BD0223" w14:paraId="4E559549"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38DBA69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ESTRELA D'OESTE</w:t>
            </w:r>
          </w:p>
        </w:tc>
        <w:tc>
          <w:tcPr>
            <w:tcW w:w="1313" w:type="dxa"/>
            <w:tcBorders>
              <w:top w:val="nil"/>
              <w:left w:val="nil"/>
              <w:bottom w:val="single" w:sz="4" w:space="0" w:color="auto"/>
              <w:right w:val="single" w:sz="4" w:space="0" w:color="auto"/>
            </w:tcBorders>
            <w:shd w:val="clear" w:color="auto" w:fill="auto"/>
            <w:noWrap/>
            <w:vAlign w:val="center"/>
            <w:hideMark/>
          </w:tcPr>
          <w:p w14:paraId="5D91E00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0,19</w:t>
            </w:r>
          </w:p>
        </w:tc>
        <w:tc>
          <w:tcPr>
            <w:tcW w:w="1313" w:type="dxa"/>
            <w:tcBorders>
              <w:top w:val="nil"/>
              <w:left w:val="nil"/>
              <w:bottom w:val="single" w:sz="4" w:space="0" w:color="auto"/>
              <w:right w:val="single" w:sz="4" w:space="0" w:color="auto"/>
            </w:tcBorders>
            <w:shd w:val="clear" w:color="auto" w:fill="auto"/>
            <w:noWrap/>
            <w:vAlign w:val="center"/>
            <w:hideMark/>
          </w:tcPr>
          <w:p w14:paraId="404CD7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0,08</w:t>
            </w:r>
          </w:p>
        </w:tc>
        <w:tc>
          <w:tcPr>
            <w:tcW w:w="1313" w:type="dxa"/>
            <w:tcBorders>
              <w:top w:val="nil"/>
              <w:left w:val="nil"/>
              <w:bottom w:val="single" w:sz="4" w:space="0" w:color="auto"/>
              <w:right w:val="single" w:sz="4" w:space="0" w:color="auto"/>
            </w:tcBorders>
            <w:shd w:val="clear" w:color="auto" w:fill="auto"/>
            <w:noWrap/>
            <w:vAlign w:val="center"/>
            <w:hideMark/>
          </w:tcPr>
          <w:p w14:paraId="5F03341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4,93</w:t>
            </w:r>
          </w:p>
        </w:tc>
        <w:tc>
          <w:tcPr>
            <w:tcW w:w="1313" w:type="dxa"/>
            <w:tcBorders>
              <w:top w:val="nil"/>
              <w:left w:val="nil"/>
              <w:bottom w:val="single" w:sz="4" w:space="0" w:color="auto"/>
              <w:right w:val="single" w:sz="4" w:space="0" w:color="auto"/>
            </w:tcBorders>
            <w:shd w:val="clear" w:color="auto" w:fill="auto"/>
            <w:noWrap/>
            <w:vAlign w:val="center"/>
            <w:hideMark/>
          </w:tcPr>
          <w:p w14:paraId="18F3717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3,59</w:t>
            </w:r>
          </w:p>
        </w:tc>
      </w:tr>
      <w:tr w:rsidR="00BF12D5" w:rsidRPr="00BD0223" w14:paraId="043E05DA"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44CF94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FERNANDO PRESTES</w:t>
            </w:r>
          </w:p>
        </w:tc>
        <w:tc>
          <w:tcPr>
            <w:tcW w:w="1313" w:type="dxa"/>
            <w:tcBorders>
              <w:top w:val="nil"/>
              <w:left w:val="nil"/>
              <w:bottom w:val="single" w:sz="4" w:space="0" w:color="auto"/>
              <w:right w:val="single" w:sz="4" w:space="0" w:color="auto"/>
            </w:tcBorders>
            <w:shd w:val="clear" w:color="auto" w:fill="auto"/>
            <w:noWrap/>
            <w:vAlign w:val="center"/>
            <w:hideMark/>
          </w:tcPr>
          <w:p w14:paraId="5804A20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2,53</w:t>
            </w:r>
          </w:p>
        </w:tc>
        <w:tc>
          <w:tcPr>
            <w:tcW w:w="1313" w:type="dxa"/>
            <w:tcBorders>
              <w:top w:val="nil"/>
              <w:left w:val="nil"/>
              <w:bottom w:val="single" w:sz="4" w:space="0" w:color="auto"/>
              <w:right w:val="single" w:sz="4" w:space="0" w:color="auto"/>
            </w:tcBorders>
            <w:shd w:val="clear" w:color="auto" w:fill="auto"/>
            <w:noWrap/>
            <w:vAlign w:val="center"/>
            <w:hideMark/>
          </w:tcPr>
          <w:p w14:paraId="44C933C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2,54</w:t>
            </w:r>
          </w:p>
        </w:tc>
        <w:tc>
          <w:tcPr>
            <w:tcW w:w="1313" w:type="dxa"/>
            <w:tcBorders>
              <w:top w:val="nil"/>
              <w:left w:val="nil"/>
              <w:bottom w:val="single" w:sz="4" w:space="0" w:color="auto"/>
              <w:right w:val="single" w:sz="4" w:space="0" w:color="auto"/>
            </w:tcBorders>
            <w:shd w:val="clear" w:color="auto" w:fill="auto"/>
            <w:noWrap/>
            <w:vAlign w:val="center"/>
            <w:hideMark/>
          </w:tcPr>
          <w:p w14:paraId="75D3FA1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2,68</w:t>
            </w:r>
          </w:p>
        </w:tc>
        <w:tc>
          <w:tcPr>
            <w:tcW w:w="1313" w:type="dxa"/>
            <w:tcBorders>
              <w:top w:val="nil"/>
              <w:left w:val="nil"/>
              <w:bottom w:val="single" w:sz="4" w:space="0" w:color="auto"/>
              <w:right w:val="single" w:sz="4" w:space="0" w:color="auto"/>
            </w:tcBorders>
            <w:shd w:val="clear" w:color="auto" w:fill="auto"/>
            <w:noWrap/>
            <w:vAlign w:val="center"/>
            <w:hideMark/>
          </w:tcPr>
          <w:p w14:paraId="602EF3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2,44</w:t>
            </w:r>
          </w:p>
        </w:tc>
      </w:tr>
      <w:tr w:rsidR="00BF12D5" w:rsidRPr="00BD0223" w14:paraId="076620B0"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A7340D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FERNANDOPOLIS</w:t>
            </w:r>
          </w:p>
        </w:tc>
        <w:tc>
          <w:tcPr>
            <w:tcW w:w="1313" w:type="dxa"/>
            <w:tcBorders>
              <w:top w:val="nil"/>
              <w:left w:val="nil"/>
              <w:bottom w:val="single" w:sz="4" w:space="0" w:color="auto"/>
              <w:right w:val="single" w:sz="4" w:space="0" w:color="auto"/>
            </w:tcBorders>
            <w:shd w:val="clear" w:color="auto" w:fill="auto"/>
            <w:noWrap/>
            <w:vAlign w:val="center"/>
            <w:hideMark/>
          </w:tcPr>
          <w:p w14:paraId="128AED8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27,04</w:t>
            </w:r>
          </w:p>
        </w:tc>
        <w:tc>
          <w:tcPr>
            <w:tcW w:w="1313" w:type="dxa"/>
            <w:tcBorders>
              <w:top w:val="nil"/>
              <w:left w:val="nil"/>
              <w:bottom w:val="single" w:sz="4" w:space="0" w:color="auto"/>
              <w:right w:val="single" w:sz="4" w:space="0" w:color="auto"/>
            </w:tcBorders>
            <w:shd w:val="clear" w:color="auto" w:fill="auto"/>
            <w:noWrap/>
            <w:vAlign w:val="center"/>
            <w:hideMark/>
          </w:tcPr>
          <w:p w14:paraId="76C7AFE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29,84</w:t>
            </w:r>
          </w:p>
        </w:tc>
        <w:tc>
          <w:tcPr>
            <w:tcW w:w="1313" w:type="dxa"/>
            <w:tcBorders>
              <w:top w:val="nil"/>
              <w:left w:val="nil"/>
              <w:bottom w:val="single" w:sz="4" w:space="0" w:color="auto"/>
              <w:right w:val="single" w:sz="4" w:space="0" w:color="auto"/>
            </w:tcBorders>
            <w:shd w:val="clear" w:color="auto" w:fill="auto"/>
            <w:noWrap/>
            <w:vAlign w:val="center"/>
            <w:hideMark/>
          </w:tcPr>
          <w:p w14:paraId="65B3486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32,95</w:t>
            </w:r>
          </w:p>
        </w:tc>
        <w:tc>
          <w:tcPr>
            <w:tcW w:w="1313" w:type="dxa"/>
            <w:tcBorders>
              <w:top w:val="nil"/>
              <w:left w:val="nil"/>
              <w:bottom w:val="single" w:sz="4" w:space="0" w:color="auto"/>
              <w:right w:val="single" w:sz="4" w:space="0" w:color="auto"/>
            </w:tcBorders>
            <w:shd w:val="clear" w:color="auto" w:fill="auto"/>
            <w:noWrap/>
            <w:vAlign w:val="center"/>
            <w:hideMark/>
          </w:tcPr>
          <w:p w14:paraId="29ED15B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30,66</w:t>
            </w:r>
          </w:p>
        </w:tc>
      </w:tr>
      <w:tr w:rsidR="00BF12D5" w:rsidRPr="00BD0223" w14:paraId="7D230631"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400BD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lastRenderedPageBreak/>
              <w:t>FLOREAL</w:t>
            </w:r>
          </w:p>
        </w:tc>
        <w:tc>
          <w:tcPr>
            <w:tcW w:w="1313" w:type="dxa"/>
            <w:tcBorders>
              <w:top w:val="nil"/>
              <w:left w:val="nil"/>
              <w:bottom w:val="single" w:sz="4" w:space="0" w:color="auto"/>
              <w:right w:val="single" w:sz="4" w:space="0" w:color="auto"/>
            </w:tcBorders>
            <w:shd w:val="clear" w:color="auto" w:fill="auto"/>
            <w:noWrap/>
            <w:vAlign w:val="center"/>
            <w:hideMark/>
          </w:tcPr>
          <w:p w14:paraId="5B6B2A1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0,73</w:t>
            </w:r>
          </w:p>
        </w:tc>
        <w:tc>
          <w:tcPr>
            <w:tcW w:w="1313" w:type="dxa"/>
            <w:tcBorders>
              <w:top w:val="nil"/>
              <w:left w:val="nil"/>
              <w:bottom w:val="single" w:sz="4" w:space="0" w:color="auto"/>
              <w:right w:val="single" w:sz="4" w:space="0" w:color="auto"/>
            </w:tcBorders>
            <w:shd w:val="clear" w:color="auto" w:fill="auto"/>
            <w:noWrap/>
            <w:vAlign w:val="center"/>
            <w:hideMark/>
          </w:tcPr>
          <w:p w14:paraId="393B46D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0,69</w:t>
            </w:r>
          </w:p>
        </w:tc>
        <w:tc>
          <w:tcPr>
            <w:tcW w:w="1313" w:type="dxa"/>
            <w:tcBorders>
              <w:top w:val="nil"/>
              <w:left w:val="nil"/>
              <w:bottom w:val="single" w:sz="4" w:space="0" w:color="auto"/>
              <w:right w:val="single" w:sz="4" w:space="0" w:color="auto"/>
            </w:tcBorders>
            <w:shd w:val="clear" w:color="auto" w:fill="auto"/>
            <w:noWrap/>
            <w:vAlign w:val="center"/>
            <w:hideMark/>
          </w:tcPr>
          <w:p w14:paraId="3218A7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0,99</w:t>
            </w:r>
          </w:p>
        </w:tc>
        <w:tc>
          <w:tcPr>
            <w:tcW w:w="1313" w:type="dxa"/>
            <w:tcBorders>
              <w:top w:val="nil"/>
              <w:left w:val="nil"/>
              <w:bottom w:val="single" w:sz="4" w:space="0" w:color="auto"/>
              <w:right w:val="single" w:sz="4" w:space="0" w:color="auto"/>
            </w:tcBorders>
            <w:shd w:val="clear" w:color="auto" w:fill="auto"/>
            <w:noWrap/>
            <w:vAlign w:val="center"/>
            <w:hideMark/>
          </w:tcPr>
          <w:p w14:paraId="76D24EB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1,01</w:t>
            </w:r>
          </w:p>
        </w:tc>
      </w:tr>
      <w:tr w:rsidR="00BF12D5" w:rsidRPr="00BD0223" w14:paraId="71FA5DDE"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3B170B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FRANCA</w:t>
            </w:r>
          </w:p>
        </w:tc>
        <w:tc>
          <w:tcPr>
            <w:tcW w:w="1313" w:type="dxa"/>
            <w:tcBorders>
              <w:top w:val="nil"/>
              <w:left w:val="nil"/>
              <w:bottom w:val="single" w:sz="4" w:space="0" w:color="auto"/>
              <w:right w:val="single" w:sz="4" w:space="0" w:color="auto"/>
            </w:tcBorders>
            <w:shd w:val="clear" w:color="auto" w:fill="auto"/>
            <w:noWrap/>
            <w:vAlign w:val="center"/>
            <w:hideMark/>
          </w:tcPr>
          <w:p w14:paraId="093E4A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38,27</w:t>
            </w:r>
          </w:p>
        </w:tc>
        <w:tc>
          <w:tcPr>
            <w:tcW w:w="1313" w:type="dxa"/>
            <w:tcBorders>
              <w:top w:val="nil"/>
              <w:left w:val="nil"/>
              <w:bottom w:val="single" w:sz="4" w:space="0" w:color="auto"/>
              <w:right w:val="single" w:sz="4" w:space="0" w:color="auto"/>
            </w:tcBorders>
            <w:shd w:val="clear" w:color="auto" w:fill="auto"/>
            <w:noWrap/>
            <w:vAlign w:val="center"/>
            <w:hideMark/>
          </w:tcPr>
          <w:p w14:paraId="35C9E79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39,41</w:t>
            </w:r>
          </w:p>
        </w:tc>
        <w:tc>
          <w:tcPr>
            <w:tcW w:w="1313" w:type="dxa"/>
            <w:tcBorders>
              <w:top w:val="nil"/>
              <w:left w:val="nil"/>
              <w:bottom w:val="single" w:sz="4" w:space="0" w:color="auto"/>
              <w:right w:val="single" w:sz="4" w:space="0" w:color="auto"/>
            </w:tcBorders>
            <w:shd w:val="clear" w:color="auto" w:fill="auto"/>
            <w:noWrap/>
            <w:vAlign w:val="center"/>
            <w:hideMark/>
          </w:tcPr>
          <w:p w14:paraId="1DC611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43,56</w:t>
            </w:r>
          </w:p>
        </w:tc>
        <w:tc>
          <w:tcPr>
            <w:tcW w:w="1313" w:type="dxa"/>
            <w:tcBorders>
              <w:top w:val="nil"/>
              <w:left w:val="nil"/>
              <w:bottom w:val="single" w:sz="4" w:space="0" w:color="auto"/>
              <w:right w:val="single" w:sz="4" w:space="0" w:color="auto"/>
            </w:tcBorders>
            <w:shd w:val="clear" w:color="auto" w:fill="auto"/>
            <w:noWrap/>
            <w:vAlign w:val="center"/>
            <w:hideMark/>
          </w:tcPr>
          <w:p w14:paraId="52AA7F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46,19</w:t>
            </w:r>
          </w:p>
        </w:tc>
      </w:tr>
      <w:tr w:rsidR="00BF12D5" w:rsidRPr="00BD0223" w14:paraId="1E0F0623"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2CF0056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GASTAO VIDIGAL</w:t>
            </w:r>
          </w:p>
        </w:tc>
        <w:tc>
          <w:tcPr>
            <w:tcW w:w="1313" w:type="dxa"/>
            <w:tcBorders>
              <w:top w:val="nil"/>
              <w:left w:val="nil"/>
              <w:bottom w:val="single" w:sz="4" w:space="0" w:color="auto"/>
              <w:right w:val="single" w:sz="4" w:space="0" w:color="auto"/>
            </w:tcBorders>
            <w:shd w:val="clear" w:color="auto" w:fill="auto"/>
            <w:noWrap/>
            <w:vAlign w:val="center"/>
            <w:hideMark/>
          </w:tcPr>
          <w:p w14:paraId="0F0B64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0,44</w:t>
            </w:r>
          </w:p>
        </w:tc>
        <w:tc>
          <w:tcPr>
            <w:tcW w:w="1313" w:type="dxa"/>
            <w:tcBorders>
              <w:top w:val="nil"/>
              <w:left w:val="nil"/>
              <w:bottom w:val="single" w:sz="4" w:space="0" w:color="auto"/>
              <w:right w:val="single" w:sz="4" w:space="0" w:color="auto"/>
            </w:tcBorders>
            <w:shd w:val="clear" w:color="auto" w:fill="auto"/>
            <w:noWrap/>
            <w:vAlign w:val="center"/>
            <w:hideMark/>
          </w:tcPr>
          <w:p w14:paraId="4320612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0,55</w:t>
            </w:r>
          </w:p>
        </w:tc>
        <w:tc>
          <w:tcPr>
            <w:tcW w:w="1313" w:type="dxa"/>
            <w:tcBorders>
              <w:top w:val="nil"/>
              <w:left w:val="nil"/>
              <w:bottom w:val="single" w:sz="4" w:space="0" w:color="auto"/>
              <w:right w:val="single" w:sz="4" w:space="0" w:color="auto"/>
            </w:tcBorders>
            <w:shd w:val="clear" w:color="auto" w:fill="auto"/>
            <w:noWrap/>
            <w:vAlign w:val="center"/>
            <w:hideMark/>
          </w:tcPr>
          <w:p w14:paraId="4C3B3D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0,43</w:t>
            </w:r>
          </w:p>
        </w:tc>
        <w:tc>
          <w:tcPr>
            <w:tcW w:w="1313" w:type="dxa"/>
            <w:tcBorders>
              <w:top w:val="nil"/>
              <w:left w:val="nil"/>
              <w:bottom w:val="single" w:sz="4" w:space="0" w:color="auto"/>
              <w:right w:val="single" w:sz="4" w:space="0" w:color="auto"/>
            </w:tcBorders>
            <w:shd w:val="clear" w:color="auto" w:fill="auto"/>
            <w:noWrap/>
            <w:vAlign w:val="center"/>
            <w:hideMark/>
          </w:tcPr>
          <w:p w14:paraId="17BBE36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0,37</w:t>
            </w:r>
          </w:p>
        </w:tc>
      </w:tr>
      <w:tr w:rsidR="00BF12D5" w:rsidRPr="00BD0223" w14:paraId="1C83EF06"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16B36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GENERAL SALGADO</w:t>
            </w:r>
          </w:p>
        </w:tc>
        <w:tc>
          <w:tcPr>
            <w:tcW w:w="1313" w:type="dxa"/>
            <w:tcBorders>
              <w:top w:val="nil"/>
              <w:left w:val="nil"/>
              <w:bottom w:val="single" w:sz="4" w:space="0" w:color="auto"/>
              <w:right w:val="single" w:sz="4" w:space="0" w:color="auto"/>
            </w:tcBorders>
            <w:shd w:val="clear" w:color="auto" w:fill="auto"/>
            <w:noWrap/>
            <w:vAlign w:val="center"/>
            <w:hideMark/>
          </w:tcPr>
          <w:p w14:paraId="4925C2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8,35</w:t>
            </w:r>
          </w:p>
        </w:tc>
        <w:tc>
          <w:tcPr>
            <w:tcW w:w="1313" w:type="dxa"/>
            <w:tcBorders>
              <w:top w:val="nil"/>
              <w:left w:val="nil"/>
              <w:bottom w:val="single" w:sz="4" w:space="0" w:color="auto"/>
              <w:right w:val="single" w:sz="4" w:space="0" w:color="auto"/>
            </w:tcBorders>
            <w:shd w:val="clear" w:color="auto" w:fill="auto"/>
            <w:noWrap/>
            <w:vAlign w:val="center"/>
            <w:hideMark/>
          </w:tcPr>
          <w:p w14:paraId="489B553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6,33</w:t>
            </w:r>
          </w:p>
        </w:tc>
        <w:tc>
          <w:tcPr>
            <w:tcW w:w="1313" w:type="dxa"/>
            <w:tcBorders>
              <w:top w:val="nil"/>
              <w:left w:val="nil"/>
              <w:bottom w:val="single" w:sz="4" w:space="0" w:color="auto"/>
              <w:right w:val="single" w:sz="4" w:space="0" w:color="auto"/>
            </w:tcBorders>
            <w:shd w:val="clear" w:color="auto" w:fill="auto"/>
            <w:noWrap/>
            <w:vAlign w:val="center"/>
            <w:hideMark/>
          </w:tcPr>
          <w:p w14:paraId="0A21120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7,99</w:t>
            </w:r>
          </w:p>
        </w:tc>
        <w:tc>
          <w:tcPr>
            <w:tcW w:w="1313" w:type="dxa"/>
            <w:tcBorders>
              <w:top w:val="nil"/>
              <w:left w:val="nil"/>
              <w:bottom w:val="single" w:sz="4" w:space="0" w:color="auto"/>
              <w:right w:val="single" w:sz="4" w:space="0" w:color="auto"/>
            </w:tcBorders>
            <w:shd w:val="clear" w:color="auto" w:fill="auto"/>
            <w:noWrap/>
            <w:vAlign w:val="center"/>
            <w:hideMark/>
          </w:tcPr>
          <w:p w14:paraId="31BC368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7,35</w:t>
            </w:r>
          </w:p>
        </w:tc>
      </w:tr>
      <w:tr w:rsidR="00BF12D5" w:rsidRPr="00BD0223" w14:paraId="07AAEC71"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C756BD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GUAIRA</w:t>
            </w:r>
          </w:p>
        </w:tc>
        <w:tc>
          <w:tcPr>
            <w:tcW w:w="1313" w:type="dxa"/>
            <w:tcBorders>
              <w:top w:val="nil"/>
              <w:left w:val="nil"/>
              <w:bottom w:val="single" w:sz="4" w:space="0" w:color="auto"/>
              <w:right w:val="single" w:sz="4" w:space="0" w:color="auto"/>
            </w:tcBorders>
            <w:shd w:val="clear" w:color="auto" w:fill="auto"/>
            <w:noWrap/>
            <w:vAlign w:val="center"/>
            <w:hideMark/>
          </w:tcPr>
          <w:p w14:paraId="0FB69C2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74,20</w:t>
            </w:r>
          </w:p>
        </w:tc>
        <w:tc>
          <w:tcPr>
            <w:tcW w:w="1313" w:type="dxa"/>
            <w:tcBorders>
              <w:top w:val="nil"/>
              <w:left w:val="nil"/>
              <w:bottom w:val="single" w:sz="4" w:space="0" w:color="auto"/>
              <w:right w:val="single" w:sz="4" w:space="0" w:color="auto"/>
            </w:tcBorders>
            <w:shd w:val="clear" w:color="auto" w:fill="auto"/>
            <w:noWrap/>
            <w:vAlign w:val="center"/>
            <w:hideMark/>
          </w:tcPr>
          <w:p w14:paraId="6B9057F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79,53</w:t>
            </w:r>
          </w:p>
        </w:tc>
        <w:tc>
          <w:tcPr>
            <w:tcW w:w="1313" w:type="dxa"/>
            <w:tcBorders>
              <w:top w:val="nil"/>
              <w:left w:val="nil"/>
              <w:bottom w:val="single" w:sz="4" w:space="0" w:color="auto"/>
              <w:right w:val="single" w:sz="4" w:space="0" w:color="auto"/>
            </w:tcBorders>
            <w:shd w:val="clear" w:color="auto" w:fill="auto"/>
            <w:noWrap/>
            <w:vAlign w:val="center"/>
            <w:hideMark/>
          </w:tcPr>
          <w:p w14:paraId="1B8C28A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64,32</w:t>
            </w:r>
          </w:p>
        </w:tc>
        <w:tc>
          <w:tcPr>
            <w:tcW w:w="1313" w:type="dxa"/>
            <w:tcBorders>
              <w:top w:val="nil"/>
              <w:left w:val="nil"/>
              <w:bottom w:val="single" w:sz="4" w:space="0" w:color="auto"/>
              <w:right w:val="single" w:sz="4" w:space="0" w:color="auto"/>
            </w:tcBorders>
            <w:shd w:val="clear" w:color="auto" w:fill="auto"/>
            <w:noWrap/>
            <w:vAlign w:val="center"/>
            <w:hideMark/>
          </w:tcPr>
          <w:p w14:paraId="6B005AD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60,79</w:t>
            </w:r>
          </w:p>
        </w:tc>
      </w:tr>
      <w:tr w:rsidR="00BF12D5" w:rsidRPr="00BD0223" w14:paraId="7713EE10"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33D4C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GUAPIACU</w:t>
            </w:r>
          </w:p>
        </w:tc>
        <w:tc>
          <w:tcPr>
            <w:tcW w:w="1313" w:type="dxa"/>
            <w:tcBorders>
              <w:top w:val="nil"/>
              <w:left w:val="nil"/>
              <w:bottom w:val="single" w:sz="4" w:space="0" w:color="auto"/>
              <w:right w:val="single" w:sz="4" w:space="0" w:color="auto"/>
            </w:tcBorders>
            <w:shd w:val="clear" w:color="auto" w:fill="auto"/>
            <w:noWrap/>
            <w:vAlign w:val="center"/>
            <w:hideMark/>
          </w:tcPr>
          <w:p w14:paraId="21B9D13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2,15</w:t>
            </w:r>
          </w:p>
        </w:tc>
        <w:tc>
          <w:tcPr>
            <w:tcW w:w="1313" w:type="dxa"/>
            <w:tcBorders>
              <w:top w:val="nil"/>
              <w:left w:val="nil"/>
              <w:bottom w:val="single" w:sz="4" w:space="0" w:color="auto"/>
              <w:right w:val="single" w:sz="4" w:space="0" w:color="auto"/>
            </w:tcBorders>
            <w:shd w:val="clear" w:color="auto" w:fill="auto"/>
            <w:noWrap/>
            <w:vAlign w:val="center"/>
            <w:hideMark/>
          </w:tcPr>
          <w:p w14:paraId="709CD1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2,22</w:t>
            </w:r>
          </w:p>
        </w:tc>
        <w:tc>
          <w:tcPr>
            <w:tcW w:w="1313" w:type="dxa"/>
            <w:tcBorders>
              <w:top w:val="nil"/>
              <w:left w:val="nil"/>
              <w:bottom w:val="single" w:sz="4" w:space="0" w:color="auto"/>
              <w:right w:val="single" w:sz="4" w:space="0" w:color="auto"/>
            </w:tcBorders>
            <w:shd w:val="clear" w:color="auto" w:fill="auto"/>
            <w:noWrap/>
            <w:vAlign w:val="center"/>
            <w:hideMark/>
          </w:tcPr>
          <w:p w14:paraId="4B249C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1,83</w:t>
            </w:r>
          </w:p>
        </w:tc>
        <w:tc>
          <w:tcPr>
            <w:tcW w:w="1313" w:type="dxa"/>
            <w:tcBorders>
              <w:top w:val="nil"/>
              <w:left w:val="nil"/>
              <w:bottom w:val="single" w:sz="4" w:space="0" w:color="auto"/>
              <w:right w:val="single" w:sz="4" w:space="0" w:color="auto"/>
            </w:tcBorders>
            <w:shd w:val="clear" w:color="auto" w:fill="auto"/>
            <w:noWrap/>
            <w:vAlign w:val="center"/>
            <w:hideMark/>
          </w:tcPr>
          <w:p w14:paraId="569040D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1,63</w:t>
            </w:r>
          </w:p>
        </w:tc>
      </w:tr>
      <w:tr w:rsidR="00BF12D5" w:rsidRPr="00BD0223" w14:paraId="5DB1F25B"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2A0CEF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GUARA</w:t>
            </w:r>
          </w:p>
        </w:tc>
        <w:tc>
          <w:tcPr>
            <w:tcW w:w="1313" w:type="dxa"/>
            <w:tcBorders>
              <w:top w:val="nil"/>
              <w:left w:val="nil"/>
              <w:bottom w:val="single" w:sz="4" w:space="0" w:color="auto"/>
              <w:right w:val="single" w:sz="4" w:space="0" w:color="auto"/>
            </w:tcBorders>
            <w:shd w:val="clear" w:color="auto" w:fill="auto"/>
            <w:noWrap/>
            <w:vAlign w:val="center"/>
            <w:hideMark/>
          </w:tcPr>
          <w:p w14:paraId="7E312DB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6,63</w:t>
            </w:r>
          </w:p>
        </w:tc>
        <w:tc>
          <w:tcPr>
            <w:tcW w:w="1313" w:type="dxa"/>
            <w:tcBorders>
              <w:top w:val="nil"/>
              <w:left w:val="nil"/>
              <w:bottom w:val="single" w:sz="4" w:space="0" w:color="auto"/>
              <w:right w:val="single" w:sz="4" w:space="0" w:color="auto"/>
            </w:tcBorders>
            <w:shd w:val="clear" w:color="auto" w:fill="auto"/>
            <w:noWrap/>
            <w:vAlign w:val="center"/>
            <w:hideMark/>
          </w:tcPr>
          <w:p w14:paraId="3FB326E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8,87</w:t>
            </w:r>
          </w:p>
        </w:tc>
        <w:tc>
          <w:tcPr>
            <w:tcW w:w="1313" w:type="dxa"/>
            <w:tcBorders>
              <w:top w:val="nil"/>
              <w:left w:val="nil"/>
              <w:bottom w:val="single" w:sz="4" w:space="0" w:color="auto"/>
              <w:right w:val="single" w:sz="4" w:space="0" w:color="auto"/>
            </w:tcBorders>
            <w:shd w:val="clear" w:color="auto" w:fill="auto"/>
            <w:noWrap/>
            <w:vAlign w:val="center"/>
            <w:hideMark/>
          </w:tcPr>
          <w:p w14:paraId="56E88E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10,74</w:t>
            </w:r>
          </w:p>
        </w:tc>
        <w:tc>
          <w:tcPr>
            <w:tcW w:w="1313" w:type="dxa"/>
            <w:tcBorders>
              <w:top w:val="nil"/>
              <w:left w:val="nil"/>
              <w:bottom w:val="single" w:sz="4" w:space="0" w:color="auto"/>
              <w:right w:val="single" w:sz="4" w:space="0" w:color="auto"/>
            </w:tcBorders>
            <w:shd w:val="clear" w:color="auto" w:fill="auto"/>
            <w:noWrap/>
            <w:vAlign w:val="center"/>
            <w:hideMark/>
          </w:tcPr>
          <w:p w14:paraId="32A777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10,72</w:t>
            </w:r>
          </w:p>
        </w:tc>
      </w:tr>
      <w:tr w:rsidR="00BF12D5" w:rsidRPr="00BD0223" w14:paraId="6EB13FBA"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EAB6C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GUARIBA</w:t>
            </w:r>
          </w:p>
        </w:tc>
        <w:tc>
          <w:tcPr>
            <w:tcW w:w="1313" w:type="dxa"/>
            <w:tcBorders>
              <w:top w:val="nil"/>
              <w:left w:val="nil"/>
              <w:bottom w:val="single" w:sz="4" w:space="0" w:color="auto"/>
              <w:right w:val="single" w:sz="4" w:space="0" w:color="auto"/>
            </w:tcBorders>
            <w:shd w:val="clear" w:color="auto" w:fill="auto"/>
            <w:noWrap/>
            <w:vAlign w:val="center"/>
            <w:hideMark/>
          </w:tcPr>
          <w:p w14:paraId="6174AD4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19,65</w:t>
            </w:r>
          </w:p>
        </w:tc>
        <w:tc>
          <w:tcPr>
            <w:tcW w:w="1313" w:type="dxa"/>
            <w:tcBorders>
              <w:top w:val="nil"/>
              <w:left w:val="nil"/>
              <w:bottom w:val="single" w:sz="4" w:space="0" w:color="auto"/>
              <w:right w:val="single" w:sz="4" w:space="0" w:color="auto"/>
            </w:tcBorders>
            <w:shd w:val="clear" w:color="auto" w:fill="auto"/>
            <w:noWrap/>
            <w:vAlign w:val="center"/>
            <w:hideMark/>
          </w:tcPr>
          <w:p w14:paraId="5427FF0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21,85</w:t>
            </w:r>
          </w:p>
        </w:tc>
        <w:tc>
          <w:tcPr>
            <w:tcW w:w="1313" w:type="dxa"/>
            <w:tcBorders>
              <w:top w:val="nil"/>
              <w:left w:val="nil"/>
              <w:bottom w:val="single" w:sz="4" w:space="0" w:color="auto"/>
              <w:right w:val="single" w:sz="4" w:space="0" w:color="auto"/>
            </w:tcBorders>
            <w:shd w:val="clear" w:color="auto" w:fill="auto"/>
            <w:noWrap/>
            <w:vAlign w:val="center"/>
            <w:hideMark/>
          </w:tcPr>
          <w:p w14:paraId="1D700D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23,61</w:t>
            </w:r>
          </w:p>
        </w:tc>
        <w:tc>
          <w:tcPr>
            <w:tcW w:w="1313" w:type="dxa"/>
            <w:tcBorders>
              <w:top w:val="nil"/>
              <w:left w:val="nil"/>
              <w:bottom w:val="single" w:sz="4" w:space="0" w:color="auto"/>
              <w:right w:val="single" w:sz="4" w:space="0" w:color="auto"/>
            </w:tcBorders>
            <w:shd w:val="clear" w:color="auto" w:fill="auto"/>
            <w:noWrap/>
            <w:vAlign w:val="center"/>
            <w:hideMark/>
          </w:tcPr>
          <w:p w14:paraId="6ECAA1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21,92</w:t>
            </w:r>
          </w:p>
        </w:tc>
      </w:tr>
      <w:tr w:rsidR="00BF12D5" w:rsidRPr="00BD0223" w14:paraId="0E0D344D"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20E6C0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GUATAPARA</w:t>
            </w:r>
          </w:p>
        </w:tc>
        <w:tc>
          <w:tcPr>
            <w:tcW w:w="1313" w:type="dxa"/>
            <w:tcBorders>
              <w:top w:val="nil"/>
              <w:left w:val="nil"/>
              <w:bottom w:val="single" w:sz="4" w:space="0" w:color="auto"/>
              <w:right w:val="single" w:sz="4" w:space="0" w:color="auto"/>
            </w:tcBorders>
            <w:shd w:val="clear" w:color="auto" w:fill="auto"/>
            <w:noWrap/>
            <w:vAlign w:val="center"/>
            <w:hideMark/>
          </w:tcPr>
          <w:p w14:paraId="4F7A7B4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6,36</w:t>
            </w:r>
          </w:p>
        </w:tc>
        <w:tc>
          <w:tcPr>
            <w:tcW w:w="1313" w:type="dxa"/>
            <w:tcBorders>
              <w:top w:val="nil"/>
              <w:left w:val="nil"/>
              <w:bottom w:val="single" w:sz="4" w:space="0" w:color="auto"/>
              <w:right w:val="single" w:sz="4" w:space="0" w:color="auto"/>
            </w:tcBorders>
            <w:shd w:val="clear" w:color="auto" w:fill="auto"/>
            <w:noWrap/>
            <w:vAlign w:val="center"/>
            <w:hideMark/>
          </w:tcPr>
          <w:p w14:paraId="28D8F3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5,81</w:t>
            </w:r>
          </w:p>
        </w:tc>
        <w:tc>
          <w:tcPr>
            <w:tcW w:w="1313" w:type="dxa"/>
            <w:tcBorders>
              <w:top w:val="nil"/>
              <w:left w:val="nil"/>
              <w:bottom w:val="single" w:sz="4" w:space="0" w:color="auto"/>
              <w:right w:val="single" w:sz="4" w:space="0" w:color="auto"/>
            </w:tcBorders>
            <w:shd w:val="clear" w:color="auto" w:fill="auto"/>
            <w:noWrap/>
            <w:vAlign w:val="center"/>
            <w:hideMark/>
          </w:tcPr>
          <w:p w14:paraId="25F95DA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8,43</w:t>
            </w:r>
          </w:p>
        </w:tc>
        <w:tc>
          <w:tcPr>
            <w:tcW w:w="1313" w:type="dxa"/>
            <w:tcBorders>
              <w:top w:val="nil"/>
              <w:left w:val="nil"/>
              <w:bottom w:val="single" w:sz="4" w:space="0" w:color="auto"/>
              <w:right w:val="single" w:sz="4" w:space="0" w:color="auto"/>
            </w:tcBorders>
            <w:shd w:val="clear" w:color="auto" w:fill="auto"/>
            <w:noWrap/>
            <w:vAlign w:val="center"/>
            <w:hideMark/>
          </w:tcPr>
          <w:p w14:paraId="6A8BBE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8,14</w:t>
            </w:r>
          </w:p>
        </w:tc>
      </w:tr>
      <w:tr w:rsidR="00BF12D5" w:rsidRPr="00BD0223" w14:paraId="45C0C03E"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2B9C2C2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GUZOLANDIA</w:t>
            </w:r>
          </w:p>
        </w:tc>
        <w:tc>
          <w:tcPr>
            <w:tcW w:w="1313" w:type="dxa"/>
            <w:tcBorders>
              <w:top w:val="nil"/>
              <w:left w:val="nil"/>
              <w:bottom w:val="single" w:sz="4" w:space="0" w:color="auto"/>
              <w:right w:val="single" w:sz="4" w:space="0" w:color="auto"/>
            </w:tcBorders>
            <w:shd w:val="clear" w:color="auto" w:fill="auto"/>
            <w:noWrap/>
            <w:vAlign w:val="center"/>
            <w:hideMark/>
          </w:tcPr>
          <w:p w14:paraId="215717F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2,02</w:t>
            </w:r>
          </w:p>
        </w:tc>
        <w:tc>
          <w:tcPr>
            <w:tcW w:w="1313" w:type="dxa"/>
            <w:tcBorders>
              <w:top w:val="nil"/>
              <w:left w:val="nil"/>
              <w:bottom w:val="single" w:sz="4" w:space="0" w:color="auto"/>
              <w:right w:val="single" w:sz="4" w:space="0" w:color="auto"/>
            </w:tcBorders>
            <w:shd w:val="clear" w:color="auto" w:fill="auto"/>
            <w:noWrap/>
            <w:vAlign w:val="center"/>
            <w:hideMark/>
          </w:tcPr>
          <w:p w14:paraId="253EDD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2,01</w:t>
            </w:r>
          </w:p>
        </w:tc>
        <w:tc>
          <w:tcPr>
            <w:tcW w:w="1313" w:type="dxa"/>
            <w:tcBorders>
              <w:top w:val="nil"/>
              <w:left w:val="nil"/>
              <w:bottom w:val="single" w:sz="4" w:space="0" w:color="auto"/>
              <w:right w:val="single" w:sz="4" w:space="0" w:color="auto"/>
            </w:tcBorders>
            <w:shd w:val="clear" w:color="auto" w:fill="auto"/>
            <w:noWrap/>
            <w:vAlign w:val="center"/>
            <w:hideMark/>
          </w:tcPr>
          <w:p w14:paraId="77C587D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1,90</w:t>
            </w:r>
          </w:p>
        </w:tc>
        <w:tc>
          <w:tcPr>
            <w:tcW w:w="1313" w:type="dxa"/>
            <w:tcBorders>
              <w:top w:val="nil"/>
              <w:left w:val="nil"/>
              <w:bottom w:val="single" w:sz="4" w:space="0" w:color="auto"/>
              <w:right w:val="single" w:sz="4" w:space="0" w:color="auto"/>
            </w:tcBorders>
            <w:shd w:val="clear" w:color="auto" w:fill="auto"/>
            <w:noWrap/>
            <w:vAlign w:val="center"/>
            <w:hideMark/>
          </w:tcPr>
          <w:p w14:paraId="6FF930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1,58</w:t>
            </w:r>
          </w:p>
        </w:tc>
      </w:tr>
      <w:tr w:rsidR="00BF12D5" w:rsidRPr="00BD0223" w14:paraId="53B9F18E"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E9BD2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IBIRA</w:t>
            </w:r>
          </w:p>
        </w:tc>
        <w:tc>
          <w:tcPr>
            <w:tcW w:w="1313" w:type="dxa"/>
            <w:tcBorders>
              <w:top w:val="nil"/>
              <w:left w:val="nil"/>
              <w:bottom w:val="single" w:sz="4" w:space="0" w:color="auto"/>
              <w:right w:val="single" w:sz="4" w:space="0" w:color="auto"/>
            </w:tcBorders>
            <w:shd w:val="clear" w:color="auto" w:fill="auto"/>
            <w:noWrap/>
            <w:vAlign w:val="center"/>
            <w:hideMark/>
          </w:tcPr>
          <w:p w14:paraId="0AE2B48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1,06</w:t>
            </w:r>
          </w:p>
        </w:tc>
        <w:tc>
          <w:tcPr>
            <w:tcW w:w="1313" w:type="dxa"/>
            <w:tcBorders>
              <w:top w:val="nil"/>
              <w:left w:val="nil"/>
              <w:bottom w:val="single" w:sz="4" w:space="0" w:color="auto"/>
              <w:right w:val="single" w:sz="4" w:space="0" w:color="auto"/>
            </w:tcBorders>
            <w:shd w:val="clear" w:color="auto" w:fill="auto"/>
            <w:noWrap/>
            <w:vAlign w:val="center"/>
            <w:hideMark/>
          </w:tcPr>
          <w:p w14:paraId="36333D2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1,26</w:t>
            </w:r>
          </w:p>
        </w:tc>
        <w:tc>
          <w:tcPr>
            <w:tcW w:w="1313" w:type="dxa"/>
            <w:tcBorders>
              <w:top w:val="nil"/>
              <w:left w:val="nil"/>
              <w:bottom w:val="single" w:sz="4" w:space="0" w:color="auto"/>
              <w:right w:val="single" w:sz="4" w:space="0" w:color="auto"/>
            </w:tcBorders>
            <w:shd w:val="clear" w:color="auto" w:fill="auto"/>
            <w:noWrap/>
            <w:vAlign w:val="center"/>
            <w:hideMark/>
          </w:tcPr>
          <w:p w14:paraId="66BD28C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1,29</w:t>
            </w:r>
          </w:p>
        </w:tc>
        <w:tc>
          <w:tcPr>
            <w:tcW w:w="1313" w:type="dxa"/>
            <w:tcBorders>
              <w:top w:val="nil"/>
              <w:left w:val="nil"/>
              <w:bottom w:val="single" w:sz="4" w:space="0" w:color="auto"/>
              <w:right w:val="single" w:sz="4" w:space="0" w:color="auto"/>
            </w:tcBorders>
            <w:shd w:val="clear" w:color="auto" w:fill="auto"/>
            <w:noWrap/>
            <w:vAlign w:val="center"/>
            <w:hideMark/>
          </w:tcPr>
          <w:p w14:paraId="01D1411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1,66</w:t>
            </w:r>
          </w:p>
        </w:tc>
      </w:tr>
      <w:tr w:rsidR="00BF12D5" w:rsidRPr="00BD0223" w14:paraId="2986D5CD"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F74C04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ICEM</w:t>
            </w:r>
          </w:p>
        </w:tc>
        <w:tc>
          <w:tcPr>
            <w:tcW w:w="1313" w:type="dxa"/>
            <w:tcBorders>
              <w:top w:val="nil"/>
              <w:left w:val="nil"/>
              <w:bottom w:val="single" w:sz="4" w:space="0" w:color="auto"/>
              <w:right w:val="single" w:sz="4" w:space="0" w:color="auto"/>
            </w:tcBorders>
            <w:shd w:val="clear" w:color="auto" w:fill="auto"/>
            <w:noWrap/>
            <w:vAlign w:val="center"/>
            <w:hideMark/>
          </w:tcPr>
          <w:p w14:paraId="5D00957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3,06</w:t>
            </w:r>
          </w:p>
        </w:tc>
        <w:tc>
          <w:tcPr>
            <w:tcW w:w="1313" w:type="dxa"/>
            <w:tcBorders>
              <w:top w:val="nil"/>
              <w:left w:val="nil"/>
              <w:bottom w:val="single" w:sz="4" w:space="0" w:color="auto"/>
              <w:right w:val="single" w:sz="4" w:space="0" w:color="auto"/>
            </w:tcBorders>
            <w:shd w:val="clear" w:color="auto" w:fill="auto"/>
            <w:noWrap/>
            <w:vAlign w:val="center"/>
            <w:hideMark/>
          </w:tcPr>
          <w:p w14:paraId="7A73E3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2,42</w:t>
            </w:r>
          </w:p>
        </w:tc>
        <w:tc>
          <w:tcPr>
            <w:tcW w:w="1313" w:type="dxa"/>
            <w:tcBorders>
              <w:top w:val="nil"/>
              <w:left w:val="nil"/>
              <w:bottom w:val="single" w:sz="4" w:space="0" w:color="auto"/>
              <w:right w:val="single" w:sz="4" w:space="0" w:color="auto"/>
            </w:tcBorders>
            <w:shd w:val="clear" w:color="auto" w:fill="auto"/>
            <w:noWrap/>
            <w:vAlign w:val="center"/>
            <w:hideMark/>
          </w:tcPr>
          <w:p w14:paraId="4AF4586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2,76</w:t>
            </w:r>
          </w:p>
        </w:tc>
        <w:tc>
          <w:tcPr>
            <w:tcW w:w="1313" w:type="dxa"/>
            <w:tcBorders>
              <w:top w:val="nil"/>
              <w:left w:val="nil"/>
              <w:bottom w:val="single" w:sz="4" w:space="0" w:color="auto"/>
              <w:right w:val="single" w:sz="4" w:space="0" w:color="auto"/>
            </w:tcBorders>
            <w:shd w:val="clear" w:color="auto" w:fill="auto"/>
            <w:noWrap/>
            <w:vAlign w:val="center"/>
            <w:hideMark/>
          </w:tcPr>
          <w:p w14:paraId="1AF0F8D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2,78</w:t>
            </w:r>
          </w:p>
        </w:tc>
      </w:tr>
      <w:tr w:rsidR="00BF12D5" w:rsidRPr="00BD0223" w14:paraId="44870F9C"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34C4EBD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IGARAPAVA</w:t>
            </w:r>
          </w:p>
        </w:tc>
        <w:tc>
          <w:tcPr>
            <w:tcW w:w="1313" w:type="dxa"/>
            <w:tcBorders>
              <w:top w:val="nil"/>
              <w:left w:val="nil"/>
              <w:bottom w:val="single" w:sz="4" w:space="0" w:color="auto"/>
              <w:right w:val="single" w:sz="4" w:space="0" w:color="auto"/>
            </w:tcBorders>
            <w:shd w:val="clear" w:color="auto" w:fill="auto"/>
            <w:noWrap/>
            <w:vAlign w:val="center"/>
            <w:hideMark/>
          </w:tcPr>
          <w:p w14:paraId="0197A2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15,90</w:t>
            </w:r>
          </w:p>
        </w:tc>
        <w:tc>
          <w:tcPr>
            <w:tcW w:w="1313" w:type="dxa"/>
            <w:tcBorders>
              <w:top w:val="nil"/>
              <w:left w:val="nil"/>
              <w:bottom w:val="single" w:sz="4" w:space="0" w:color="auto"/>
              <w:right w:val="single" w:sz="4" w:space="0" w:color="auto"/>
            </w:tcBorders>
            <w:shd w:val="clear" w:color="auto" w:fill="auto"/>
            <w:noWrap/>
            <w:vAlign w:val="center"/>
            <w:hideMark/>
          </w:tcPr>
          <w:p w14:paraId="314849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14,94</w:t>
            </w:r>
          </w:p>
        </w:tc>
        <w:tc>
          <w:tcPr>
            <w:tcW w:w="1313" w:type="dxa"/>
            <w:tcBorders>
              <w:top w:val="nil"/>
              <w:left w:val="nil"/>
              <w:bottom w:val="single" w:sz="4" w:space="0" w:color="auto"/>
              <w:right w:val="single" w:sz="4" w:space="0" w:color="auto"/>
            </w:tcBorders>
            <w:shd w:val="clear" w:color="auto" w:fill="auto"/>
            <w:noWrap/>
            <w:vAlign w:val="center"/>
            <w:hideMark/>
          </w:tcPr>
          <w:p w14:paraId="3D3D27E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16,28</w:t>
            </w:r>
          </w:p>
        </w:tc>
        <w:tc>
          <w:tcPr>
            <w:tcW w:w="1313" w:type="dxa"/>
            <w:tcBorders>
              <w:top w:val="nil"/>
              <w:left w:val="nil"/>
              <w:bottom w:val="single" w:sz="4" w:space="0" w:color="auto"/>
              <w:right w:val="single" w:sz="4" w:space="0" w:color="auto"/>
            </w:tcBorders>
            <w:shd w:val="clear" w:color="auto" w:fill="auto"/>
            <w:noWrap/>
            <w:vAlign w:val="center"/>
            <w:hideMark/>
          </w:tcPr>
          <w:p w14:paraId="6E300D9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16,24</w:t>
            </w:r>
          </w:p>
        </w:tc>
      </w:tr>
      <w:tr w:rsidR="00BF12D5" w:rsidRPr="00BD0223" w14:paraId="461C3FC6"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C6EA9E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INDIAPORA</w:t>
            </w:r>
          </w:p>
        </w:tc>
        <w:tc>
          <w:tcPr>
            <w:tcW w:w="1313" w:type="dxa"/>
            <w:tcBorders>
              <w:top w:val="nil"/>
              <w:left w:val="nil"/>
              <w:bottom w:val="single" w:sz="4" w:space="0" w:color="auto"/>
              <w:right w:val="single" w:sz="4" w:space="0" w:color="auto"/>
            </w:tcBorders>
            <w:shd w:val="clear" w:color="auto" w:fill="auto"/>
            <w:noWrap/>
            <w:vAlign w:val="center"/>
            <w:hideMark/>
          </w:tcPr>
          <w:p w14:paraId="0C79527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0,56</w:t>
            </w:r>
          </w:p>
        </w:tc>
        <w:tc>
          <w:tcPr>
            <w:tcW w:w="1313" w:type="dxa"/>
            <w:tcBorders>
              <w:top w:val="nil"/>
              <w:left w:val="nil"/>
              <w:bottom w:val="single" w:sz="4" w:space="0" w:color="auto"/>
              <w:right w:val="single" w:sz="4" w:space="0" w:color="auto"/>
            </w:tcBorders>
            <w:shd w:val="clear" w:color="auto" w:fill="auto"/>
            <w:noWrap/>
            <w:vAlign w:val="center"/>
            <w:hideMark/>
          </w:tcPr>
          <w:p w14:paraId="255DA4F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0,60</w:t>
            </w:r>
          </w:p>
        </w:tc>
        <w:tc>
          <w:tcPr>
            <w:tcW w:w="1313" w:type="dxa"/>
            <w:tcBorders>
              <w:top w:val="nil"/>
              <w:left w:val="nil"/>
              <w:bottom w:val="single" w:sz="4" w:space="0" w:color="auto"/>
              <w:right w:val="single" w:sz="4" w:space="0" w:color="auto"/>
            </w:tcBorders>
            <w:shd w:val="clear" w:color="auto" w:fill="auto"/>
            <w:noWrap/>
            <w:vAlign w:val="center"/>
            <w:hideMark/>
          </w:tcPr>
          <w:p w14:paraId="148EED6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0,56</w:t>
            </w:r>
          </w:p>
        </w:tc>
        <w:tc>
          <w:tcPr>
            <w:tcW w:w="1313" w:type="dxa"/>
            <w:tcBorders>
              <w:top w:val="nil"/>
              <w:left w:val="nil"/>
              <w:bottom w:val="single" w:sz="4" w:space="0" w:color="auto"/>
              <w:right w:val="single" w:sz="4" w:space="0" w:color="auto"/>
            </w:tcBorders>
            <w:shd w:val="clear" w:color="auto" w:fill="auto"/>
            <w:noWrap/>
            <w:vAlign w:val="center"/>
            <w:hideMark/>
          </w:tcPr>
          <w:p w14:paraId="4A3749E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0,57</w:t>
            </w:r>
          </w:p>
        </w:tc>
      </w:tr>
      <w:tr w:rsidR="00BF12D5" w:rsidRPr="00BD0223" w14:paraId="050D3122"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4C762A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IPIGUA</w:t>
            </w:r>
          </w:p>
        </w:tc>
        <w:tc>
          <w:tcPr>
            <w:tcW w:w="1313" w:type="dxa"/>
            <w:tcBorders>
              <w:top w:val="nil"/>
              <w:left w:val="nil"/>
              <w:bottom w:val="single" w:sz="4" w:space="0" w:color="auto"/>
              <w:right w:val="single" w:sz="4" w:space="0" w:color="auto"/>
            </w:tcBorders>
            <w:shd w:val="clear" w:color="auto" w:fill="auto"/>
            <w:noWrap/>
            <w:vAlign w:val="center"/>
            <w:hideMark/>
          </w:tcPr>
          <w:p w14:paraId="301F69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0,30</w:t>
            </w:r>
          </w:p>
        </w:tc>
        <w:tc>
          <w:tcPr>
            <w:tcW w:w="1313" w:type="dxa"/>
            <w:tcBorders>
              <w:top w:val="nil"/>
              <w:left w:val="nil"/>
              <w:bottom w:val="single" w:sz="4" w:space="0" w:color="auto"/>
              <w:right w:val="single" w:sz="4" w:space="0" w:color="auto"/>
            </w:tcBorders>
            <w:shd w:val="clear" w:color="auto" w:fill="auto"/>
            <w:noWrap/>
            <w:vAlign w:val="center"/>
            <w:hideMark/>
          </w:tcPr>
          <w:p w14:paraId="402C55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0,44</w:t>
            </w:r>
          </w:p>
        </w:tc>
        <w:tc>
          <w:tcPr>
            <w:tcW w:w="1313" w:type="dxa"/>
            <w:tcBorders>
              <w:top w:val="nil"/>
              <w:left w:val="nil"/>
              <w:bottom w:val="single" w:sz="4" w:space="0" w:color="auto"/>
              <w:right w:val="single" w:sz="4" w:space="0" w:color="auto"/>
            </w:tcBorders>
            <w:shd w:val="clear" w:color="auto" w:fill="auto"/>
            <w:noWrap/>
            <w:vAlign w:val="center"/>
            <w:hideMark/>
          </w:tcPr>
          <w:p w14:paraId="7FD97ED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0,47</w:t>
            </w:r>
          </w:p>
        </w:tc>
        <w:tc>
          <w:tcPr>
            <w:tcW w:w="1313" w:type="dxa"/>
            <w:tcBorders>
              <w:top w:val="nil"/>
              <w:left w:val="nil"/>
              <w:bottom w:val="single" w:sz="4" w:space="0" w:color="auto"/>
              <w:right w:val="single" w:sz="4" w:space="0" w:color="auto"/>
            </w:tcBorders>
            <w:shd w:val="clear" w:color="auto" w:fill="auto"/>
            <w:noWrap/>
            <w:vAlign w:val="center"/>
            <w:hideMark/>
          </w:tcPr>
          <w:p w14:paraId="55E31E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0,40</w:t>
            </w:r>
          </w:p>
        </w:tc>
      </w:tr>
      <w:tr w:rsidR="00BF12D5" w:rsidRPr="00BD0223" w14:paraId="59A05AD5"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622A6B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IPUA</w:t>
            </w:r>
          </w:p>
        </w:tc>
        <w:tc>
          <w:tcPr>
            <w:tcW w:w="1313" w:type="dxa"/>
            <w:tcBorders>
              <w:top w:val="nil"/>
              <w:left w:val="nil"/>
              <w:bottom w:val="single" w:sz="4" w:space="0" w:color="auto"/>
              <w:right w:val="single" w:sz="4" w:space="0" w:color="auto"/>
            </w:tcBorders>
            <w:shd w:val="clear" w:color="auto" w:fill="auto"/>
            <w:noWrap/>
            <w:vAlign w:val="center"/>
            <w:hideMark/>
          </w:tcPr>
          <w:p w14:paraId="5A6196C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3,50</w:t>
            </w:r>
          </w:p>
        </w:tc>
        <w:tc>
          <w:tcPr>
            <w:tcW w:w="1313" w:type="dxa"/>
            <w:tcBorders>
              <w:top w:val="nil"/>
              <w:left w:val="nil"/>
              <w:bottom w:val="single" w:sz="4" w:space="0" w:color="auto"/>
              <w:right w:val="single" w:sz="4" w:space="0" w:color="auto"/>
            </w:tcBorders>
            <w:shd w:val="clear" w:color="auto" w:fill="auto"/>
            <w:noWrap/>
            <w:vAlign w:val="center"/>
            <w:hideMark/>
          </w:tcPr>
          <w:p w14:paraId="6CE195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3,60</w:t>
            </w:r>
          </w:p>
        </w:tc>
        <w:tc>
          <w:tcPr>
            <w:tcW w:w="1313" w:type="dxa"/>
            <w:tcBorders>
              <w:top w:val="nil"/>
              <w:left w:val="nil"/>
              <w:bottom w:val="single" w:sz="4" w:space="0" w:color="auto"/>
              <w:right w:val="single" w:sz="4" w:space="0" w:color="auto"/>
            </w:tcBorders>
            <w:shd w:val="clear" w:color="auto" w:fill="auto"/>
            <w:noWrap/>
            <w:vAlign w:val="center"/>
            <w:hideMark/>
          </w:tcPr>
          <w:p w14:paraId="2521CD4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4,20</w:t>
            </w:r>
          </w:p>
        </w:tc>
        <w:tc>
          <w:tcPr>
            <w:tcW w:w="1313" w:type="dxa"/>
            <w:tcBorders>
              <w:top w:val="nil"/>
              <w:left w:val="nil"/>
              <w:bottom w:val="single" w:sz="4" w:space="0" w:color="auto"/>
              <w:right w:val="single" w:sz="4" w:space="0" w:color="auto"/>
            </w:tcBorders>
            <w:shd w:val="clear" w:color="auto" w:fill="auto"/>
            <w:noWrap/>
            <w:vAlign w:val="center"/>
            <w:hideMark/>
          </w:tcPr>
          <w:p w14:paraId="1CCC031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5,17</w:t>
            </w:r>
          </w:p>
        </w:tc>
      </w:tr>
      <w:tr w:rsidR="00BF12D5" w:rsidRPr="00BD0223" w14:paraId="5373B704"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7C97B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IRAPUA</w:t>
            </w:r>
          </w:p>
        </w:tc>
        <w:tc>
          <w:tcPr>
            <w:tcW w:w="1313" w:type="dxa"/>
            <w:tcBorders>
              <w:top w:val="nil"/>
              <w:left w:val="nil"/>
              <w:bottom w:val="single" w:sz="4" w:space="0" w:color="auto"/>
              <w:right w:val="single" w:sz="4" w:space="0" w:color="auto"/>
            </w:tcBorders>
            <w:shd w:val="clear" w:color="auto" w:fill="auto"/>
            <w:noWrap/>
            <w:vAlign w:val="center"/>
            <w:hideMark/>
          </w:tcPr>
          <w:p w14:paraId="079069C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1,20</w:t>
            </w:r>
          </w:p>
        </w:tc>
        <w:tc>
          <w:tcPr>
            <w:tcW w:w="1313" w:type="dxa"/>
            <w:tcBorders>
              <w:top w:val="nil"/>
              <w:left w:val="nil"/>
              <w:bottom w:val="single" w:sz="4" w:space="0" w:color="auto"/>
              <w:right w:val="single" w:sz="4" w:space="0" w:color="auto"/>
            </w:tcBorders>
            <w:shd w:val="clear" w:color="auto" w:fill="auto"/>
            <w:noWrap/>
            <w:vAlign w:val="center"/>
            <w:hideMark/>
          </w:tcPr>
          <w:p w14:paraId="4A36A9D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1,36</w:t>
            </w:r>
          </w:p>
        </w:tc>
        <w:tc>
          <w:tcPr>
            <w:tcW w:w="1313" w:type="dxa"/>
            <w:tcBorders>
              <w:top w:val="nil"/>
              <w:left w:val="nil"/>
              <w:bottom w:val="single" w:sz="4" w:space="0" w:color="auto"/>
              <w:right w:val="single" w:sz="4" w:space="0" w:color="auto"/>
            </w:tcBorders>
            <w:shd w:val="clear" w:color="auto" w:fill="auto"/>
            <w:noWrap/>
            <w:vAlign w:val="center"/>
            <w:hideMark/>
          </w:tcPr>
          <w:p w14:paraId="2E1F9AC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1,33</w:t>
            </w:r>
          </w:p>
        </w:tc>
        <w:tc>
          <w:tcPr>
            <w:tcW w:w="1313" w:type="dxa"/>
            <w:tcBorders>
              <w:top w:val="nil"/>
              <w:left w:val="nil"/>
              <w:bottom w:val="single" w:sz="4" w:space="0" w:color="auto"/>
              <w:right w:val="single" w:sz="4" w:space="0" w:color="auto"/>
            </w:tcBorders>
            <w:shd w:val="clear" w:color="auto" w:fill="auto"/>
            <w:noWrap/>
            <w:vAlign w:val="center"/>
            <w:hideMark/>
          </w:tcPr>
          <w:p w14:paraId="0D821B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1,21</w:t>
            </w:r>
          </w:p>
        </w:tc>
      </w:tr>
      <w:tr w:rsidR="00BF12D5" w:rsidRPr="00BD0223" w14:paraId="791E1929"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940E41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ITAJOBI</w:t>
            </w:r>
          </w:p>
        </w:tc>
        <w:tc>
          <w:tcPr>
            <w:tcW w:w="1313" w:type="dxa"/>
            <w:tcBorders>
              <w:top w:val="nil"/>
              <w:left w:val="nil"/>
              <w:bottom w:val="single" w:sz="4" w:space="0" w:color="auto"/>
              <w:right w:val="single" w:sz="4" w:space="0" w:color="auto"/>
            </w:tcBorders>
            <w:shd w:val="clear" w:color="auto" w:fill="auto"/>
            <w:noWrap/>
            <w:vAlign w:val="center"/>
            <w:hideMark/>
          </w:tcPr>
          <w:p w14:paraId="697B968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4,68</w:t>
            </w:r>
          </w:p>
        </w:tc>
        <w:tc>
          <w:tcPr>
            <w:tcW w:w="1313" w:type="dxa"/>
            <w:tcBorders>
              <w:top w:val="nil"/>
              <w:left w:val="nil"/>
              <w:bottom w:val="single" w:sz="4" w:space="0" w:color="auto"/>
              <w:right w:val="single" w:sz="4" w:space="0" w:color="auto"/>
            </w:tcBorders>
            <w:shd w:val="clear" w:color="auto" w:fill="auto"/>
            <w:noWrap/>
            <w:vAlign w:val="center"/>
            <w:hideMark/>
          </w:tcPr>
          <w:p w14:paraId="4549C3A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5,36</w:t>
            </w:r>
          </w:p>
        </w:tc>
        <w:tc>
          <w:tcPr>
            <w:tcW w:w="1313" w:type="dxa"/>
            <w:tcBorders>
              <w:top w:val="nil"/>
              <w:left w:val="nil"/>
              <w:bottom w:val="single" w:sz="4" w:space="0" w:color="auto"/>
              <w:right w:val="single" w:sz="4" w:space="0" w:color="auto"/>
            </w:tcBorders>
            <w:shd w:val="clear" w:color="auto" w:fill="auto"/>
            <w:noWrap/>
            <w:vAlign w:val="center"/>
            <w:hideMark/>
          </w:tcPr>
          <w:p w14:paraId="39E2DF7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6,00</w:t>
            </w:r>
          </w:p>
        </w:tc>
        <w:tc>
          <w:tcPr>
            <w:tcW w:w="1313" w:type="dxa"/>
            <w:tcBorders>
              <w:top w:val="nil"/>
              <w:left w:val="nil"/>
              <w:bottom w:val="single" w:sz="4" w:space="0" w:color="auto"/>
              <w:right w:val="single" w:sz="4" w:space="0" w:color="auto"/>
            </w:tcBorders>
            <w:shd w:val="clear" w:color="auto" w:fill="auto"/>
            <w:noWrap/>
            <w:vAlign w:val="center"/>
            <w:hideMark/>
          </w:tcPr>
          <w:p w14:paraId="4FA49CB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5,55</w:t>
            </w:r>
          </w:p>
        </w:tc>
      </w:tr>
      <w:tr w:rsidR="00BF12D5" w:rsidRPr="00BD0223" w14:paraId="2BB9C96A"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2B8289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ITIRAPUA</w:t>
            </w:r>
          </w:p>
        </w:tc>
        <w:tc>
          <w:tcPr>
            <w:tcW w:w="1313" w:type="dxa"/>
            <w:tcBorders>
              <w:top w:val="nil"/>
              <w:left w:val="nil"/>
              <w:bottom w:val="single" w:sz="4" w:space="0" w:color="auto"/>
              <w:right w:val="single" w:sz="4" w:space="0" w:color="auto"/>
            </w:tcBorders>
            <w:shd w:val="clear" w:color="auto" w:fill="auto"/>
            <w:noWrap/>
            <w:vAlign w:val="center"/>
            <w:hideMark/>
          </w:tcPr>
          <w:p w14:paraId="3DF9011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0,38</w:t>
            </w:r>
          </w:p>
        </w:tc>
        <w:tc>
          <w:tcPr>
            <w:tcW w:w="1313" w:type="dxa"/>
            <w:tcBorders>
              <w:top w:val="nil"/>
              <w:left w:val="nil"/>
              <w:bottom w:val="single" w:sz="4" w:space="0" w:color="auto"/>
              <w:right w:val="single" w:sz="4" w:space="0" w:color="auto"/>
            </w:tcBorders>
            <w:shd w:val="clear" w:color="auto" w:fill="auto"/>
            <w:noWrap/>
            <w:vAlign w:val="center"/>
            <w:hideMark/>
          </w:tcPr>
          <w:p w14:paraId="14ABB4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0,49</w:t>
            </w:r>
          </w:p>
        </w:tc>
        <w:tc>
          <w:tcPr>
            <w:tcW w:w="1313" w:type="dxa"/>
            <w:tcBorders>
              <w:top w:val="nil"/>
              <w:left w:val="nil"/>
              <w:bottom w:val="single" w:sz="4" w:space="0" w:color="auto"/>
              <w:right w:val="single" w:sz="4" w:space="0" w:color="auto"/>
            </w:tcBorders>
            <w:shd w:val="clear" w:color="auto" w:fill="auto"/>
            <w:noWrap/>
            <w:vAlign w:val="center"/>
            <w:hideMark/>
          </w:tcPr>
          <w:p w14:paraId="1A4A00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0,52</w:t>
            </w:r>
          </w:p>
        </w:tc>
        <w:tc>
          <w:tcPr>
            <w:tcW w:w="1313" w:type="dxa"/>
            <w:tcBorders>
              <w:top w:val="nil"/>
              <w:left w:val="nil"/>
              <w:bottom w:val="single" w:sz="4" w:space="0" w:color="auto"/>
              <w:right w:val="single" w:sz="4" w:space="0" w:color="auto"/>
            </w:tcBorders>
            <w:shd w:val="clear" w:color="auto" w:fill="auto"/>
            <w:noWrap/>
            <w:vAlign w:val="center"/>
            <w:hideMark/>
          </w:tcPr>
          <w:p w14:paraId="24033FF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0,68</w:t>
            </w:r>
          </w:p>
        </w:tc>
      </w:tr>
      <w:tr w:rsidR="00BF12D5" w:rsidRPr="00BD0223" w14:paraId="7CD808BA"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170A3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ITUVERAVA</w:t>
            </w:r>
          </w:p>
        </w:tc>
        <w:tc>
          <w:tcPr>
            <w:tcW w:w="1313" w:type="dxa"/>
            <w:tcBorders>
              <w:top w:val="nil"/>
              <w:left w:val="nil"/>
              <w:bottom w:val="single" w:sz="4" w:space="0" w:color="auto"/>
              <w:right w:val="single" w:sz="4" w:space="0" w:color="auto"/>
            </w:tcBorders>
            <w:shd w:val="clear" w:color="auto" w:fill="auto"/>
            <w:noWrap/>
            <w:vAlign w:val="center"/>
            <w:hideMark/>
          </w:tcPr>
          <w:p w14:paraId="293B58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6,60</w:t>
            </w:r>
          </w:p>
        </w:tc>
        <w:tc>
          <w:tcPr>
            <w:tcW w:w="1313" w:type="dxa"/>
            <w:tcBorders>
              <w:top w:val="nil"/>
              <w:left w:val="nil"/>
              <w:bottom w:val="single" w:sz="4" w:space="0" w:color="auto"/>
              <w:right w:val="single" w:sz="4" w:space="0" w:color="auto"/>
            </w:tcBorders>
            <w:shd w:val="clear" w:color="auto" w:fill="auto"/>
            <w:noWrap/>
            <w:vAlign w:val="center"/>
            <w:hideMark/>
          </w:tcPr>
          <w:p w14:paraId="64C3066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7,45</w:t>
            </w:r>
          </w:p>
        </w:tc>
        <w:tc>
          <w:tcPr>
            <w:tcW w:w="1313" w:type="dxa"/>
            <w:tcBorders>
              <w:top w:val="nil"/>
              <w:left w:val="nil"/>
              <w:bottom w:val="single" w:sz="4" w:space="0" w:color="auto"/>
              <w:right w:val="single" w:sz="4" w:space="0" w:color="auto"/>
            </w:tcBorders>
            <w:shd w:val="clear" w:color="auto" w:fill="auto"/>
            <w:noWrap/>
            <w:vAlign w:val="center"/>
            <w:hideMark/>
          </w:tcPr>
          <w:p w14:paraId="28D889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8,13</w:t>
            </w:r>
          </w:p>
        </w:tc>
        <w:tc>
          <w:tcPr>
            <w:tcW w:w="1313" w:type="dxa"/>
            <w:tcBorders>
              <w:top w:val="nil"/>
              <w:left w:val="nil"/>
              <w:bottom w:val="single" w:sz="4" w:space="0" w:color="auto"/>
              <w:right w:val="single" w:sz="4" w:space="0" w:color="auto"/>
            </w:tcBorders>
            <w:shd w:val="clear" w:color="auto" w:fill="auto"/>
            <w:noWrap/>
            <w:vAlign w:val="center"/>
            <w:hideMark/>
          </w:tcPr>
          <w:p w14:paraId="161D4B2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8,90</w:t>
            </w:r>
          </w:p>
        </w:tc>
      </w:tr>
      <w:tr w:rsidR="00BF12D5" w:rsidRPr="00BD0223" w14:paraId="0CD9015E"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6D3BC5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JABORANDI</w:t>
            </w:r>
          </w:p>
        </w:tc>
        <w:tc>
          <w:tcPr>
            <w:tcW w:w="1313" w:type="dxa"/>
            <w:tcBorders>
              <w:top w:val="nil"/>
              <w:left w:val="nil"/>
              <w:bottom w:val="single" w:sz="4" w:space="0" w:color="auto"/>
              <w:right w:val="single" w:sz="4" w:space="0" w:color="auto"/>
            </w:tcBorders>
            <w:shd w:val="clear" w:color="auto" w:fill="auto"/>
            <w:noWrap/>
            <w:vAlign w:val="center"/>
            <w:hideMark/>
          </w:tcPr>
          <w:p w14:paraId="03EBFC8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0,88</w:t>
            </w:r>
          </w:p>
        </w:tc>
        <w:tc>
          <w:tcPr>
            <w:tcW w:w="1313" w:type="dxa"/>
            <w:tcBorders>
              <w:top w:val="nil"/>
              <w:left w:val="nil"/>
              <w:bottom w:val="single" w:sz="4" w:space="0" w:color="auto"/>
              <w:right w:val="single" w:sz="4" w:space="0" w:color="auto"/>
            </w:tcBorders>
            <w:shd w:val="clear" w:color="auto" w:fill="auto"/>
            <w:noWrap/>
            <w:vAlign w:val="center"/>
            <w:hideMark/>
          </w:tcPr>
          <w:p w14:paraId="0F440BC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0,90</w:t>
            </w:r>
          </w:p>
        </w:tc>
        <w:tc>
          <w:tcPr>
            <w:tcW w:w="1313" w:type="dxa"/>
            <w:tcBorders>
              <w:top w:val="nil"/>
              <w:left w:val="nil"/>
              <w:bottom w:val="single" w:sz="4" w:space="0" w:color="auto"/>
              <w:right w:val="single" w:sz="4" w:space="0" w:color="auto"/>
            </w:tcBorders>
            <w:shd w:val="clear" w:color="auto" w:fill="auto"/>
            <w:noWrap/>
            <w:vAlign w:val="center"/>
            <w:hideMark/>
          </w:tcPr>
          <w:p w14:paraId="4085B73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0,96</w:t>
            </w:r>
          </w:p>
        </w:tc>
        <w:tc>
          <w:tcPr>
            <w:tcW w:w="1313" w:type="dxa"/>
            <w:tcBorders>
              <w:top w:val="nil"/>
              <w:left w:val="nil"/>
              <w:bottom w:val="single" w:sz="4" w:space="0" w:color="auto"/>
              <w:right w:val="single" w:sz="4" w:space="0" w:color="auto"/>
            </w:tcBorders>
            <w:shd w:val="clear" w:color="auto" w:fill="auto"/>
            <w:noWrap/>
            <w:vAlign w:val="center"/>
            <w:hideMark/>
          </w:tcPr>
          <w:p w14:paraId="64D2FA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0,87</w:t>
            </w:r>
          </w:p>
        </w:tc>
      </w:tr>
      <w:tr w:rsidR="00BF12D5" w:rsidRPr="00BD0223" w14:paraId="02A79789"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C1618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JABOTICABAL</w:t>
            </w:r>
          </w:p>
        </w:tc>
        <w:tc>
          <w:tcPr>
            <w:tcW w:w="1313" w:type="dxa"/>
            <w:tcBorders>
              <w:top w:val="nil"/>
              <w:left w:val="nil"/>
              <w:bottom w:val="single" w:sz="4" w:space="0" w:color="auto"/>
              <w:right w:val="single" w:sz="4" w:space="0" w:color="auto"/>
            </w:tcBorders>
            <w:shd w:val="clear" w:color="auto" w:fill="auto"/>
            <w:noWrap/>
            <w:vAlign w:val="center"/>
            <w:hideMark/>
          </w:tcPr>
          <w:p w14:paraId="76C0D1B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21,57</w:t>
            </w:r>
          </w:p>
        </w:tc>
        <w:tc>
          <w:tcPr>
            <w:tcW w:w="1313" w:type="dxa"/>
            <w:tcBorders>
              <w:top w:val="nil"/>
              <w:left w:val="nil"/>
              <w:bottom w:val="single" w:sz="4" w:space="0" w:color="auto"/>
              <w:right w:val="single" w:sz="4" w:space="0" w:color="auto"/>
            </w:tcBorders>
            <w:shd w:val="clear" w:color="auto" w:fill="auto"/>
            <w:noWrap/>
            <w:vAlign w:val="center"/>
            <w:hideMark/>
          </w:tcPr>
          <w:p w14:paraId="5E3A7AC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24,90</w:t>
            </w:r>
          </w:p>
        </w:tc>
        <w:tc>
          <w:tcPr>
            <w:tcW w:w="1313" w:type="dxa"/>
            <w:tcBorders>
              <w:top w:val="nil"/>
              <w:left w:val="nil"/>
              <w:bottom w:val="single" w:sz="4" w:space="0" w:color="auto"/>
              <w:right w:val="single" w:sz="4" w:space="0" w:color="auto"/>
            </w:tcBorders>
            <w:shd w:val="clear" w:color="auto" w:fill="auto"/>
            <w:noWrap/>
            <w:vAlign w:val="center"/>
            <w:hideMark/>
          </w:tcPr>
          <w:p w14:paraId="0485E72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24,16</w:t>
            </w:r>
          </w:p>
        </w:tc>
        <w:tc>
          <w:tcPr>
            <w:tcW w:w="1313" w:type="dxa"/>
            <w:tcBorders>
              <w:top w:val="nil"/>
              <w:left w:val="nil"/>
              <w:bottom w:val="single" w:sz="4" w:space="0" w:color="auto"/>
              <w:right w:val="single" w:sz="4" w:space="0" w:color="auto"/>
            </w:tcBorders>
            <w:shd w:val="clear" w:color="auto" w:fill="auto"/>
            <w:noWrap/>
            <w:vAlign w:val="center"/>
            <w:hideMark/>
          </w:tcPr>
          <w:p w14:paraId="2001DDD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22,58</w:t>
            </w:r>
          </w:p>
        </w:tc>
      </w:tr>
      <w:tr w:rsidR="00BF12D5" w:rsidRPr="00BD0223" w14:paraId="6101254D"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26D18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JACI</w:t>
            </w:r>
          </w:p>
        </w:tc>
        <w:tc>
          <w:tcPr>
            <w:tcW w:w="1313" w:type="dxa"/>
            <w:tcBorders>
              <w:top w:val="nil"/>
              <w:left w:val="nil"/>
              <w:bottom w:val="single" w:sz="4" w:space="0" w:color="auto"/>
              <w:right w:val="single" w:sz="4" w:space="0" w:color="auto"/>
            </w:tcBorders>
            <w:shd w:val="clear" w:color="auto" w:fill="auto"/>
            <w:noWrap/>
            <w:vAlign w:val="center"/>
            <w:hideMark/>
          </w:tcPr>
          <w:p w14:paraId="5E5FDC0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6,45</w:t>
            </w:r>
          </w:p>
        </w:tc>
        <w:tc>
          <w:tcPr>
            <w:tcW w:w="1313" w:type="dxa"/>
            <w:tcBorders>
              <w:top w:val="nil"/>
              <w:left w:val="nil"/>
              <w:bottom w:val="single" w:sz="4" w:space="0" w:color="auto"/>
              <w:right w:val="single" w:sz="4" w:space="0" w:color="auto"/>
            </w:tcBorders>
            <w:shd w:val="clear" w:color="auto" w:fill="auto"/>
            <w:noWrap/>
            <w:vAlign w:val="center"/>
            <w:hideMark/>
          </w:tcPr>
          <w:p w14:paraId="1E8918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7,24</w:t>
            </w:r>
          </w:p>
        </w:tc>
        <w:tc>
          <w:tcPr>
            <w:tcW w:w="1313" w:type="dxa"/>
            <w:tcBorders>
              <w:top w:val="nil"/>
              <w:left w:val="nil"/>
              <w:bottom w:val="single" w:sz="4" w:space="0" w:color="auto"/>
              <w:right w:val="single" w:sz="4" w:space="0" w:color="auto"/>
            </w:tcBorders>
            <w:shd w:val="clear" w:color="auto" w:fill="auto"/>
            <w:noWrap/>
            <w:vAlign w:val="center"/>
            <w:hideMark/>
          </w:tcPr>
          <w:p w14:paraId="0C7E523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7,13</w:t>
            </w:r>
          </w:p>
        </w:tc>
        <w:tc>
          <w:tcPr>
            <w:tcW w:w="1313" w:type="dxa"/>
            <w:tcBorders>
              <w:top w:val="nil"/>
              <w:left w:val="nil"/>
              <w:bottom w:val="single" w:sz="4" w:space="0" w:color="auto"/>
              <w:right w:val="single" w:sz="4" w:space="0" w:color="auto"/>
            </w:tcBorders>
            <w:shd w:val="clear" w:color="auto" w:fill="auto"/>
            <w:noWrap/>
            <w:vAlign w:val="center"/>
            <w:hideMark/>
          </w:tcPr>
          <w:p w14:paraId="65253F7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6,85</w:t>
            </w:r>
          </w:p>
        </w:tc>
      </w:tr>
      <w:tr w:rsidR="00BF12D5" w:rsidRPr="00BD0223" w14:paraId="1530DB84"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400F01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JALES</w:t>
            </w:r>
          </w:p>
        </w:tc>
        <w:tc>
          <w:tcPr>
            <w:tcW w:w="1313" w:type="dxa"/>
            <w:tcBorders>
              <w:top w:val="nil"/>
              <w:left w:val="nil"/>
              <w:bottom w:val="single" w:sz="4" w:space="0" w:color="auto"/>
              <w:right w:val="single" w:sz="4" w:space="0" w:color="auto"/>
            </w:tcBorders>
            <w:shd w:val="clear" w:color="auto" w:fill="auto"/>
            <w:noWrap/>
            <w:vAlign w:val="center"/>
            <w:hideMark/>
          </w:tcPr>
          <w:p w14:paraId="3307522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51,39</w:t>
            </w:r>
          </w:p>
        </w:tc>
        <w:tc>
          <w:tcPr>
            <w:tcW w:w="1313" w:type="dxa"/>
            <w:tcBorders>
              <w:top w:val="nil"/>
              <w:left w:val="nil"/>
              <w:bottom w:val="single" w:sz="4" w:space="0" w:color="auto"/>
              <w:right w:val="single" w:sz="4" w:space="0" w:color="auto"/>
            </w:tcBorders>
            <w:shd w:val="clear" w:color="auto" w:fill="auto"/>
            <w:noWrap/>
            <w:vAlign w:val="center"/>
            <w:hideMark/>
          </w:tcPr>
          <w:p w14:paraId="3AE7C46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57,74</w:t>
            </w:r>
          </w:p>
        </w:tc>
        <w:tc>
          <w:tcPr>
            <w:tcW w:w="1313" w:type="dxa"/>
            <w:tcBorders>
              <w:top w:val="nil"/>
              <w:left w:val="nil"/>
              <w:bottom w:val="single" w:sz="4" w:space="0" w:color="auto"/>
              <w:right w:val="single" w:sz="4" w:space="0" w:color="auto"/>
            </w:tcBorders>
            <w:shd w:val="clear" w:color="auto" w:fill="auto"/>
            <w:noWrap/>
            <w:vAlign w:val="center"/>
            <w:hideMark/>
          </w:tcPr>
          <w:p w14:paraId="6865ED7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56,36</w:t>
            </w:r>
          </w:p>
        </w:tc>
        <w:tc>
          <w:tcPr>
            <w:tcW w:w="1313" w:type="dxa"/>
            <w:tcBorders>
              <w:top w:val="nil"/>
              <w:left w:val="nil"/>
              <w:bottom w:val="single" w:sz="4" w:space="0" w:color="auto"/>
              <w:right w:val="single" w:sz="4" w:space="0" w:color="auto"/>
            </w:tcBorders>
            <w:shd w:val="clear" w:color="auto" w:fill="auto"/>
            <w:noWrap/>
            <w:vAlign w:val="center"/>
            <w:hideMark/>
          </w:tcPr>
          <w:p w14:paraId="2953F6D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63,25</w:t>
            </w:r>
          </w:p>
        </w:tc>
      </w:tr>
      <w:tr w:rsidR="00BF12D5" w:rsidRPr="00BD0223" w14:paraId="79C864A3"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E6208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JARDINOPOLIS</w:t>
            </w:r>
          </w:p>
        </w:tc>
        <w:tc>
          <w:tcPr>
            <w:tcW w:w="1313" w:type="dxa"/>
            <w:tcBorders>
              <w:top w:val="nil"/>
              <w:left w:val="nil"/>
              <w:bottom w:val="single" w:sz="4" w:space="0" w:color="auto"/>
              <w:right w:val="single" w:sz="4" w:space="0" w:color="auto"/>
            </w:tcBorders>
            <w:shd w:val="clear" w:color="auto" w:fill="auto"/>
            <w:noWrap/>
            <w:vAlign w:val="center"/>
            <w:hideMark/>
          </w:tcPr>
          <w:p w14:paraId="61F7B27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14,00</w:t>
            </w:r>
          </w:p>
        </w:tc>
        <w:tc>
          <w:tcPr>
            <w:tcW w:w="1313" w:type="dxa"/>
            <w:tcBorders>
              <w:top w:val="nil"/>
              <w:left w:val="nil"/>
              <w:bottom w:val="single" w:sz="4" w:space="0" w:color="auto"/>
              <w:right w:val="single" w:sz="4" w:space="0" w:color="auto"/>
            </w:tcBorders>
            <w:shd w:val="clear" w:color="auto" w:fill="auto"/>
            <w:noWrap/>
            <w:vAlign w:val="center"/>
            <w:hideMark/>
          </w:tcPr>
          <w:p w14:paraId="7686D9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14,50</w:t>
            </w:r>
          </w:p>
        </w:tc>
        <w:tc>
          <w:tcPr>
            <w:tcW w:w="1313" w:type="dxa"/>
            <w:tcBorders>
              <w:top w:val="nil"/>
              <w:left w:val="nil"/>
              <w:bottom w:val="single" w:sz="4" w:space="0" w:color="auto"/>
              <w:right w:val="single" w:sz="4" w:space="0" w:color="auto"/>
            </w:tcBorders>
            <w:shd w:val="clear" w:color="auto" w:fill="auto"/>
            <w:noWrap/>
            <w:vAlign w:val="center"/>
            <w:hideMark/>
          </w:tcPr>
          <w:p w14:paraId="2E587B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17,35</w:t>
            </w:r>
          </w:p>
        </w:tc>
        <w:tc>
          <w:tcPr>
            <w:tcW w:w="1313" w:type="dxa"/>
            <w:tcBorders>
              <w:top w:val="nil"/>
              <w:left w:val="nil"/>
              <w:bottom w:val="single" w:sz="4" w:space="0" w:color="auto"/>
              <w:right w:val="single" w:sz="4" w:space="0" w:color="auto"/>
            </w:tcBorders>
            <w:shd w:val="clear" w:color="auto" w:fill="auto"/>
            <w:noWrap/>
            <w:vAlign w:val="center"/>
            <w:hideMark/>
          </w:tcPr>
          <w:p w14:paraId="137E928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16,10</w:t>
            </w:r>
          </w:p>
        </w:tc>
      </w:tr>
      <w:tr w:rsidR="00BF12D5" w:rsidRPr="00BD0223" w14:paraId="6FF7537B"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7C9BD6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JERIQUARA</w:t>
            </w:r>
          </w:p>
        </w:tc>
        <w:tc>
          <w:tcPr>
            <w:tcW w:w="1313" w:type="dxa"/>
            <w:tcBorders>
              <w:top w:val="nil"/>
              <w:left w:val="nil"/>
              <w:bottom w:val="single" w:sz="4" w:space="0" w:color="auto"/>
              <w:right w:val="single" w:sz="4" w:space="0" w:color="auto"/>
            </w:tcBorders>
            <w:shd w:val="clear" w:color="auto" w:fill="auto"/>
            <w:noWrap/>
            <w:vAlign w:val="center"/>
            <w:hideMark/>
          </w:tcPr>
          <w:p w14:paraId="3172BE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1,21</w:t>
            </w:r>
          </w:p>
        </w:tc>
        <w:tc>
          <w:tcPr>
            <w:tcW w:w="1313" w:type="dxa"/>
            <w:tcBorders>
              <w:top w:val="nil"/>
              <w:left w:val="nil"/>
              <w:bottom w:val="single" w:sz="4" w:space="0" w:color="auto"/>
              <w:right w:val="single" w:sz="4" w:space="0" w:color="auto"/>
            </w:tcBorders>
            <w:shd w:val="clear" w:color="auto" w:fill="auto"/>
            <w:noWrap/>
            <w:vAlign w:val="center"/>
            <w:hideMark/>
          </w:tcPr>
          <w:p w14:paraId="1A06F2A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1,68</w:t>
            </w:r>
          </w:p>
        </w:tc>
        <w:tc>
          <w:tcPr>
            <w:tcW w:w="1313" w:type="dxa"/>
            <w:tcBorders>
              <w:top w:val="nil"/>
              <w:left w:val="nil"/>
              <w:bottom w:val="single" w:sz="4" w:space="0" w:color="auto"/>
              <w:right w:val="single" w:sz="4" w:space="0" w:color="auto"/>
            </w:tcBorders>
            <w:shd w:val="clear" w:color="auto" w:fill="auto"/>
            <w:noWrap/>
            <w:vAlign w:val="center"/>
            <w:hideMark/>
          </w:tcPr>
          <w:p w14:paraId="179819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2,04</w:t>
            </w:r>
          </w:p>
        </w:tc>
        <w:tc>
          <w:tcPr>
            <w:tcW w:w="1313" w:type="dxa"/>
            <w:tcBorders>
              <w:top w:val="nil"/>
              <w:left w:val="nil"/>
              <w:bottom w:val="single" w:sz="4" w:space="0" w:color="auto"/>
              <w:right w:val="single" w:sz="4" w:space="0" w:color="auto"/>
            </w:tcBorders>
            <w:shd w:val="clear" w:color="auto" w:fill="auto"/>
            <w:noWrap/>
            <w:vAlign w:val="center"/>
            <w:hideMark/>
          </w:tcPr>
          <w:p w14:paraId="411C26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2,32</w:t>
            </w:r>
          </w:p>
        </w:tc>
      </w:tr>
      <w:tr w:rsidR="00BF12D5" w:rsidRPr="00BD0223" w14:paraId="7F16CAA1"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E4A964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JOSE BONIFACIO</w:t>
            </w:r>
          </w:p>
        </w:tc>
        <w:tc>
          <w:tcPr>
            <w:tcW w:w="1313" w:type="dxa"/>
            <w:tcBorders>
              <w:top w:val="nil"/>
              <w:left w:val="nil"/>
              <w:bottom w:val="single" w:sz="4" w:space="0" w:color="auto"/>
              <w:right w:val="single" w:sz="4" w:space="0" w:color="auto"/>
            </w:tcBorders>
            <w:shd w:val="clear" w:color="auto" w:fill="auto"/>
            <w:noWrap/>
            <w:vAlign w:val="center"/>
            <w:hideMark/>
          </w:tcPr>
          <w:p w14:paraId="0E73567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25,56</w:t>
            </w:r>
          </w:p>
        </w:tc>
        <w:tc>
          <w:tcPr>
            <w:tcW w:w="1313" w:type="dxa"/>
            <w:tcBorders>
              <w:top w:val="nil"/>
              <w:left w:val="nil"/>
              <w:bottom w:val="single" w:sz="4" w:space="0" w:color="auto"/>
              <w:right w:val="single" w:sz="4" w:space="0" w:color="auto"/>
            </w:tcBorders>
            <w:shd w:val="clear" w:color="auto" w:fill="auto"/>
            <w:noWrap/>
            <w:vAlign w:val="center"/>
            <w:hideMark/>
          </w:tcPr>
          <w:p w14:paraId="79C9E4A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27,56</w:t>
            </w:r>
          </w:p>
        </w:tc>
        <w:tc>
          <w:tcPr>
            <w:tcW w:w="1313" w:type="dxa"/>
            <w:tcBorders>
              <w:top w:val="nil"/>
              <w:left w:val="nil"/>
              <w:bottom w:val="single" w:sz="4" w:space="0" w:color="auto"/>
              <w:right w:val="single" w:sz="4" w:space="0" w:color="auto"/>
            </w:tcBorders>
            <w:shd w:val="clear" w:color="auto" w:fill="auto"/>
            <w:noWrap/>
            <w:vAlign w:val="center"/>
            <w:hideMark/>
          </w:tcPr>
          <w:p w14:paraId="5154F1E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30,45</w:t>
            </w:r>
          </w:p>
        </w:tc>
        <w:tc>
          <w:tcPr>
            <w:tcW w:w="1313" w:type="dxa"/>
            <w:tcBorders>
              <w:top w:val="nil"/>
              <w:left w:val="nil"/>
              <w:bottom w:val="single" w:sz="4" w:space="0" w:color="auto"/>
              <w:right w:val="single" w:sz="4" w:space="0" w:color="auto"/>
            </w:tcBorders>
            <w:shd w:val="clear" w:color="auto" w:fill="auto"/>
            <w:noWrap/>
            <w:vAlign w:val="center"/>
            <w:hideMark/>
          </w:tcPr>
          <w:p w14:paraId="42D1A0E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28,78</w:t>
            </w:r>
          </w:p>
        </w:tc>
      </w:tr>
      <w:tr w:rsidR="00BF12D5" w:rsidRPr="00BD0223" w14:paraId="5AC9FA6F"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2868875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LUIS ANTONIO</w:t>
            </w:r>
          </w:p>
        </w:tc>
        <w:tc>
          <w:tcPr>
            <w:tcW w:w="1313" w:type="dxa"/>
            <w:tcBorders>
              <w:top w:val="nil"/>
              <w:left w:val="nil"/>
              <w:bottom w:val="single" w:sz="4" w:space="0" w:color="auto"/>
              <w:right w:val="single" w:sz="4" w:space="0" w:color="auto"/>
            </w:tcBorders>
            <w:shd w:val="clear" w:color="auto" w:fill="auto"/>
            <w:noWrap/>
            <w:vAlign w:val="center"/>
            <w:hideMark/>
          </w:tcPr>
          <w:p w14:paraId="4D1CCA0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18,05</w:t>
            </w:r>
          </w:p>
        </w:tc>
        <w:tc>
          <w:tcPr>
            <w:tcW w:w="1313" w:type="dxa"/>
            <w:tcBorders>
              <w:top w:val="nil"/>
              <w:left w:val="nil"/>
              <w:bottom w:val="single" w:sz="4" w:space="0" w:color="auto"/>
              <w:right w:val="single" w:sz="4" w:space="0" w:color="auto"/>
            </w:tcBorders>
            <w:shd w:val="clear" w:color="auto" w:fill="auto"/>
            <w:noWrap/>
            <w:vAlign w:val="center"/>
            <w:hideMark/>
          </w:tcPr>
          <w:p w14:paraId="647F5BF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17,19</w:t>
            </w:r>
          </w:p>
        </w:tc>
        <w:tc>
          <w:tcPr>
            <w:tcW w:w="1313" w:type="dxa"/>
            <w:tcBorders>
              <w:top w:val="nil"/>
              <w:left w:val="nil"/>
              <w:bottom w:val="single" w:sz="4" w:space="0" w:color="auto"/>
              <w:right w:val="single" w:sz="4" w:space="0" w:color="auto"/>
            </w:tcBorders>
            <w:shd w:val="clear" w:color="auto" w:fill="auto"/>
            <w:noWrap/>
            <w:vAlign w:val="center"/>
            <w:hideMark/>
          </w:tcPr>
          <w:p w14:paraId="04F6E78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20,28</w:t>
            </w:r>
          </w:p>
        </w:tc>
        <w:tc>
          <w:tcPr>
            <w:tcW w:w="1313" w:type="dxa"/>
            <w:tcBorders>
              <w:top w:val="nil"/>
              <w:left w:val="nil"/>
              <w:bottom w:val="single" w:sz="4" w:space="0" w:color="auto"/>
              <w:right w:val="single" w:sz="4" w:space="0" w:color="auto"/>
            </w:tcBorders>
            <w:shd w:val="clear" w:color="auto" w:fill="auto"/>
            <w:noWrap/>
            <w:vAlign w:val="center"/>
            <w:hideMark/>
          </w:tcPr>
          <w:p w14:paraId="0F1CB1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18,74</w:t>
            </w:r>
          </w:p>
        </w:tc>
      </w:tr>
      <w:tr w:rsidR="00BF12D5" w:rsidRPr="00BD0223" w14:paraId="1A0C549D"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199680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MACAUBAL</w:t>
            </w:r>
          </w:p>
        </w:tc>
        <w:tc>
          <w:tcPr>
            <w:tcW w:w="1313" w:type="dxa"/>
            <w:tcBorders>
              <w:top w:val="nil"/>
              <w:left w:val="nil"/>
              <w:bottom w:val="single" w:sz="4" w:space="0" w:color="auto"/>
              <w:right w:val="single" w:sz="4" w:space="0" w:color="auto"/>
            </w:tcBorders>
            <w:shd w:val="clear" w:color="auto" w:fill="auto"/>
            <w:noWrap/>
            <w:vAlign w:val="center"/>
            <w:hideMark/>
          </w:tcPr>
          <w:p w14:paraId="4538265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1,06</w:t>
            </w:r>
          </w:p>
        </w:tc>
        <w:tc>
          <w:tcPr>
            <w:tcW w:w="1313" w:type="dxa"/>
            <w:tcBorders>
              <w:top w:val="nil"/>
              <w:left w:val="nil"/>
              <w:bottom w:val="single" w:sz="4" w:space="0" w:color="auto"/>
              <w:right w:val="single" w:sz="4" w:space="0" w:color="auto"/>
            </w:tcBorders>
            <w:shd w:val="clear" w:color="auto" w:fill="auto"/>
            <w:noWrap/>
            <w:vAlign w:val="center"/>
            <w:hideMark/>
          </w:tcPr>
          <w:p w14:paraId="1622A22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1,06</w:t>
            </w:r>
          </w:p>
        </w:tc>
        <w:tc>
          <w:tcPr>
            <w:tcW w:w="1313" w:type="dxa"/>
            <w:tcBorders>
              <w:top w:val="nil"/>
              <w:left w:val="nil"/>
              <w:bottom w:val="single" w:sz="4" w:space="0" w:color="auto"/>
              <w:right w:val="single" w:sz="4" w:space="0" w:color="auto"/>
            </w:tcBorders>
            <w:shd w:val="clear" w:color="auto" w:fill="auto"/>
            <w:noWrap/>
            <w:vAlign w:val="center"/>
            <w:hideMark/>
          </w:tcPr>
          <w:p w14:paraId="49B2A86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1,05</w:t>
            </w:r>
          </w:p>
        </w:tc>
        <w:tc>
          <w:tcPr>
            <w:tcW w:w="1313" w:type="dxa"/>
            <w:tcBorders>
              <w:top w:val="nil"/>
              <w:left w:val="nil"/>
              <w:bottom w:val="single" w:sz="4" w:space="0" w:color="auto"/>
              <w:right w:val="single" w:sz="4" w:space="0" w:color="auto"/>
            </w:tcBorders>
            <w:shd w:val="clear" w:color="auto" w:fill="auto"/>
            <w:noWrap/>
            <w:vAlign w:val="center"/>
            <w:hideMark/>
          </w:tcPr>
          <w:p w14:paraId="65F243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1,01</w:t>
            </w:r>
          </w:p>
        </w:tc>
      </w:tr>
      <w:tr w:rsidR="00BF12D5" w:rsidRPr="00BD0223" w14:paraId="125D53D4"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616BF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MACEDONIA</w:t>
            </w:r>
          </w:p>
        </w:tc>
        <w:tc>
          <w:tcPr>
            <w:tcW w:w="1313" w:type="dxa"/>
            <w:tcBorders>
              <w:top w:val="nil"/>
              <w:left w:val="nil"/>
              <w:bottom w:val="single" w:sz="4" w:space="0" w:color="auto"/>
              <w:right w:val="single" w:sz="4" w:space="0" w:color="auto"/>
            </w:tcBorders>
            <w:shd w:val="clear" w:color="auto" w:fill="auto"/>
            <w:noWrap/>
            <w:vAlign w:val="center"/>
            <w:hideMark/>
          </w:tcPr>
          <w:p w14:paraId="11C2975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0,25</w:t>
            </w:r>
          </w:p>
        </w:tc>
        <w:tc>
          <w:tcPr>
            <w:tcW w:w="1313" w:type="dxa"/>
            <w:tcBorders>
              <w:top w:val="nil"/>
              <w:left w:val="nil"/>
              <w:bottom w:val="single" w:sz="4" w:space="0" w:color="auto"/>
              <w:right w:val="single" w:sz="4" w:space="0" w:color="auto"/>
            </w:tcBorders>
            <w:shd w:val="clear" w:color="auto" w:fill="auto"/>
            <w:noWrap/>
            <w:vAlign w:val="center"/>
            <w:hideMark/>
          </w:tcPr>
          <w:p w14:paraId="71340D1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0,49</w:t>
            </w:r>
          </w:p>
        </w:tc>
        <w:tc>
          <w:tcPr>
            <w:tcW w:w="1313" w:type="dxa"/>
            <w:tcBorders>
              <w:top w:val="nil"/>
              <w:left w:val="nil"/>
              <w:bottom w:val="single" w:sz="4" w:space="0" w:color="auto"/>
              <w:right w:val="single" w:sz="4" w:space="0" w:color="auto"/>
            </w:tcBorders>
            <w:shd w:val="clear" w:color="auto" w:fill="auto"/>
            <w:noWrap/>
            <w:vAlign w:val="center"/>
            <w:hideMark/>
          </w:tcPr>
          <w:p w14:paraId="74E6FF3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0,76</w:t>
            </w:r>
          </w:p>
        </w:tc>
        <w:tc>
          <w:tcPr>
            <w:tcW w:w="1313" w:type="dxa"/>
            <w:tcBorders>
              <w:top w:val="nil"/>
              <w:left w:val="nil"/>
              <w:bottom w:val="single" w:sz="4" w:space="0" w:color="auto"/>
              <w:right w:val="single" w:sz="4" w:space="0" w:color="auto"/>
            </w:tcBorders>
            <w:shd w:val="clear" w:color="auto" w:fill="auto"/>
            <w:noWrap/>
            <w:vAlign w:val="center"/>
            <w:hideMark/>
          </w:tcPr>
          <w:p w14:paraId="5CD92B4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0,70</w:t>
            </w:r>
          </w:p>
        </w:tc>
      </w:tr>
      <w:tr w:rsidR="00BF12D5" w:rsidRPr="00BD0223" w14:paraId="6535D61E"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21659F1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MAGDA</w:t>
            </w:r>
          </w:p>
        </w:tc>
        <w:tc>
          <w:tcPr>
            <w:tcW w:w="1313" w:type="dxa"/>
            <w:tcBorders>
              <w:top w:val="nil"/>
              <w:left w:val="nil"/>
              <w:bottom w:val="single" w:sz="4" w:space="0" w:color="auto"/>
              <w:right w:val="single" w:sz="4" w:space="0" w:color="auto"/>
            </w:tcBorders>
            <w:shd w:val="clear" w:color="auto" w:fill="auto"/>
            <w:noWrap/>
            <w:vAlign w:val="center"/>
            <w:hideMark/>
          </w:tcPr>
          <w:p w14:paraId="5296171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1,88</w:t>
            </w:r>
          </w:p>
        </w:tc>
        <w:tc>
          <w:tcPr>
            <w:tcW w:w="1313" w:type="dxa"/>
            <w:tcBorders>
              <w:top w:val="nil"/>
              <w:left w:val="nil"/>
              <w:bottom w:val="single" w:sz="4" w:space="0" w:color="auto"/>
              <w:right w:val="single" w:sz="4" w:space="0" w:color="auto"/>
            </w:tcBorders>
            <w:shd w:val="clear" w:color="auto" w:fill="auto"/>
            <w:noWrap/>
            <w:vAlign w:val="center"/>
            <w:hideMark/>
          </w:tcPr>
          <w:p w14:paraId="6300BB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1,83</w:t>
            </w:r>
          </w:p>
        </w:tc>
        <w:tc>
          <w:tcPr>
            <w:tcW w:w="1313" w:type="dxa"/>
            <w:tcBorders>
              <w:top w:val="nil"/>
              <w:left w:val="nil"/>
              <w:bottom w:val="single" w:sz="4" w:space="0" w:color="auto"/>
              <w:right w:val="single" w:sz="4" w:space="0" w:color="auto"/>
            </w:tcBorders>
            <w:shd w:val="clear" w:color="auto" w:fill="auto"/>
            <w:noWrap/>
            <w:vAlign w:val="center"/>
            <w:hideMark/>
          </w:tcPr>
          <w:p w14:paraId="2E2038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1,92</w:t>
            </w:r>
          </w:p>
        </w:tc>
        <w:tc>
          <w:tcPr>
            <w:tcW w:w="1313" w:type="dxa"/>
            <w:tcBorders>
              <w:top w:val="nil"/>
              <w:left w:val="nil"/>
              <w:bottom w:val="single" w:sz="4" w:space="0" w:color="auto"/>
              <w:right w:val="single" w:sz="4" w:space="0" w:color="auto"/>
            </w:tcBorders>
            <w:shd w:val="clear" w:color="auto" w:fill="auto"/>
            <w:noWrap/>
            <w:vAlign w:val="center"/>
            <w:hideMark/>
          </w:tcPr>
          <w:p w14:paraId="251301B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2,44</w:t>
            </w:r>
          </w:p>
        </w:tc>
      </w:tr>
      <w:tr w:rsidR="00BF12D5" w:rsidRPr="00BD0223" w14:paraId="4D5183FA"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D643AC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MARAPOAMA</w:t>
            </w:r>
          </w:p>
        </w:tc>
        <w:tc>
          <w:tcPr>
            <w:tcW w:w="1313" w:type="dxa"/>
            <w:tcBorders>
              <w:top w:val="nil"/>
              <w:left w:val="nil"/>
              <w:bottom w:val="single" w:sz="4" w:space="0" w:color="auto"/>
              <w:right w:val="single" w:sz="4" w:space="0" w:color="auto"/>
            </w:tcBorders>
            <w:shd w:val="clear" w:color="auto" w:fill="auto"/>
            <w:noWrap/>
            <w:vAlign w:val="center"/>
            <w:hideMark/>
          </w:tcPr>
          <w:p w14:paraId="692FC4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6,34</w:t>
            </w:r>
          </w:p>
        </w:tc>
        <w:tc>
          <w:tcPr>
            <w:tcW w:w="1313" w:type="dxa"/>
            <w:tcBorders>
              <w:top w:val="nil"/>
              <w:left w:val="nil"/>
              <w:bottom w:val="single" w:sz="4" w:space="0" w:color="auto"/>
              <w:right w:val="single" w:sz="4" w:space="0" w:color="auto"/>
            </w:tcBorders>
            <w:shd w:val="clear" w:color="auto" w:fill="auto"/>
            <w:noWrap/>
            <w:vAlign w:val="center"/>
            <w:hideMark/>
          </w:tcPr>
          <w:p w14:paraId="6883E5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7,83</w:t>
            </w:r>
          </w:p>
        </w:tc>
        <w:tc>
          <w:tcPr>
            <w:tcW w:w="1313" w:type="dxa"/>
            <w:tcBorders>
              <w:top w:val="nil"/>
              <w:left w:val="nil"/>
              <w:bottom w:val="single" w:sz="4" w:space="0" w:color="auto"/>
              <w:right w:val="single" w:sz="4" w:space="0" w:color="auto"/>
            </w:tcBorders>
            <w:shd w:val="clear" w:color="auto" w:fill="auto"/>
            <w:noWrap/>
            <w:vAlign w:val="center"/>
            <w:hideMark/>
          </w:tcPr>
          <w:p w14:paraId="270F06D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8,31</w:t>
            </w:r>
          </w:p>
        </w:tc>
        <w:tc>
          <w:tcPr>
            <w:tcW w:w="1313" w:type="dxa"/>
            <w:tcBorders>
              <w:top w:val="nil"/>
              <w:left w:val="nil"/>
              <w:bottom w:val="single" w:sz="4" w:space="0" w:color="auto"/>
              <w:right w:val="single" w:sz="4" w:space="0" w:color="auto"/>
            </w:tcBorders>
            <w:shd w:val="clear" w:color="auto" w:fill="auto"/>
            <w:noWrap/>
            <w:vAlign w:val="center"/>
            <w:hideMark/>
          </w:tcPr>
          <w:p w14:paraId="0685927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8,29</w:t>
            </w:r>
          </w:p>
        </w:tc>
      </w:tr>
      <w:tr w:rsidR="00BF12D5" w:rsidRPr="00BD0223" w14:paraId="44EE5D46"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B40DAF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MARIAPOLIS</w:t>
            </w:r>
          </w:p>
        </w:tc>
        <w:tc>
          <w:tcPr>
            <w:tcW w:w="1313" w:type="dxa"/>
            <w:tcBorders>
              <w:top w:val="nil"/>
              <w:left w:val="nil"/>
              <w:bottom w:val="single" w:sz="4" w:space="0" w:color="auto"/>
              <w:right w:val="single" w:sz="4" w:space="0" w:color="auto"/>
            </w:tcBorders>
            <w:shd w:val="clear" w:color="auto" w:fill="auto"/>
            <w:noWrap/>
            <w:vAlign w:val="center"/>
            <w:hideMark/>
          </w:tcPr>
          <w:p w14:paraId="121E45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0,30</w:t>
            </w:r>
          </w:p>
        </w:tc>
        <w:tc>
          <w:tcPr>
            <w:tcW w:w="1313" w:type="dxa"/>
            <w:tcBorders>
              <w:top w:val="nil"/>
              <w:left w:val="nil"/>
              <w:bottom w:val="single" w:sz="4" w:space="0" w:color="auto"/>
              <w:right w:val="single" w:sz="4" w:space="0" w:color="auto"/>
            </w:tcBorders>
            <w:shd w:val="clear" w:color="auto" w:fill="auto"/>
            <w:noWrap/>
            <w:vAlign w:val="center"/>
            <w:hideMark/>
          </w:tcPr>
          <w:p w14:paraId="2E6D4E0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0,30</w:t>
            </w:r>
          </w:p>
        </w:tc>
        <w:tc>
          <w:tcPr>
            <w:tcW w:w="1313" w:type="dxa"/>
            <w:tcBorders>
              <w:top w:val="nil"/>
              <w:left w:val="nil"/>
              <w:bottom w:val="single" w:sz="4" w:space="0" w:color="auto"/>
              <w:right w:val="single" w:sz="4" w:space="0" w:color="auto"/>
            </w:tcBorders>
            <w:shd w:val="clear" w:color="auto" w:fill="auto"/>
            <w:noWrap/>
            <w:vAlign w:val="center"/>
            <w:hideMark/>
          </w:tcPr>
          <w:p w14:paraId="3257D7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0,32</w:t>
            </w:r>
          </w:p>
        </w:tc>
        <w:tc>
          <w:tcPr>
            <w:tcW w:w="1313" w:type="dxa"/>
            <w:tcBorders>
              <w:top w:val="nil"/>
              <w:left w:val="nil"/>
              <w:bottom w:val="single" w:sz="4" w:space="0" w:color="auto"/>
              <w:right w:val="single" w:sz="4" w:space="0" w:color="auto"/>
            </w:tcBorders>
            <w:shd w:val="clear" w:color="auto" w:fill="auto"/>
            <w:noWrap/>
            <w:vAlign w:val="center"/>
            <w:hideMark/>
          </w:tcPr>
          <w:p w14:paraId="6EF8414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0,34</w:t>
            </w:r>
          </w:p>
        </w:tc>
      </w:tr>
      <w:tr w:rsidR="00BF12D5" w:rsidRPr="00BD0223" w14:paraId="06369E12"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77D1D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MENDONCA</w:t>
            </w:r>
          </w:p>
        </w:tc>
        <w:tc>
          <w:tcPr>
            <w:tcW w:w="1313" w:type="dxa"/>
            <w:tcBorders>
              <w:top w:val="nil"/>
              <w:left w:val="nil"/>
              <w:bottom w:val="single" w:sz="4" w:space="0" w:color="auto"/>
              <w:right w:val="single" w:sz="4" w:space="0" w:color="auto"/>
            </w:tcBorders>
            <w:shd w:val="clear" w:color="auto" w:fill="auto"/>
            <w:noWrap/>
            <w:vAlign w:val="center"/>
            <w:hideMark/>
          </w:tcPr>
          <w:p w14:paraId="65EA0D2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9,80</w:t>
            </w:r>
          </w:p>
        </w:tc>
        <w:tc>
          <w:tcPr>
            <w:tcW w:w="1313" w:type="dxa"/>
            <w:tcBorders>
              <w:top w:val="nil"/>
              <w:left w:val="nil"/>
              <w:bottom w:val="single" w:sz="4" w:space="0" w:color="auto"/>
              <w:right w:val="single" w:sz="4" w:space="0" w:color="auto"/>
            </w:tcBorders>
            <w:shd w:val="clear" w:color="auto" w:fill="auto"/>
            <w:noWrap/>
            <w:vAlign w:val="center"/>
            <w:hideMark/>
          </w:tcPr>
          <w:p w14:paraId="5F06C3C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10,36</w:t>
            </w:r>
          </w:p>
        </w:tc>
        <w:tc>
          <w:tcPr>
            <w:tcW w:w="1313" w:type="dxa"/>
            <w:tcBorders>
              <w:top w:val="nil"/>
              <w:left w:val="nil"/>
              <w:bottom w:val="single" w:sz="4" w:space="0" w:color="auto"/>
              <w:right w:val="single" w:sz="4" w:space="0" w:color="auto"/>
            </w:tcBorders>
            <w:shd w:val="clear" w:color="auto" w:fill="auto"/>
            <w:noWrap/>
            <w:vAlign w:val="center"/>
            <w:hideMark/>
          </w:tcPr>
          <w:p w14:paraId="21911E0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11,79</w:t>
            </w:r>
          </w:p>
        </w:tc>
        <w:tc>
          <w:tcPr>
            <w:tcW w:w="1313" w:type="dxa"/>
            <w:tcBorders>
              <w:top w:val="nil"/>
              <w:left w:val="nil"/>
              <w:bottom w:val="single" w:sz="4" w:space="0" w:color="auto"/>
              <w:right w:val="single" w:sz="4" w:space="0" w:color="auto"/>
            </w:tcBorders>
            <w:shd w:val="clear" w:color="auto" w:fill="auto"/>
            <w:noWrap/>
            <w:vAlign w:val="center"/>
            <w:hideMark/>
          </w:tcPr>
          <w:p w14:paraId="573ACF7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11,13</w:t>
            </w:r>
          </w:p>
        </w:tc>
      </w:tr>
      <w:tr w:rsidR="00BF12D5" w:rsidRPr="00BD0223" w14:paraId="2B169FF1"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85AB9B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MERIDIANO</w:t>
            </w:r>
          </w:p>
        </w:tc>
        <w:tc>
          <w:tcPr>
            <w:tcW w:w="1313" w:type="dxa"/>
            <w:tcBorders>
              <w:top w:val="nil"/>
              <w:left w:val="nil"/>
              <w:bottom w:val="single" w:sz="4" w:space="0" w:color="auto"/>
              <w:right w:val="single" w:sz="4" w:space="0" w:color="auto"/>
            </w:tcBorders>
            <w:shd w:val="clear" w:color="auto" w:fill="auto"/>
            <w:noWrap/>
            <w:vAlign w:val="center"/>
            <w:hideMark/>
          </w:tcPr>
          <w:p w14:paraId="4B9426A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10,68</w:t>
            </w:r>
          </w:p>
        </w:tc>
        <w:tc>
          <w:tcPr>
            <w:tcW w:w="1313" w:type="dxa"/>
            <w:tcBorders>
              <w:top w:val="nil"/>
              <w:left w:val="nil"/>
              <w:bottom w:val="single" w:sz="4" w:space="0" w:color="auto"/>
              <w:right w:val="single" w:sz="4" w:space="0" w:color="auto"/>
            </w:tcBorders>
            <w:shd w:val="clear" w:color="auto" w:fill="auto"/>
            <w:noWrap/>
            <w:vAlign w:val="center"/>
            <w:hideMark/>
          </w:tcPr>
          <w:p w14:paraId="0D9CC2D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17,90</w:t>
            </w:r>
          </w:p>
        </w:tc>
        <w:tc>
          <w:tcPr>
            <w:tcW w:w="1313" w:type="dxa"/>
            <w:tcBorders>
              <w:top w:val="nil"/>
              <w:left w:val="nil"/>
              <w:bottom w:val="single" w:sz="4" w:space="0" w:color="auto"/>
              <w:right w:val="single" w:sz="4" w:space="0" w:color="auto"/>
            </w:tcBorders>
            <w:shd w:val="clear" w:color="auto" w:fill="auto"/>
            <w:noWrap/>
            <w:vAlign w:val="center"/>
            <w:hideMark/>
          </w:tcPr>
          <w:p w14:paraId="51EBA5F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24,17</w:t>
            </w:r>
          </w:p>
        </w:tc>
        <w:tc>
          <w:tcPr>
            <w:tcW w:w="1313" w:type="dxa"/>
            <w:tcBorders>
              <w:top w:val="nil"/>
              <w:left w:val="nil"/>
              <w:bottom w:val="single" w:sz="4" w:space="0" w:color="auto"/>
              <w:right w:val="single" w:sz="4" w:space="0" w:color="auto"/>
            </w:tcBorders>
            <w:shd w:val="clear" w:color="auto" w:fill="auto"/>
            <w:noWrap/>
            <w:vAlign w:val="center"/>
            <w:hideMark/>
          </w:tcPr>
          <w:p w14:paraId="584A07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25,78</w:t>
            </w:r>
          </w:p>
        </w:tc>
      </w:tr>
      <w:tr w:rsidR="00BF12D5" w:rsidRPr="00BD0223" w14:paraId="2C4F738B"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E02BDB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MESOPOLIS</w:t>
            </w:r>
          </w:p>
        </w:tc>
        <w:tc>
          <w:tcPr>
            <w:tcW w:w="1313" w:type="dxa"/>
            <w:tcBorders>
              <w:top w:val="nil"/>
              <w:left w:val="nil"/>
              <w:bottom w:val="single" w:sz="4" w:space="0" w:color="auto"/>
              <w:right w:val="single" w:sz="4" w:space="0" w:color="auto"/>
            </w:tcBorders>
            <w:shd w:val="clear" w:color="auto" w:fill="auto"/>
            <w:noWrap/>
            <w:vAlign w:val="center"/>
            <w:hideMark/>
          </w:tcPr>
          <w:p w14:paraId="6A33DA4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0,05</w:t>
            </w:r>
          </w:p>
        </w:tc>
        <w:tc>
          <w:tcPr>
            <w:tcW w:w="1313" w:type="dxa"/>
            <w:tcBorders>
              <w:top w:val="nil"/>
              <w:left w:val="nil"/>
              <w:bottom w:val="single" w:sz="4" w:space="0" w:color="auto"/>
              <w:right w:val="single" w:sz="4" w:space="0" w:color="auto"/>
            </w:tcBorders>
            <w:shd w:val="clear" w:color="auto" w:fill="auto"/>
            <w:noWrap/>
            <w:vAlign w:val="center"/>
            <w:hideMark/>
          </w:tcPr>
          <w:p w14:paraId="624AEC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0,16</w:t>
            </w:r>
          </w:p>
        </w:tc>
        <w:tc>
          <w:tcPr>
            <w:tcW w:w="1313" w:type="dxa"/>
            <w:tcBorders>
              <w:top w:val="nil"/>
              <w:left w:val="nil"/>
              <w:bottom w:val="single" w:sz="4" w:space="0" w:color="auto"/>
              <w:right w:val="single" w:sz="4" w:space="0" w:color="auto"/>
            </w:tcBorders>
            <w:shd w:val="clear" w:color="auto" w:fill="auto"/>
            <w:noWrap/>
            <w:vAlign w:val="center"/>
            <w:hideMark/>
          </w:tcPr>
          <w:p w14:paraId="6F62C87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0,15</w:t>
            </w:r>
          </w:p>
        </w:tc>
        <w:tc>
          <w:tcPr>
            <w:tcW w:w="1313" w:type="dxa"/>
            <w:tcBorders>
              <w:top w:val="nil"/>
              <w:left w:val="nil"/>
              <w:bottom w:val="single" w:sz="4" w:space="0" w:color="auto"/>
              <w:right w:val="single" w:sz="4" w:space="0" w:color="auto"/>
            </w:tcBorders>
            <w:shd w:val="clear" w:color="auto" w:fill="auto"/>
            <w:noWrap/>
            <w:vAlign w:val="center"/>
            <w:hideMark/>
          </w:tcPr>
          <w:p w14:paraId="3BB1BA9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0,13</w:t>
            </w:r>
          </w:p>
        </w:tc>
      </w:tr>
      <w:tr w:rsidR="00BF12D5" w:rsidRPr="00BD0223" w14:paraId="440CFA1F"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F1062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MIGUELOPOLIS</w:t>
            </w:r>
          </w:p>
        </w:tc>
        <w:tc>
          <w:tcPr>
            <w:tcW w:w="1313" w:type="dxa"/>
            <w:tcBorders>
              <w:top w:val="nil"/>
              <w:left w:val="nil"/>
              <w:bottom w:val="single" w:sz="4" w:space="0" w:color="auto"/>
              <w:right w:val="single" w:sz="4" w:space="0" w:color="auto"/>
            </w:tcBorders>
            <w:shd w:val="clear" w:color="auto" w:fill="auto"/>
            <w:noWrap/>
            <w:vAlign w:val="center"/>
            <w:hideMark/>
          </w:tcPr>
          <w:p w14:paraId="32A6761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2,38</w:t>
            </w:r>
          </w:p>
        </w:tc>
        <w:tc>
          <w:tcPr>
            <w:tcW w:w="1313" w:type="dxa"/>
            <w:tcBorders>
              <w:top w:val="nil"/>
              <w:left w:val="nil"/>
              <w:bottom w:val="single" w:sz="4" w:space="0" w:color="auto"/>
              <w:right w:val="single" w:sz="4" w:space="0" w:color="auto"/>
            </w:tcBorders>
            <w:shd w:val="clear" w:color="auto" w:fill="auto"/>
            <w:noWrap/>
            <w:vAlign w:val="center"/>
            <w:hideMark/>
          </w:tcPr>
          <w:p w14:paraId="370E2CB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2,51</w:t>
            </w:r>
          </w:p>
        </w:tc>
        <w:tc>
          <w:tcPr>
            <w:tcW w:w="1313" w:type="dxa"/>
            <w:tcBorders>
              <w:top w:val="nil"/>
              <w:left w:val="nil"/>
              <w:bottom w:val="single" w:sz="4" w:space="0" w:color="auto"/>
              <w:right w:val="single" w:sz="4" w:space="0" w:color="auto"/>
            </w:tcBorders>
            <w:shd w:val="clear" w:color="auto" w:fill="auto"/>
            <w:noWrap/>
            <w:vAlign w:val="center"/>
            <w:hideMark/>
          </w:tcPr>
          <w:p w14:paraId="35D593A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2,55</w:t>
            </w:r>
          </w:p>
        </w:tc>
        <w:tc>
          <w:tcPr>
            <w:tcW w:w="1313" w:type="dxa"/>
            <w:tcBorders>
              <w:top w:val="nil"/>
              <w:left w:val="nil"/>
              <w:bottom w:val="single" w:sz="4" w:space="0" w:color="auto"/>
              <w:right w:val="single" w:sz="4" w:space="0" w:color="auto"/>
            </w:tcBorders>
            <w:shd w:val="clear" w:color="auto" w:fill="auto"/>
            <w:noWrap/>
            <w:vAlign w:val="center"/>
            <w:hideMark/>
          </w:tcPr>
          <w:p w14:paraId="5D8EA2E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2,10</w:t>
            </w:r>
          </w:p>
        </w:tc>
      </w:tr>
      <w:tr w:rsidR="00BF12D5" w:rsidRPr="00BD0223" w14:paraId="38613F42"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0E44E8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MIRA ESTRELA</w:t>
            </w:r>
          </w:p>
        </w:tc>
        <w:tc>
          <w:tcPr>
            <w:tcW w:w="1313" w:type="dxa"/>
            <w:tcBorders>
              <w:top w:val="nil"/>
              <w:left w:val="nil"/>
              <w:bottom w:val="single" w:sz="4" w:space="0" w:color="auto"/>
              <w:right w:val="single" w:sz="4" w:space="0" w:color="auto"/>
            </w:tcBorders>
            <w:shd w:val="clear" w:color="auto" w:fill="auto"/>
            <w:noWrap/>
            <w:vAlign w:val="center"/>
            <w:hideMark/>
          </w:tcPr>
          <w:p w14:paraId="11A668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0,44</w:t>
            </w:r>
          </w:p>
        </w:tc>
        <w:tc>
          <w:tcPr>
            <w:tcW w:w="1313" w:type="dxa"/>
            <w:tcBorders>
              <w:top w:val="nil"/>
              <w:left w:val="nil"/>
              <w:bottom w:val="single" w:sz="4" w:space="0" w:color="auto"/>
              <w:right w:val="single" w:sz="4" w:space="0" w:color="auto"/>
            </w:tcBorders>
            <w:shd w:val="clear" w:color="auto" w:fill="auto"/>
            <w:noWrap/>
            <w:vAlign w:val="center"/>
            <w:hideMark/>
          </w:tcPr>
          <w:p w14:paraId="38045C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0,48</w:t>
            </w:r>
          </w:p>
        </w:tc>
        <w:tc>
          <w:tcPr>
            <w:tcW w:w="1313" w:type="dxa"/>
            <w:tcBorders>
              <w:top w:val="nil"/>
              <w:left w:val="nil"/>
              <w:bottom w:val="single" w:sz="4" w:space="0" w:color="auto"/>
              <w:right w:val="single" w:sz="4" w:space="0" w:color="auto"/>
            </w:tcBorders>
            <w:shd w:val="clear" w:color="auto" w:fill="auto"/>
            <w:noWrap/>
            <w:vAlign w:val="center"/>
            <w:hideMark/>
          </w:tcPr>
          <w:p w14:paraId="1A4A7A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0,60</w:t>
            </w:r>
          </w:p>
        </w:tc>
        <w:tc>
          <w:tcPr>
            <w:tcW w:w="1313" w:type="dxa"/>
            <w:tcBorders>
              <w:top w:val="nil"/>
              <w:left w:val="nil"/>
              <w:bottom w:val="single" w:sz="4" w:space="0" w:color="auto"/>
              <w:right w:val="single" w:sz="4" w:space="0" w:color="auto"/>
            </w:tcBorders>
            <w:shd w:val="clear" w:color="auto" w:fill="auto"/>
            <w:noWrap/>
            <w:vAlign w:val="center"/>
            <w:hideMark/>
          </w:tcPr>
          <w:p w14:paraId="363F606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0,71</w:t>
            </w:r>
          </w:p>
        </w:tc>
      </w:tr>
      <w:tr w:rsidR="00BF12D5" w:rsidRPr="00BD0223" w14:paraId="78148D51"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5C48E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MIRASSOL</w:t>
            </w:r>
          </w:p>
        </w:tc>
        <w:tc>
          <w:tcPr>
            <w:tcW w:w="1313" w:type="dxa"/>
            <w:tcBorders>
              <w:top w:val="nil"/>
              <w:left w:val="nil"/>
              <w:bottom w:val="single" w:sz="4" w:space="0" w:color="auto"/>
              <w:right w:val="single" w:sz="4" w:space="0" w:color="auto"/>
            </w:tcBorders>
            <w:shd w:val="clear" w:color="auto" w:fill="auto"/>
            <w:noWrap/>
            <w:vAlign w:val="center"/>
            <w:hideMark/>
          </w:tcPr>
          <w:p w14:paraId="609CE32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36,07</w:t>
            </w:r>
          </w:p>
        </w:tc>
        <w:tc>
          <w:tcPr>
            <w:tcW w:w="1313" w:type="dxa"/>
            <w:tcBorders>
              <w:top w:val="nil"/>
              <w:left w:val="nil"/>
              <w:bottom w:val="single" w:sz="4" w:space="0" w:color="auto"/>
              <w:right w:val="single" w:sz="4" w:space="0" w:color="auto"/>
            </w:tcBorders>
            <w:shd w:val="clear" w:color="auto" w:fill="auto"/>
            <w:noWrap/>
            <w:vAlign w:val="center"/>
            <w:hideMark/>
          </w:tcPr>
          <w:p w14:paraId="7DC330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41,05</w:t>
            </w:r>
          </w:p>
        </w:tc>
        <w:tc>
          <w:tcPr>
            <w:tcW w:w="1313" w:type="dxa"/>
            <w:tcBorders>
              <w:top w:val="nil"/>
              <w:left w:val="nil"/>
              <w:bottom w:val="single" w:sz="4" w:space="0" w:color="auto"/>
              <w:right w:val="single" w:sz="4" w:space="0" w:color="auto"/>
            </w:tcBorders>
            <w:shd w:val="clear" w:color="auto" w:fill="auto"/>
            <w:noWrap/>
            <w:vAlign w:val="center"/>
            <w:hideMark/>
          </w:tcPr>
          <w:p w14:paraId="442E363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46,63</w:t>
            </w:r>
          </w:p>
        </w:tc>
        <w:tc>
          <w:tcPr>
            <w:tcW w:w="1313" w:type="dxa"/>
            <w:tcBorders>
              <w:top w:val="nil"/>
              <w:left w:val="nil"/>
              <w:bottom w:val="single" w:sz="4" w:space="0" w:color="auto"/>
              <w:right w:val="single" w:sz="4" w:space="0" w:color="auto"/>
            </w:tcBorders>
            <w:shd w:val="clear" w:color="auto" w:fill="auto"/>
            <w:noWrap/>
            <w:vAlign w:val="center"/>
            <w:hideMark/>
          </w:tcPr>
          <w:p w14:paraId="3BE26A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48,46</w:t>
            </w:r>
          </w:p>
        </w:tc>
      </w:tr>
      <w:tr w:rsidR="00BF12D5" w:rsidRPr="00BD0223" w14:paraId="3D8FBA62"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77E66F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MIRASSOLANDIA</w:t>
            </w:r>
          </w:p>
        </w:tc>
        <w:tc>
          <w:tcPr>
            <w:tcW w:w="1313" w:type="dxa"/>
            <w:tcBorders>
              <w:top w:val="nil"/>
              <w:left w:val="nil"/>
              <w:bottom w:val="single" w:sz="4" w:space="0" w:color="auto"/>
              <w:right w:val="single" w:sz="4" w:space="0" w:color="auto"/>
            </w:tcBorders>
            <w:shd w:val="clear" w:color="auto" w:fill="auto"/>
            <w:noWrap/>
            <w:vAlign w:val="center"/>
            <w:hideMark/>
          </w:tcPr>
          <w:p w14:paraId="57410C6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0,51</w:t>
            </w:r>
          </w:p>
        </w:tc>
        <w:tc>
          <w:tcPr>
            <w:tcW w:w="1313" w:type="dxa"/>
            <w:tcBorders>
              <w:top w:val="nil"/>
              <w:left w:val="nil"/>
              <w:bottom w:val="single" w:sz="4" w:space="0" w:color="auto"/>
              <w:right w:val="single" w:sz="4" w:space="0" w:color="auto"/>
            </w:tcBorders>
            <w:shd w:val="clear" w:color="auto" w:fill="auto"/>
            <w:noWrap/>
            <w:vAlign w:val="center"/>
            <w:hideMark/>
          </w:tcPr>
          <w:p w14:paraId="7585191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0,46</w:t>
            </w:r>
          </w:p>
        </w:tc>
        <w:tc>
          <w:tcPr>
            <w:tcW w:w="1313" w:type="dxa"/>
            <w:tcBorders>
              <w:top w:val="nil"/>
              <w:left w:val="nil"/>
              <w:bottom w:val="single" w:sz="4" w:space="0" w:color="auto"/>
              <w:right w:val="single" w:sz="4" w:space="0" w:color="auto"/>
            </w:tcBorders>
            <w:shd w:val="clear" w:color="auto" w:fill="auto"/>
            <w:noWrap/>
            <w:vAlign w:val="center"/>
            <w:hideMark/>
          </w:tcPr>
          <w:p w14:paraId="0E1F78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0,54</w:t>
            </w:r>
          </w:p>
        </w:tc>
        <w:tc>
          <w:tcPr>
            <w:tcW w:w="1313" w:type="dxa"/>
            <w:tcBorders>
              <w:top w:val="nil"/>
              <w:left w:val="nil"/>
              <w:bottom w:val="single" w:sz="4" w:space="0" w:color="auto"/>
              <w:right w:val="single" w:sz="4" w:space="0" w:color="auto"/>
            </w:tcBorders>
            <w:shd w:val="clear" w:color="auto" w:fill="auto"/>
            <w:noWrap/>
            <w:vAlign w:val="center"/>
            <w:hideMark/>
          </w:tcPr>
          <w:p w14:paraId="68631E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0,46</w:t>
            </w:r>
          </w:p>
        </w:tc>
      </w:tr>
      <w:tr w:rsidR="00BF12D5" w:rsidRPr="00BD0223" w14:paraId="5F797555"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DEE26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MONCOES</w:t>
            </w:r>
          </w:p>
        </w:tc>
        <w:tc>
          <w:tcPr>
            <w:tcW w:w="1313" w:type="dxa"/>
            <w:tcBorders>
              <w:top w:val="nil"/>
              <w:left w:val="nil"/>
              <w:bottom w:val="single" w:sz="4" w:space="0" w:color="auto"/>
              <w:right w:val="single" w:sz="4" w:space="0" w:color="auto"/>
            </w:tcBorders>
            <w:shd w:val="clear" w:color="auto" w:fill="auto"/>
            <w:noWrap/>
            <w:vAlign w:val="center"/>
            <w:hideMark/>
          </w:tcPr>
          <w:p w14:paraId="4437BD5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9,46</w:t>
            </w:r>
          </w:p>
        </w:tc>
        <w:tc>
          <w:tcPr>
            <w:tcW w:w="1313" w:type="dxa"/>
            <w:tcBorders>
              <w:top w:val="nil"/>
              <w:left w:val="nil"/>
              <w:bottom w:val="single" w:sz="4" w:space="0" w:color="auto"/>
              <w:right w:val="single" w:sz="4" w:space="0" w:color="auto"/>
            </w:tcBorders>
            <w:shd w:val="clear" w:color="auto" w:fill="auto"/>
            <w:noWrap/>
            <w:vAlign w:val="center"/>
            <w:hideMark/>
          </w:tcPr>
          <w:p w14:paraId="2968421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11,54</w:t>
            </w:r>
          </w:p>
        </w:tc>
        <w:tc>
          <w:tcPr>
            <w:tcW w:w="1313" w:type="dxa"/>
            <w:tcBorders>
              <w:top w:val="nil"/>
              <w:left w:val="nil"/>
              <w:bottom w:val="single" w:sz="4" w:space="0" w:color="auto"/>
              <w:right w:val="single" w:sz="4" w:space="0" w:color="auto"/>
            </w:tcBorders>
            <w:shd w:val="clear" w:color="auto" w:fill="auto"/>
            <w:noWrap/>
            <w:vAlign w:val="center"/>
            <w:hideMark/>
          </w:tcPr>
          <w:p w14:paraId="1FBB89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13,17</w:t>
            </w:r>
          </w:p>
        </w:tc>
        <w:tc>
          <w:tcPr>
            <w:tcW w:w="1313" w:type="dxa"/>
            <w:tcBorders>
              <w:top w:val="nil"/>
              <w:left w:val="nil"/>
              <w:bottom w:val="single" w:sz="4" w:space="0" w:color="auto"/>
              <w:right w:val="single" w:sz="4" w:space="0" w:color="auto"/>
            </w:tcBorders>
            <w:shd w:val="clear" w:color="auto" w:fill="auto"/>
            <w:noWrap/>
            <w:vAlign w:val="center"/>
            <w:hideMark/>
          </w:tcPr>
          <w:p w14:paraId="789AA3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10,58</w:t>
            </w:r>
          </w:p>
        </w:tc>
      </w:tr>
      <w:tr w:rsidR="00BF12D5" w:rsidRPr="00BD0223" w14:paraId="2AAFB8D0"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1971C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MONTE ALTO</w:t>
            </w:r>
          </w:p>
        </w:tc>
        <w:tc>
          <w:tcPr>
            <w:tcW w:w="1313" w:type="dxa"/>
            <w:tcBorders>
              <w:top w:val="nil"/>
              <w:left w:val="nil"/>
              <w:bottom w:val="single" w:sz="4" w:space="0" w:color="auto"/>
              <w:right w:val="single" w:sz="4" w:space="0" w:color="auto"/>
            </w:tcBorders>
            <w:shd w:val="clear" w:color="auto" w:fill="auto"/>
            <w:noWrap/>
            <w:vAlign w:val="center"/>
            <w:hideMark/>
          </w:tcPr>
          <w:p w14:paraId="2D2237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9,20</w:t>
            </w:r>
          </w:p>
        </w:tc>
        <w:tc>
          <w:tcPr>
            <w:tcW w:w="1313" w:type="dxa"/>
            <w:tcBorders>
              <w:top w:val="nil"/>
              <w:left w:val="nil"/>
              <w:bottom w:val="single" w:sz="4" w:space="0" w:color="auto"/>
              <w:right w:val="single" w:sz="4" w:space="0" w:color="auto"/>
            </w:tcBorders>
            <w:shd w:val="clear" w:color="auto" w:fill="auto"/>
            <w:noWrap/>
            <w:vAlign w:val="center"/>
            <w:hideMark/>
          </w:tcPr>
          <w:p w14:paraId="14C1D5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9,43</w:t>
            </w:r>
          </w:p>
        </w:tc>
        <w:tc>
          <w:tcPr>
            <w:tcW w:w="1313" w:type="dxa"/>
            <w:tcBorders>
              <w:top w:val="nil"/>
              <w:left w:val="nil"/>
              <w:bottom w:val="single" w:sz="4" w:space="0" w:color="auto"/>
              <w:right w:val="single" w:sz="4" w:space="0" w:color="auto"/>
            </w:tcBorders>
            <w:shd w:val="clear" w:color="auto" w:fill="auto"/>
            <w:noWrap/>
            <w:vAlign w:val="center"/>
            <w:hideMark/>
          </w:tcPr>
          <w:p w14:paraId="6B333E5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10,04</w:t>
            </w:r>
          </w:p>
        </w:tc>
        <w:tc>
          <w:tcPr>
            <w:tcW w:w="1313" w:type="dxa"/>
            <w:tcBorders>
              <w:top w:val="nil"/>
              <w:left w:val="nil"/>
              <w:bottom w:val="single" w:sz="4" w:space="0" w:color="auto"/>
              <w:right w:val="single" w:sz="4" w:space="0" w:color="auto"/>
            </w:tcBorders>
            <w:shd w:val="clear" w:color="auto" w:fill="auto"/>
            <w:noWrap/>
            <w:vAlign w:val="center"/>
            <w:hideMark/>
          </w:tcPr>
          <w:p w14:paraId="27EC2E0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9,96</w:t>
            </w:r>
          </w:p>
        </w:tc>
      </w:tr>
      <w:tr w:rsidR="00BF12D5" w:rsidRPr="00BD0223" w14:paraId="1C8E1815"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3251C25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lastRenderedPageBreak/>
              <w:t>MONTE APRAZIVEL</w:t>
            </w:r>
          </w:p>
        </w:tc>
        <w:tc>
          <w:tcPr>
            <w:tcW w:w="1313" w:type="dxa"/>
            <w:tcBorders>
              <w:top w:val="nil"/>
              <w:left w:val="nil"/>
              <w:bottom w:val="single" w:sz="4" w:space="0" w:color="auto"/>
              <w:right w:val="single" w:sz="4" w:space="0" w:color="auto"/>
            </w:tcBorders>
            <w:shd w:val="clear" w:color="auto" w:fill="auto"/>
            <w:noWrap/>
            <w:vAlign w:val="center"/>
            <w:hideMark/>
          </w:tcPr>
          <w:p w14:paraId="0599D8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4,10</w:t>
            </w:r>
          </w:p>
        </w:tc>
        <w:tc>
          <w:tcPr>
            <w:tcW w:w="1313" w:type="dxa"/>
            <w:tcBorders>
              <w:top w:val="nil"/>
              <w:left w:val="nil"/>
              <w:bottom w:val="single" w:sz="4" w:space="0" w:color="auto"/>
              <w:right w:val="single" w:sz="4" w:space="0" w:color="auto"/>
            </w:tcBorders>
            <w:shd w:val="clear" w:color="auto" w:fill="auto"/>
            <w:noWrap/>
            <w:vAlign w:val="center"/>
            <w:hideMark/>
          </w:tcPr>
          <w:p w14:paraId="7A1E1B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9,33</w:t>
            </w:r>
          </w:p>
        </w:tc>
        <w:tc>
          <w:tcPr>
            <w:tcW w:w="1313" w:type="dxa"/>
            <w:tcBorders>
              <w:top w:val="nil"/>
              <w:left w:val="nil"/>
              <w:bottom w:val="single" w:sz="4" w:space="0" w:color="auto"/>
              <w:right w:val="single" w:sz="4" w:space="0" w:color="auto"/>
            </w:tcBorders>
            <w:shd w:val="clear" w:color="auto" w:fill="auto"/>
            <w:noWrap/>
            <w:vAlign w:val="center"/>
            <w:hideMark/>
          </w:tcPr>
          <w:p w14:paraId="7006ED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10,41</w:t>
            </w:r>
          </w:p>
        </w:tc>
        <w:tc>
          <w:tcPr>
            <w:tcW w:w="1313" w:type="dxa"/>
            <w:tcBorders>
              <w:top w:val="nil"/>
              <w:left w:val="nil"/>
              <w:bottom w:val="single" w:sz="4" w:space="0" w:color="auto"/>
              <w:right w:val="single" w:sz="4" w:space="0" w:color="auto"/>
            </w:tcBorders>
            <w:shd w:val="clear" w:color="auto" w:fill="auto"/>
            <w:noWrap/>
            <w:vAlign w:val="center"/>
            <w:hideMark/>
          </w:tcPr>
          <w:p w14:paraId="54CECCA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11,82</w:t>
            </w:r>
          </w:p>
        </w:tc>
      </w:tr>
      <w:tr w:rsidR="00BF12D5" w:rsidRPr="00BD0223" w14:paraId="083889C9"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23EA94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MONTE AZUL PAULISTA</w:t>
            </w:r>
          </w:p>
        </w:tc>
        <w:tc>
          <w:tcPr>
            <w:tcW w:w="1313" w:type="dxa"/>
            <w:tcBorders>
              <w:top w:val="nil"/>
              <w:left w:val="nil"/>
              <w:bottom w:val="single" w:sz="4" w:space="0" w:color="auto"/>
              <w:right w:val="single" w:sz="4" w:space="0" w:color="auto"/>
            </w:tcBorders>
            <w:shd w:val="clear" w:color="auto" w:fill="auto"/>
            <w:noWrap/>
            <w:vAlign w:val="center"/>
            <w:hideMark/>
          </w:tcPr>
          <w:p w14:paraId="08F200B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2,75</w:t>
            </w:r>
          </w:p>
        </w:tc>
        <w:tc>
          <w:tcPr>
            <w:tcW w:w="1313" w:type="dxa"/>
            <w:tcBorders>
              <w:top w:val="nil"/>
              <w:left w:val="nil"/>
              <w:bottom w:val="single" w:sz="4" w:space="0" w:color="auto"/>
              <w:right w:val="single" w:sz="4" w:space="0" w:color="auto"/>
            </w:tcBorders>
            <w:shd w:val="clear" w:color="auto" w:fill="auto"/>
            <w:noWrap/>
            <w:vAlign w:val="center"/>
            <w:hideMark/>
          </w:tcPr>
          <w:p w14:paraId="471204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2,77</w:t>
            </w:r>
          </w:p>
        </w:tc>
        <w:tc>
          <w:tcPr>
            <w:tcW w:w="1313" w:type="dxa"/>
            <w:tcBorders>
              <w:top w:val="nil"/>
              <w:left w:val="nil"/>
              <w:bottom w:val="single" w:sz="4" w:space="0" w:color="auto"/>
              <w:right w:val="single" w:sz="4" w:space="0" w:color="auto"/>
            </w:tcBorders>
            <w:shd w:val="clear" w:color="auto" w:fill="auto"/>
            <w:noWrap/>
            <w:vAlign w:val="center"/>
            <w:hideMark/>
          </w:tcPr>
          <w:p w14:paraId="194D5AA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2,83</w:t>
            </w:r>
          </w:p>
        </w:tc>
        <w:tc>
          <w:tcPr>
            <w:tcW w:w="1313" w:type="dxa"/>
            <w:tcBorders>
              <w:top w:val="nil"/>
              <w:left w:val="nil"/>
              <w:bottom w:val="single" w:sz="4" w:space="0" w:color="auto"/>
              <w:right w:val="single" w:sz="4" w:space="0" w:color="auto"/>
            </w:tcBorders>
            <w:shd w:val="clear" w:color="auto" w:fill="auto"/>
            <w:noWrap/>
            <w:vAlign w:val="center"/>
            <w:hideMark/>
          </w:tcPr>
          <w:p w14:paraId="479A5E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2,62</w:t>
            </w:r>
          </w:p>
        </w:tc>
      </w:tr>
      <w:tr w:rsidR="00BF12D5" w:rsidRPr="00BD0223" w14:paraId="33D9C6EF"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C0A95C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MORRO AGUDO</w:t>
            </w:r>
          </w:p>
        </w:tc>
        <w:tc>
          <w:tcPr>
            <w:tcW w:w="1313" w:type="dxa"/>
            <w:tcBorders>
              <w:top w:val="nil"/>
              <w:left w:val="nil"/>
              <w:bottom w:val="single" w:sz="4" w:space="0" w:color="auto"/>
              <w:right w:val="single" w:sz="4" w:space="0" w:color="auto"/>
            </w:tcBorders>
            <w:shd w:val="clear" w:color="auto" w:fill="auto"/>
            <w:noWrap/>
            <w:vAlign w:val="center"/>
            <w:hideMark/>
          </w:tcPr>
          <w:p w14:paraId="3D2097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28,29</w:t>
            </w:r>
          </w:p>
        </w:tc>
        <w:tc>
          <w:tcPr>
            <w:tcW w:w="1313" w:type="dxa"/>
            <w:tcBorders>
              <w:top w:val="nil"/>
              <w:left w:val="nil"/>
              <w:bottom w:val="single" w:sz="4" w:space="0" w:color="auto"/>
              <w:right w:val="single" w:sz="4" w:space="0" w:color="auto"/>
            </w:tcBorders>
            <w:shd w:val="clear" w:color="auto" w:fill="auto"/>
            <w:noWrap/>
            <w:vAlign w:val="center"/>
            <w:hideMark/>
          </w:tcPr>
          <w:p w14:paraId="266BBF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29,96</w:t>
            </w:r>
          </w:p>
        </w:tc>
        <w:tc>
          <w:tcPr>
            <w:tcW w:w="1313" w:type="dxa"/>
            <w:tcBorders>
              <w:top w:val="nil"/>
              <w:left w:val="nil"/>
              <w:bottom w:val="single" w:sz="4" w:space="0" w:color="auto"/>
              <w:right w:val="single" w:sz="4" w:space="0" w:color="auto"/>
            </w:tcBorders>
            <w:shd w:val="clear" w:color="auto" w:fill="auto"/>
            <w:noWrap/>
            <w:vAlign w:val="center"/>
            <w:hideMark/>
          </w:tcPr>
          <w:p w14:paraId="0E9214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32,82</w:t>
            </w:r>
          </w:p>
        </w:tc>
        <w:tc>
          <w:tcPr>
            <w:tcW w:w="1313" w:type="dxa"/>
            <w:tcBorders>
              <w:top w:val="nil"/>
              <w:left w:val="nil"/>
              <w:bottom w:val="single" w:sz="4" w:space="0" w:color="auto"/>
              <w:right w:val="single" w:sz="4" w:space="0" w:color="auto"/>
            </w:tcBorders>
            <w:shd w:val="clear" w:color="auto" w:fill="auto"/>
            <w:noWrap/>
            <w:vAlign w:val="center"/>
            <w:hideMark/>
          </w:tcPr>
          <w:p w14:paraId="152126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30,45</w:t>
            </w:r>
          </w:p>
        </w:tc>
      </w:tr>
      <w:tr w:rsidR="00BF12D5" w:rsidRPr="00BD0223" w14:paraId="37515DC7"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4B1977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NEVES PAULISTA</w:t>
            </w:r>
          </w:p>
        </w:tc>
        <w:tc>
          <w:tcPr>
            <w:tcW w:w="1313" w:type="dxa"/>
            <w:tcBorders>
              <w:top w:val="nil"/>
              <w:left w:val="nil"/>
              <w:bottom w:val="single" w:sz="4" w:space="0" w:color="auto"/>
              <w:right w:val="single" w:sz="4" w:space="0" w:color="auto"/>
            </w:tcBorders>
            <w:shd w:val="clear" w:color="auto" w:fill="auto"/>
            <w:noWrap/>
            <w:vAlign w:val="center"/>
            <w:hideMark/>
          </w:tcPr>
          <w:p w14:paraId="6C0C857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1,37</w:t>
            </w:r>
          </w:p>
        </w:tc>
        <w:tc>
          <w:tcPr>
            <w:tcW w:w="1313" w:type="dxa"/>
            <w:tcBorders>
              <w:top w:val="nil"/>
              <w:left w:val="nil"/>
              <w:bottom w:val="single" w:sz="4" w:space="0" w:color="auto"/>
              <w:right w:val="single" w:sz="4" w:space="0" w:color="auto"/>
            </w:tcBorders>
            <w:shd w:val="clear" w:color="auto" w:fill="auto"/>
            <w:noWrap/>
            <w:vAlign w:val="center"/>
            <w:hideMark/>
          </w:tcPr>
          <w:p w14:paraId="376A4E1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1,30</w:t>
            </w:r>
          </w:p>
        </w:tc>
        <w:tc>
          <w:tcPr>
            <w:tcW w:w="1313" w:type="dxa"/>
            <w:tcBorders>
              <w:top w:val="nil"/>
              <w:left w:val="nil"/>
              <w:bottom w:val="single" w:sz="4" w:space="0" w:color="auto"/>
              <w:right w:val="single" w:sz="4" w:space="0" w:color="auto"/>
            </w:tcBorders>
            <w:shd w:val="clear" w:color="auto" w:fill="auto"/>
            <w:noWrap/>
            <w:vAlign w:val="center"/>
            <w:hideMark/>
          </w:tcPr>
          <w:p w14:paraId="044303C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1,36</w:t>
            </w:r>
          </w:p>
        </w:tc>
        <w:tc>
          <w:tcPr>
            <w:tcW w:w="1313" w:type="dxa"/>
            <w:tcBorders>
              <w:top w:val="nil"/>
              <w:left w:val="nil"/>
              <w:bottom w:val="single" w:sz="4" w:space="0" w:color="auto"/>
              <w:right w:val="single" w:sz="4" w:space="0" w:color="auto"/>
            </w:tcBorders>
            <w:shd w:val="clear" w:color="auto" w:fill="auto"/>
            <w:noWrap/>
            <w:vAlign w:val="center"/>
            <w:hideMark/>
          </w:tcPr>
          <w:p w14:paraId="19F3C17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1,37</w:t>
            </w:r>
          </w:p>
        </w:tc>
      </w:tr>
      <w:tr w:rsidR="00BF12D5" w:rsidRPr="00BD0223" w14:paraId="2EA7B2A5"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7875E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NHANDEARA</w:t>
            </w:r>
          </w:p>
        </w:tc>
        <w:tc>
          <w:tcPr>
            <w:tcW w:w="1313" w:type="dxa"/>
            <w:tcBorders>
              <w:top w:val="nil"/>
              <w:left w:val="nil"/>
              <w:bottom w:val="single" w:sz="4" w:space="0" w:color="auto"/>
              <w:right w:val="single" w:sz="4" w:space="0" w:color="auto"/>
            </w:tcBorders>
            <w:shd w:val="clear" w:color="auto" w:fill="auto"/>
            <w:noWrap/>
            <w:vAlign w:val="center"/>
            <w:hideMark/>
          </w:tcPr>
          <w:p w14:paraId="2F4431F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4,39</w:t>
            </w:r>
          </w:p>
        </w:tc>
        <w:tc>
          <w:tcPr>
            <w:tcW w:w="1313" w:type="dxa"/>
            <w:tcBorders>
              <w:top w:val="nil"/>
              <w:left w:val="nil"/>
              <w:bottom w:val="single" w:sz="4" w:space="0" w:color="auto"/>
              <w:right w:val="single" w:sz="4" w:space="0" w:color="auto"/>
            </w:tcBorders>
            <w:shd w:val="clear" w:color="auto" w:fill="auto"/>
            <w:noWrap/>
            <w:vAlign w:val="center"/>
            <w:hideMark/>
          </w:tcPr>
          <w:p w14:paraId="663D1D7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5,72</w:t>
            </w:r>
          </w:p>
        </w:tc>
        <w:tc>
          <w:tcPr>
            <w:tcW w:w="1313" w:type="dxa"/>
            <w:tcBorders>
              <w:top w:val="nil"/>
              <w:left w:val="nil"/>
              <w:bottom w:val="single" w:sz="4" w:space="0" w:color="auto"/>
              <w:right w:val="single" w:sz="4" w:space="0" w:color="auto"/>
            </w:tcBorders>
            <w:shd w:val="clear" w:color="auto" w:fill="auto"/>
            <w:noWrap/>
            <w:vAlign w:val="center"/>
            <w:hideMark/>
          </w:tcPr>
          <w:p w14:paraId="51A0C83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5,98</w:t>
            </w:r>
          </w:p>
        </w:tc>
        <w:tc>
          <w:tcPr>
            <w:tcW w:w="1313" w:type="dxa"/>
            <w:tcBorders>
              <w:top w:val="nil"/>
              <w:left w:val="nil"/>
              <w:bottom w:val="single" w:sz="4" w:space="0" w:color="auto"/>
              <w:right w:val="single" w:sz="4" w:space="0" w:color="auto"/>
            </w:tcBorders>
            <w:shd w:val="clear" w:color="auto" w:fill="auto"/>
            <w:noWrap/>
            <w:vAlign w:val="center"/>
            <w:hideMark/>
          </w:tcPr>
          <w:p w14:paraId="202E636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5,33</w:t>
            </w:r>
          </w:p>
        </w:tc>
      </w:tr>
      <w:tr w:rsidR="00BF12D5" w:rsidRPr="00BD0223" w14:paraId="3CDA9AF8"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27D2A1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NIPOA</w:t>
            </w:r>
          </w:p>
        </w:tc>
        <w:tc>
          <w:tcPr>
            <w:tcW w:w="1313" w:type="dxa"/>
            <w:tcBorders>
              <w:top w:val="nil"/>
              <w:left w:val="nil"/>
              <w:bottom w:val="single" w:sz="4" w:space="0" w:color="auto"/>
              <w:right w:val="single" w:sz="4" w:space="0" w:color="auto"/>
            </w:tcBorders>
            <w:shd w:val="clear" w:color="auto" w:fill="auto"/>
            <w:noWrap/>
            <w:vAlign w:val="center"/>
            <w:hideMark/>
          </w:tcPr>
          <w:p w14:paraId="46C3F55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15,11</w:t>
            </w:r>
          </w:p>
        </w:tc>
        <w:tc>
          <w:tcPr>
            <w:tcW w:w="1313" w:type="dxa"/>
            <w:tcBorders>
              <w:top w:val="nil"/>
              <w:left w:val="nil"/>
              <w:bottom w:val="single" w:sz="4" w:space="0" w:color="auto"/>
              <w:right w:val="single" w:sz="4" w:space="0" w:color="auto"/>
            </w:tcBorders>
            <w:shd w:val="clear" w:color="auto" w:fill="auto"/>
            <w:noWrap/>
            <w:vAlign w:val="center"/>
            <w:hideMark/>
          </w:tcPr>
          <w:p w14:paraId="66A7ED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11,48</w:t>
            </w:r>
          </w:p>
        </w:tc>
        <w:tc>
          <w:tcPr>
            <w:tcW w:w="1313" w:type="dxa"/>
            <w:tcBorders>
              <w:top w:val="nil"/>
              <w:left w:val="nil"/>
              <w:bottom w:val="single" w:sz="4" w:space="0" w:color="auto"/>
              <w:right w:val="single" w:sz="4" w:space="0" w:color="auto"/>
            </w:tcBorders>
            <w:shd w:val="clear" w:color="auto" w:fill="auto"/>
            <w:noWrap/>
            <w:vAlign w:val="center"/>
            <w:hideMark/>
          </w:tcPr>
          <w:p w14:paraId="53582B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9,62</w:t>
            </w:r>
          </w:p>
        </w:tc>
        <w:tc>
          <w:tcPr>
            <w:tcW w:w="1313" w:type="dxa"/>
            <w:tcBorders>
              <w:top w:val="nil"/>
              <w:left w:val="nil"/>
              <w:bottom w:val="single" w:sz="4" w:space="0" w:color="auto"/>
              <w:right w:val="single" w:sz="4" w:space="0" w:color="auto"/>
            </w:tcBorders>
            <w:shd w:val="clear" w:color="auto" w:fill="auto"/>
            <w:noWrap/>
            <w:vAlign w:val="center"/>
            <w:hideMark/>
          </w:tcPr>
          <w:p w14:paraId="78785ED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5,99</w:t>
            </w:r>
          </w:p>
        </w:tc>
      </w:tr>
      <w:tr w:rsidR="00BF12D5" w:rsidRPr="00BD0223" w14:paraId="52E0052E"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2977FF8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NOVA CANAA PAULISTA</w:t>
            </w:r>
          </w:p>
        </w:tc>
        <w:tc>
          <w:tcPr>
            <w:tcW w:w="1313" w:type="dxa"/>
            <w:tcBorders>
              <w:top w:val="nil"/>
              <w:left w:val="nil"/>
              <w:bottom w:val="single" w:sz="4" w:space="0" w:color="auto"/>
              <w:right w:val="single" w:sz="4" w:space="0" w:color="auto"/>
            </w:tcBorders>
            <w:shd w:val="clear" w:color="auto" w:fill="auto"/>
            <w:noWrap/>
            <w:vAlign w:val="center"/>
            <w:hideMark/>
          </w:tcPr>
          <w:p w14:paraId="7B9292F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0,23</w:t>
            </w:r>
          </w:p>
        </w:tc>
        <w:tc>
          <w:tcPr>
            <w:tcW w:w="1313" w:type="dxa"/>
            <w:tcBorders>
              <w:top w:val="nil"/>
              <w:left w:val="nil"/>
              <w:bottom w:val="single" w:sz="4" w:space="0" w:color="auto"/>
              <w:right w:val="single" w:sz="4" w:space="0" w:color="auto"/>
            </w:tcBorders>
            <w:shd w:val="clear" w:color="auto" w:fill="auto"/>
            <w:noWrap/>
            <w:vAlign w:val="center"/>
            <w:hideMark/>
          </w:tcPr>
          <w:p w14:paraId="411C0A8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0,22</w:t>
            </w:r>
          </w:p>
        </w:tc>
        <w:tc>
          <w:tcPr>
            <w:tcW w:w="1313" w:type="dxa"/>
            <w:tcBorders>
              <w:top w:val="nil"/>
              <w:left w:val="nil"/>
              <w:bottom w:val="single" w:sz="4" w:space="0" w:color="auto"/>
              <w:right w:val="single" w:sz="4" w:space="0" w:color="auto"/>
            </w:tcBorders>
            <w:shd w:val="clear" w:color="auto" w:fill="auto"/>
            <w:noWrap/>
            <w:vAlign w:val="center"/>
            <w:hideMark/>
          </w:tcPr>
          <w:p w14:paraId="6BCCDB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0,22</w:t>
            </w:r>
          </w:p>
        </w:tc>
        <w:tc>
          <w:tcPr>
            <w:tcW w:w="1313" w:type="dxa"/>
            <w:tcBorders>
              <w:top w:val="nil"/>
              <w:left w:val="nil"/>
              <w:bottom w:val="single" w:sz="4" w:space="0" w:color="auto"/>
              <w:right w:val="single" w:sz="4" w:space="0" w:color="auto"/>
            </w:tcBorders>
            <w:shd w:val="clear" w:color="auto" w:fill="auto"/>
            <w:noWrap/>
            <w:vAlign w:val="center"/>
            <w:hideMark/>
          </w:tcPr>
          <w:p w14:paraId="2D05CE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0,22</w:t>
            </w:r>
          </w:p>
        </w:tc>
      </w:tr>
      <w:tr w:rsidR="00BF12D5" w:rsidRPr="00BD0223" w14:paraId="2A530A82"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733A08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NOVA CASTILHO</w:t>
            </w:r>
          </w:p>
        </w:tc>
        <w:tc>
          <w:tcPr>
            <w:tcW w:w="1313" w:type="dxa"/>
            <w:tcBorders>
              <w:top w:val="nil"/>
              <w:left w:val="nil"/>
              <w:bottom w:val="single" w:sz="4" w:space="0" w:color="auto"/>
              <w:right w:val="single" w:sz="4" w:space="0" w:color="auto"/>
            </w:tcBorders>
            <w:shd w:val="clear" w:color="auto" w:fill="auto"/>
            <w:noWrap/>
            <w:vAlign w:val="center"/>
            <w:hideMark/>
          </w:tcPr>
          <w:p w14:paraId="12A3688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0,21</w:t>
            </w:r>
          </w:p>
        </w:tc>
        <w:tc>
          <w:tcPr>
            <w:tcW w:w="1313" w:type="dxa"/>
            <w:tcBorders>
              <w:top w:val="nil"/>
              <w:left w:val="nil"/>
              <w:bottom w:val="single" w:sz="4" w:space="0" w:color="auto"/>
              <w:right w:val="single" w:sz="4" w:space="0" w:color="auto"/>
            </w:tcBorders>
            <w:shd w:val="clear" w:color="auto" w:fill="auto"/>
            <w:noWrap/>
            <w:vAlign w:val="center"/>
            <w:hideMark/>
          </w:tcPr>
          <w:p w14:paraId="21EE40D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0,17</w:t>
            </w:r>
          </w:p>
        </w:tc>
        <w:tc>
          <w:tcPr>
            <w:tcW w:w="1313" w:type="dxa"/>
            <w:tcBorders>
              <w:top w:val="nil"/>
              <w:left w:val="nil"/>
              <w:bottom w:val="single" w:sz="4" w:space="0" w:color="auto"/>
              <w:right w:val="single" w:sz="4" w:space="0" w:color="auto"/>
            </w:tcBorders>
            <w:shd w:val="clear" w:color="auto" w:fill="auto"/>
            <w:noWrap/>
            <w:vAlign w:val="center"/>
            <w:hideMark/>
          </w:tcPr>
          <w:p w14:paraId="4C3A2F4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0,16</w:t>
            </w:r>
          </w:p>
        </w:tc>
        <w:tc>
          <w:tcPr>
            <w:tcW w:w="1313" w:type="dxa"/>
            <w:tcBorders>
              <w:top w:val="nil"/>
              <w:left w:val="nil"/>
              <w:bottom w:val="single" w:sz="4" w:space="0" w:color="auto"/>
              <w:right w:val="single" w:sz="4" w:space="0" w:color="auto"/>
            </w:tcBorders>
            <w:shd w:val="clear" w:color="auto" w:fill="auto"/>
            <w:noWrap/>
            <w:vAlign w:val="center"/>
            <w:hideMark/>
          </w:tcPr>
          <w:p w14:paraId="6F339E7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0,17</w:t>
            </w:r>
          </w:p>
        </w:tc>
      </w:tr>
      <w:tr w:rsidR="00BF12D5" w:rsidRPr="00BD0223" w14:paraId="5FC76709"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EC6D79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NOVA ODESSA</w:t>
            </w:r>
          </w:p>
        </w:tc>
        <w:tc>
          <w:tcPr>
            <w:tcW w:w="1313" w:type="dxa"/>
            <w:tcBorders>
              <w:top w:val="nil"/>
              <w:left w:val="nil"/>
              <w:bottom w:val="single" w:sz="4" w:space="0" w:color="auto"/>
              <w:right w:val="single" w:sz="4" w:space="0" w:color="auto"/>
            </w:tcBorders>
            <w:shd w:val="clear" w:color="auto" w:fill="auto"/>
            <w:noWrap/>
            <w:vAlign w:val="center"/>
            <w:hideMark/>
          </w:tcPr>
          <w:p w14:paraId="3D49CF2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18,55</w:t>
            </w:r>
          </w:p>
        </w:tc>
        <w:tc>
          <w:tcPr>
            <w:tcW w:w="1313" w:type="dxa"/>
            <w:tcBorders>
              <w:top w:val="nil"/>
              <w:left w:val="nil"/>
              <w:bottom w:val="single" w:sz="4" w:space="0" w:color="auto"/>
              <w:right w:val="single" w:sz="4" w:space="0" w:color="auto"/>
            </w:tcBorders>
            <w:shd w:val="clear" w:color="auto" w:fill="auto"/>
            <w:noWrap/>
            <w:vAlign w:val="center"/>
            <w:hideMark/>
          </w:tcPr>
          <w:p w14:paraId="539D5C2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21,80</w:t>
            </w:r>
          </w:p>
        </w:tc>
        <w:tc>
          <w:tcPr>
            <w:tcW w:w="1313" w:type="dxa"/>
            <w:tcBorders>
              <w:top w:val="nil"/>
              <w:left w:val="nil"/>
              <w:bottom w:val="single" w:sz="4" w:space="0" w:color="auto"/>
              <w:right w:val="single" w:sz="4" w:space="0" w:color="auto"/>
            </w:tcBorders>
            <w:shd w:val="clear" w:color="auto" w:fill="auto"/>
            <w:noWrap/>
            <w:vAlign w:val="center"/>
            <w:hideMark/>
          </w:tcPr>
          <w:p w14:paraId="56E4C1C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24,49</w:t>
            </w:r>
          </w:p>
        </w:tc>
        <w:tc>
          <w:tcPr>
            <w:tcW w:w="1313" w:type="dxa"/>
            <w:tcBorders>
              <w:top w:val="nil"/>
              <w:left w:val="nil"/>
              <w:bottom w:val="single" w:sz="4" w:space="0" w:color="auto"/>
              <w:right w:val="single" w:sz="4" w:space="0" w:color="auto"/>
            </w:tcBorders>
            <w:shd w:val="clear" w:color="auto" w:fill="auto"/>
            <w:noWrap/>
            <w:vAlign w:val="center"/>
            <w:hideMark/>
          </w:tcPr>
          <w:p w14:paraId="20EA83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21,19</w:t>
            </w:r>
          </w:p>
        </w:tc>
      </w:tr>
      <w:tr w:rsidR="00BF12D5" w:rsidRPr="00BD0223" w14:paraId="6B71528D"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FC8B80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NOVO HORIZONTE</w:t>
            </w:r>
          </w:p>
        </w:tc>
        <w:tc>
          <w:tcPr>
            <w:tcW w:w="1313" w:type="dxa"/>
            <w:tcBorders>
              <w:top w:val="nil"/>
              <w:left w:val="nil"/>
              <w:bottom w:val="single" w:sz="4" w:space="0" w:color="auto"/>
              <w:right w:val="single" w:sz="4" w:space="0" w:color="auto"/>
            </w:tcBorders>
            <w:shd w:val="clear" w:color="auto" w:fill="auto"/>
            <w:noWrap/>
            <w:vAlign w:val="center"/>
            <w:hideMark/>
          </w:tcPr>
          <w:p w14:paraId="5248FD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25,28</w:t>
            </w:r>
          </w:p>
        </w:tc>
        <w:tc>
          <w:tcPr>
            <w:tcW w:w="1313" w:type="dxa"/>
            <w:tcBorders>
              <w:top w:val="nil"/>
              <w:left w:val="nil"/>
              <w:bottom w:val="single" w:sz="4" w:space="0" w:color="auto"/>
              <w:right w:val="single" w:sz="4" w:space="0" w:color="auto"/>
            </w:tcBorders>
            <w:shd w:val="clear" w:color="auto" w:fill="auto"/>
            <w:noWrap/>
            <w:vAlign w:val="center"/>
            <w:hideMark/>
          </w:tcPr>
          <w:p w14:paraId="55227B0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28,49</w:t>
            </w:r>
          </w:p>
        </w:tc>
        <w:tc>
          <w:tcPr>
            <w:tcW w:w="1313" w:type="dxa"/>
            <w:tcBorders>
              <w:top w:val="nil"/>
              <w:left w:val="nil"/>
              <w:bottom w:val="single" w:sz="4" w:space="0" w:color="auto"/>
              <w:right w:val="single" w:sz="4" w:space="0" w:color="auto"/>
            </w:tcBorders>
            <w:shd w:val="clear" w:color="auto" w:fill="auto"/>
            <w:noWrap/>
            <w:vAlign w:val="center"/>
            <w:hideMark/>
          </w:tcPr>
          <w:p w14:paraId="26D6984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32,60</w:t>
            </w:r>
          </w:p>
        </w:tc>
        <w:tc>
          <w:tcPr>
            <w:tcW w:w="1313" w:type="dxa"/>
            <w:tcBorders>
              <w:top w:val="nil"/>
              <w:left w:val="nil"/>
              <w:bottom w:val="single" w:sz="4" w:space="0" w:color="auto"/>
              <w:right w:val="single" w:sz="4" w:space="0" w:color="auto"/>
            </w:tcBorders>
            <w:shd w:val="clear" w:color="auto" w:fill="auto"/>
            <w:noWrap/>
            <w:vAlign w:val="center"/>
            <w:hideMark/>
          </w:tcPr>
          <w:p w14:paraId="119DBD3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30,60</w:t>
            </w:r>
          </w:p>
        </w:tc>
      </w:tr>
      <w:tr w:rsidR="00BF12D5" w:rsidRPr="00BD0223" w14:paraId="762F90BE"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578EE6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NUPORANGA</w:t>
            </w:r>
          </w:p>
        </w:tc>
        <w:tc>
          <w:tcPr>
            <w:tcW w:w="1313" w:type="dxa"/>
            <w:tcBorders>
              <w:top w:val="nil"/>
              <w:left w:val="nil"/>
              <w:bottom w:val="single" w:sz="4" w:space="0" w:color="auto"/>
              <w:right w:val="single" w:sz="4" w:space="0" w:color="auto"/>
            </w:tcBorders>
            <w:shd w:val="clear" w:color="auto" w:fill="auto"/>
            <w:noWrap/>
            <w:vAlign w:val="center"/>
            <w:hideMark/>
          </w:tcPr>
          <w:p w14:paraId="3B5F812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4,04</w:t>
            </w:r>
          </w:p>
        </w:tc>
        <w:tc>
          <w:tcPr>
            <w:tcW w:w="1313" w:type="dxa"/>
            <w:tcBorders>
              <w:top w:val="nil"/>
              <w:left w:val="nil"/>
              <w:bottom w:val="single" w:sz="4" w:space="0" w:color="auto"/>
              <w:right w:val="single" w:sz="4" w:space="0" w:color="auto"/>
            </w:tcBorders>
            <w:shd w:val="clear" w:color="auto" w:fill="auto"/>
            <w:noWrap/>
            <w:vAlign w:val="center"/>
            <w:hideMark/>
          </w:tcPr>
          <w:p w14:paraId="59EB4A0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4,02</w:t>
            </w:r>
          </w:p>
        </w:tc>
        <w:tc>
          <w:tcPr>
            <w:tcW w:w="1313" w:type="dxa"/>
            <w:tcBorders>
              <w:top w:val="nil"/>
              <w:left w:val="nil"/>
              <w:bottom w:val="single" w:sz="4" w:space="0" w:color="auto"/>
              <w:right w:val="single" w:sz="4" w:space="0" w:color="auto"/>
            </w:tcBorders>
            <w:shd w:val="clear" w:color="auto" w:fill="auto"/>
            <w:noWrap/>
            <w:vAlign w:val="center"/>
            <w:hideMark/>
          </w:tcPr>
          <w:p w14:paraId="3283CE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4,49</w:t>
            </w:r>
          </w:p>
        </w:tc>
        <w:tc>
          <w:tcPr>
            <w:tcW w:w="1313" w:type="dxa"/>
            <w:tcBorders>
              <w:top w:val="nil"/>
              <w:left w:val="nil"/>
              <w:bottom w:val="single" w:sz="4" w:space="0" w:color="auto"/>
              <w:right w:val="single" w:sz="4" w:space="0" w:color="auto"/>
            </w:tcBorders>
            <w:shd w:val="clear" w:color="auto" w:fill="auto"/>
            <w:noWrap/>
            <w:vAlign w:val="center"/>
            <w:hideMark/>
          </w:tcPr>
          <w:p w14:paraId="0599BE8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4,28</w:t>
            </w:r>
          </w:p>
        </w:tc>
      </w:tr>
      <w:tr w:rsidR="00BF12D5" w:rsidRPr="00BD0223" w14:paraId="355F864D"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9D0B6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OLIMPIA</w:t>
            </w:r>
          </w:p>
        </w:tc>
        <w:tc>
          <w:tcPr>
            <w:tcW w:w="1313" w:type="dxa"/>
            <w:tcBorders>
              <w:top w:val="nil"/>
              <w:left w:val="nil"/>
              <w:bottom w:val="single" w:sz="4" w:space="0" w:color="auto"/>
              <w:right w:val="single" w:sz="4" w:space="0" w:color="auto"/>
            </w:tcBorders>
            <w:shd w:val="clear" w:color="auto" w:fill="auto"/>
            <w:noWrap/>
            <w:vAlign w:val="center"/>
            <w:hideMark/>
          </w:tcPr>
          <w:p w14:paraId="76F0286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14,48</w:t>
            </w:r>
          </w:p>
        </w:tc>
        <w:tc>
          <w:tcPr>
            <w:tcW w:w="1313" w:type="dxa"/>
            <w:tcBorders>
              <w:top w:val="nil"/>
              <w:left w:val="nil"/>
              <w:bottom w:val="single" w:sz="4" w:space="0" w:color="auto"/>
              <w:right w:val="single" w:sz="4" w:space="0" w:color="auto"/>
            </w:tcBorders>
            <w:shd w:val="clear" w:color="auto" w:fill="auto"/>
            <w:noWrap/>
            <w:vAlign w:val="center"/>
            <w:hideMark/>
          </w:tcPr>
          <w:p w14:paraId="764B00D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15,07</w:t>
            </w:r>
          </w:p>
        </w:tc>
        <w:tc>
          <w:tcPr>
            <w:tcW w:w="1313" w:type="dxa"/>
            <w:tcBorders>
              <w:top w:val="nil"/>
              <w:left w:val="nil"/>
              <w:bottom w:val="single" w:sz="4" w:space="0" w:color="auto"/>
              <w:right w:val="single" w:sz="4" w:space="0" w:color="auto"/>
            </w:tcBorders>
            <w:shd w:val="clear" w:color="auto" w:fill="auto"/>
            <w:noWrap/>
            <w:vAlign w:val="center"/>
            <w:hideMark/>
          </w:tcPr>
          <w:p w14:paraId="366BF0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17,14</w:t>
            </w:r>
          </w:p>
        </w:tc>
        <w:tc>
          <w:tcPr>
            <w:tcW w:w="1313" w:type="dxa"/>
            <w:tcBorders>
              <w:top w:val="nil"/>
              <w:left w:val="nil"/>
              <w:bottom w:val="single" w:sz="4" w:space="0" w:color="auto"/>
              <w:right w:val="single" w:sz="4" w:space="0" w:color="auto"/>
            </w:tcBorders>
            <w:shd w:val="clear" w:color="auto" w:fill="auto"/>
            <w:noWrap/>
            <w:vAlign w:val="center"/>
            <w:hideMark/>
          </w:tcPr>
          <w:p w14:paraId="65FCFC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16,34</w:t>
            </w:r>
          </w:p>
        </w:tc>
      </w:tr>
      <w:tr w:rsidR="00BF12D5" w:rsidRPr="00BD0223" w14:paraId="5A7FC632"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2CAFF53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ONDA VERDE</w:t>
            </w:r>
          </w:p>
        </w:tc>
        <w:tc>
          <w:tcPr>
            <w:tcW w:w="1313" w:type="dxa"/>
            <w:tcBorders>
              <w:top w:val="nil"/>
              <w:left w:val="nil"/>
              <w:bottom w:val="single" w:sz="4" w:space="0" w:color="auto"/>
              <w:right w:val="single" w:sz="4" w:space="0" w:color="auto"/>
            </w:tcBorders>
            <w:shd w:val="clear" w:color="auto" w:fill="auto"/>
            <w:noWrap/>
            <w:vAlign w:val="center"/>
            <w:hideMark/>
          </w:tcPr>
          <w:p w14:paraId="755E1B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42,13</w:t>
            </w:r>
          </w:p>
        </w:tc>
        <w:tc>
          <w:tcPr>
            <w:tcW w:w="1313" w:type="dxa"/>
            <w:tcBorders>
              <w:top w:val="nil"/>
              <w:left w:val="nil"/>
              <w:bottom w:val="single" w:sz="4" w:space="0" w:color="auto"/>
              <w:right w:val="single" w:sz="4" w:space="0" w:color="auto"/>
            </w:tcBorders>
            <w:shd w:val="clear" w:color="auto" w:fill="auto"/>
            <w:noWrap/>
            <w:vAlign w:val="center"/>
            <w:hideMark/>
          </w:tcPr>
          <w:p w14:paraId="365716F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47,51</w:t>
            </w:r>
          </w:p>
        </w:tc>
        <w:tc>
          <w:tcPr>
            <w:tcW w:w="1313" w:type="dxa"/>
            <w:tcBorders>
              <w:top w:val="nil"/>
              <w:left w:val="nil"/>
              <w:bottom w:val="single" w:sz="4" w:space="0" w:color="auto"/>
              <w:right w:val="single" w:sz="4" w:space="0" w:color="auto"/>
            </w:tcBorders>
            <w:shd w:val="clear" w:color="auto" w:fill="auto"/>
            <w:noWrap/>
            <w:vAlign w:val="center"/>
            <w:hideMark/>
          </w:tcPr>
          <w:p w14:paraId="4618674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54,59</w:t>
            </w:r>
          </w:p>
        </w:tc>
        <w:tc>
          <w:tcPr>
            <w:tcW w:w="1313" w:type="dxa"/>
            <w:tcBorders>
              <w:top w:val="nil"/>
              <w:left w:val="nil"/>
              <w:bottom w:val="single" w:sz="4" w:space="0" w:color="auto"/>
              <w:right w:val="single" w:sz="4" w:space="0" w:color="auto"/>
            </w:tcBorders>
            <w:shd w:val="clear" w:color="auto" w:fill="auto"/>
            <w:noWrap/>
            <w:vAlign w:val="center"/>
            <w:hideMark/>
          </w:tcPr>
          <w:p w14:paraId="313F0A6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54,17</w:t>
            </w:r>
          </w:p>
        </w:tc>
      </w:tr>
      <w:tr w:rsidR="00BF12D5" w:rsidRPr="00BD0223" w14:paraId="50CD354B"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2E35AC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ORINDIUVA</w:t>
            </w:r>
          </w:p>
        </w:tc>
        <w:tc>
          <w:tcPr>
            <w:tcW w:w="1313" w:type="dxa"/>
            <w:tcBorders>
              <w:top w:val="nil"/>
              <w:left w:val="nil"/>
              <w:bottom w:val="single" w:sz="4" w:space="0" w:color="auto"/>
              <w:right w:val="single" w:sz="4" w:space="0" w:color="auto"/>
            </w:tcBorders>
            <w:shd w:val="clear" w:color="auto" w:fill="auto"/>
            <w:noWrap/>
            <w:vAlign w:val="center"/>
            <w:hideMark/>
          </w:tcPr>
          <w:p w14:paraId="171DA2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19,31</w:t>
            </w:r>
          </w:p>
        </w:tc>
        <w:tc>
          <w:tcPr>
            <w:tcW w:w="1313" w:type="dxa"/>
            <w:tcBorders>
              <w:top w:val="nil"/>
              <w:left w:val="nil"/>
              <w:bottom w:val="single" w:sz="4" w:space="0" w:color="auto"/>
              <w:right w:val="single" w:sz="4" w:space="0" w:color="auto"/>
            </w:tcBorders>
            <w:shd w:val="clear" w:color="auto" w:fill="auto"/>
            <w:noWrap/>
            <w:vAlign w:val="center"/>
            <w:hideMark/>
          </w:tcPr>
          <w:p w14:paraId="66E4D47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21,31</w:t>
            </w:r>
          </w:p>
        </w:tc>
        <w:tc>
          <w:tcPr>
            <w:tcW w:w="1313" w:type="dxa"/>
            <w:tcBorders>
              <w:top w:val="nil"/>
              <w:left w:val="nil"/>
              <w:bottom w:val="single" w:sz="4" w:space="0" w:color="auto"/>
              <w:right w:val="single" w:sz="4" w:space="0" w:color="auto"/>
            </w:tcBorders>
            <w:shd w:val="clear" w:color="auto" w:fill="auto"/>
            <w:noWrap/>
            <w:vAlign w:val="center"/>
            <w:hideMark/>
          </w:tcPr>
          <w:p w14:paraId="73B709A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20,23</w:t>
            </w:r>
          </w:p>
        </w:tc>
        <w:tc>
          <w:tcPr>
            <w:tcW w:w="1313" w:type="dxa"/>
            <w:tcBorders>
              <w:top w:val="nil"/>
              <w:left w:val="nil"/>
              <w:bottom w:val="single" w:sz="4" w:space="0" w:color="auto"/>
              <w:right w:val="single" w:sz="4" w:space="0" w:color="auto"/>
            </w:tcBorders>
            <w:shd w:val="clear" w:color="auto" w:fill="auto"/>
            <w:noWrap/>
            <w:vAlign w:val="center"/>
            <w:hideMark/>
          </w:tcPr>
          <w:p w14:paraId="4FFA4F9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18,41</w:t>
            </w:r>
          </w:p>
        </w:tc>
      </w:tr>
      <w:tr w:rsidR="00BF12D5" w:rsidRPr="00BD0223" w14:paraId="768ADA6C"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B82505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ORLANDIA</w:t>
            </w:r>
          </w:p>
        </w:tc>
        <w:tc>
          <w:tcPr>
            <w:tcW w:w="1313" w:type="dxa"/>
            <w:tcBorders>
              <w:top w:val="nil"/>
              <w:left w:val="nil"/>
              <w:bottom w:val="single" w:sz="4" w:space="0" w:color="auto"/>
              <w:right w:val="single" w:sz="4" w:space="0" w:color="auto"/>
            </w:tcBorders>
            <w:shd w:val="clear" w:color="auto" w:fill="auto"/>
            <w:noWrap/>
            <w:vAlign w:val="center"/>
            <w:hideMark/>
          </w:tcPr>
          <w:p w14:paraId="015202F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19,29</w:t>
            </w:r>
          </w:p>
        </w:tc>
        <w:tc>
          <w:tcPr>
            <w:tcW w:w="1313" w:type="dxa"/>
            <w:tcBorders>
              <w:top w:val="nil"/>
              <w:left w:val="nil"/>
              <w:bottom w:val="single" w:sz="4" w:space="0" w:color="auto"/>
              <w:right w:val="single" w:sz="4" w:space="0" w:color="auto"/>
            </w:tcBorders>
            <w:shd w:val="clear" w:color="auto" w:fill="auto"/>
            <w:noWrap/>
            <w:vAlign w:val="center"/>
            <w:hideMark/>
          </w:tcPr>
          <w:p w14:paraId="4249597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19,62</w:t>
            </w:r>
          </w:p>
        </w:tc>
        <w:tc>
          <w:tcPr>
            <w:tcW w:w="1313" w:type="dxa"/>
            <w:tcBorders>
              <w:top w:val="nil"/>
              <w:left w:val="nil"/>
              <w:bottom w:val="single" w:sz="4" w:space="0" w:color="auto"/>
              <w:right w:val="single" w:sz="4" w:space="0" w:color="auto"/>
            </w:tcBorders>
            <w:shd w:val="clear" w:color="auto" w:fill="auto"/>
            <w:noWrap/>
            <w:vAlign w:val="center"/>
            <w:hideMark/>
          </w:tcPr>
          <w:p w14:paraId="12FABF0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20,92</w:t>
            </w:r>
          </w:p>
        </w:tc>
        <w:tc>
          <w:tcPr>
            <w:tcW w:w="1313" w:type="dxa"/>
            <w:tcBorders>
              <w:top w:val="nil"/>
              <w:left w:val="nil"/>
              <w:bottom w:val="single" w:sz="4" w:space="0" w:color="auto"/>
              <w:right w:val="single" w:sz="4" w:space="0" w:color="auto"/>
            </w:tcBorders>
            <w:shd w:val="clear" w:color="auto" w:fill="auto"/>
            <w:noWrap/>
            <w:vAlign w:val="center"/>
            <w:hideMark/>
          </w:tcPr>
          <w:p w14:paraId="387EE1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18,87</w:t>
            </w:r>
          </w:p>
        </w:tc>
      </w:tr>
      <w:tr w:rsidR="00BF12D5" w:rsidRPr="00BD0223" w14:paraId="36BD5E82"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7EA53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OUROESTE</w:t>
            </w:r>
          </w:p>
        </w:tc>
        <w:tc>
          <w:tcPr>
            <w:tcW w:w="1313" w:type="dxa"/>
            <w:tcBorders>
              <w:top w:val="nil"/>
              <w:left w:val="nil"/>
              <w:bottom w:val="single" w:sz="4" w:space="0" w:color="auto"/>
              <w:right w:val="single" w:sz="4" w:space="0" w:color="auto"/>
            </w:tcBorders>
            <w:shd w:val="clear" w:color="auto" w:fill="auto"/>
            <w:noWrap/>
            <w:vAlign w:val="center"/>
            <w:hideMark/>
          </w:tcPr>
          <w:p w14:paraId="0383D0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7,72</w:t>
            </w:r>
          </w:p>
        </w:tc>
        <w:tc>
          <w:tcPr>
            <w:tcW w:w="1313" w:type="dxa"/>
            <w:tcBorders>
              <w:top w:val="nil"/>
              <w:left w:val="nil"/>
              <w:bottom w:val="single" w:sz="4" w:space="0" w:color="auto"/>
              <w:right w:val="single" w:sz="4" w:space="0" w:color="auto"/>
            </w:tcBorders>
            <w:shd w:val="clear" w:color="auto" w:fill="auto"/>
            <w:noWrap/>
            <w:vAlign w:val="center"/>
            <w:hideMark/>
          </w:tcPr>
          <w:p w14:paraId="72D1BCB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9,95</w:t>
            </w:r>
          </w:p>
        </w:tc>
        <w:tc>
          <w:tcPr>
            <w:tcW w:w="1313" w:type="dxa"/>
            <w:tcBorders>
              <w:top w:val="nil"/>
              <w:left w:val="nil"/>
              <w:bottom w:val="single" w:sz="4" w:space="0" w:color="auto"/>
              <w:right w:val="single" w:sz="4" w:space="0" w:color="auto"/>
            </w:tcBorders>
            <w:shd w:val="clear" w:color="auto" w:fill="auto"/>
            <w:noWrap/>
            <w:vAlign w:val="center"/>
            <w:hideMark/>
          </w:tcPr>
          <w:p w14:paraId="7340CC0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11,56</w:t>
            </w:r>
          </w:p>
        </w:tc>
        <w:tc>
          <w:tcPr>
            <w:tcW w:w="1313" w:type="dxa"/>
            <w:tcBorders>
              <w:top w:val="nil"/>
              <w:left w:val="nil"/>
              <w:bottom w:val="single" w:sz="4" w:space="0" w:color="auto"/>
              <w:right w:val="single" w:sz="4" w:space="0" w:color="auto"/>
            </w:tcBorders>
            <w:shd w:val="clear" w:color="auto" w:fill="auto"/>
            <w:noWrap/>
            <w:vAlign w:val="center"/>
            <w:hideMark/>
          </w:tcPr>
          <w:p w14:paraId="17E13B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11,46</w:t>
            </w:r>
          </w:p>
        </w:tc>
      </w:tr>
      <w:tr w:rsidR="00BF12D5" w:rsidRPr="00BD0223" w14:paraId="00343A06"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9DF787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PALESTINA</w:t>
            </w:r>
          </w:p>
        </w:tc>
        <w:tc>
          <w:tcPr>
            <w:tcW w:w="1313" w:type="dxa"/>
            <w:tcBorders>
              <w:top w:val="nil"/>
              <w:left w:val="nil"/>
              <w:bottom w:val="single" w:sz="4" w:space="0" w:color="auto"/>
              <w:right w:val="single" w:sz="4" w:space="0" w:color="auto"/>
            </w:tcBorders>
            <w:shd w:val="clear" w:color="auto" w:fill="auto"/>
            <w:noWrap/>
            <w:vAlign w:val="center"/>
            <w:hideMark/>
          </w:tcPr>
          <w:p w14:paraId="2D1C716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9,10</w:t>
            </w:r>
          </w:p>
        </w:tc>
        <w:tc>
          <w:tcPr>
            <w:tcW w:w="1313" w:type="dxa"/>
            <w:tcBorders>
              <w:top w:val="nil"/>
              <w:left w:val="nil"/>
              <w:bottom w:val="single" w:sz="4" w:space="0" w:color="auto"/>
              <w:right w:val="single" w:sz="4" w:space="0" w:color="auto"/>
            </w:tcBorders>
            <w:shd w:val="clear" w:color="auto" w:fill="auto"/>
            <w:noWrap/>
            <w:vAlign w:val="center"/>
            <w:hideMark/>
          </w:tcPr>
          <w:p w14:paraId="3736400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9,34</w:t>
            </w:r>
          </w:p>
        </w:tc>
        <w:tc>
          <w:tcPr>
            <w:tcW w:w="1313" w:type="dxa"/>
            <w:tcBorders>
              <w:top w:val="nil"/>
              <w:left w:val="nil"/>
              <w:bottom w:val="single" w:sz="4" w:space="0" w:color="auto"/>
              <w:right w:val="single" w:sz="4" w:space="0" w:color="auto"/>
            </w:tcBorders>
            <w:shd w:val="clear" w:color="auto" w:fill="auto"/>
            <w:noWrap/>
            <w:vAlign w:val="center"/>
            <w:hideMark/>
          </w:tcPr>
          <w:p w14:paraId="3743F3D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10,61</w:t>
            </w:r>
          </w:p>
        </w:tc>
        <w:tc>
          <w:tcPr>
            <w:tcW w:w="1313" w:type="dxa"/>
            <w:tcBorders>
              <w:top w:val="nil"/>
              <w:left w:val="nil"/>
              <w:bottom w:val="single" w:sz="4" w:space="0" w:color="auto"/>
              <w:right w:val="single" w:sz="4" w:space="0" w:color="auto"/>
            </w:tcBorders>
            <w:shd w:val="clear" w:color="auto" w:fill="auto"/>
            <w:noWrap/>
            <w:vAlign w:val="center"/>
            <w:hideMark/>
          </w:tcPr>
          <w:p w14:paraId="44EE2CA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10,62</w:t>
            </w:r>
          </w:p>
        </w:tc>
      </w:tr>
      <w:tr w:rsidR="00BF12D5" w:rsidRPr="00BD0223" w14:paraId="6B8ED2BA"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EA2977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PALMARES PAULISTA</w:t>
            </w:r>
          </w:p>
        </w:tc>
        <w:tc>
          <w:tcPr>
            <w:tcW w:w="1313" w:type="dxa"/>
            <w:tcBorders>
              <w:top w:val="nil"/>
              <w:left w:val="nil"/>
              <w:bottom w:val="single" w:sz="4" w:space="0" w:color="auto"/>
              <w:right w:val="single" w:sz="4" w:space="0" w:color="auto"/>
            </w:tcBorders>
            <w:shd w:val="clear" w:color="auto" w:fill="auto"/>
            <w:noWrap/>
            <w:vAlign w:val="center"/>
            <w:hideMark/>
          </w:tcPr>
          <w:p w14:paraId="6E9AE07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0,56</w:t>
            </w:r>
          </w:p>
        </w:tc>
        <w:tc>
          <w:tcPr>
            <w:tcW w:w="1313" w:type="dxa"/>
            <w:tcBorders>
              <w:top w:val="nil"/>
              <w:left w:val="nil"/>
              <w:bottom w:val="single" w:sz="4" w:space="0" w:color="auto"/>
              <w:right w:val="single" w:sz="4" w:space="0" w:color="auto"/>
            </w:tcBorders>
            <w:shd w:val="clear" w:color="auto" w:fill="auto"/>
            <w:noWrap/>
            <w:vAlign w:val="center"/>
            <w:hideMark/>
          </w:tcPr>
          <w:p w14:paraId="46A325A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0,61</w:t>
            </w:r>
          </w:p>
        </w:tc>
        <w:tc>
          <w:tcPr>
            <w:tcW w:w="1313" w:type="dxa"/>
            <w:tcBorders>
              <w:top w:val="nil"/>
              <w:left w:val="nil"/>
              <w:bottom w:val="single" w:sz="4" w:space="0" w:color="auto"/>
              <w:right w:val="single" w:sz="4" w:space="0" w:color="auto"/>
            </w:tcBorders>
            <w:shd w:val="clear" w:color="auto" w:fill="auto"/>
            <w:noWrap/>
            <w:vAlign w:val="center"/>
            <w:hideMark/>
          </w:tcPr>
          <w:p w14:paraId="7BE8567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0,44</w:t>
            </w:r>
          </w:p>
        </w:tc>
        <w:tc>
          <w:tcPr>
            <w:tcW w:w="1313" w:type="dxa"/>
            <w:tcBorders>
              <w:top w:val="nil"/>
              <w:left w:val="nil"/>
              <w:bottom w:val="single" w:sz="4" w:space="0" w:color="auto"/>
              <w:right w:val="single" w:sz="4" w:space="0" w:color="auto"/>
            </w:tcBorders>
            <w:shd w:val="clear" w:color="auto" w:fill="auto"/>
            <w:noWrap/>
            <w:vAlign w:val="center"/>
            <w:hideMark/>
          </w:tcPr>
          <w:p w14:paraId="1B49715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0,32</w:t>
            </w:r>
          </w:p>
        </w:tc>
      </w:tr>
      <w:tr w:rsidR="00BF12D5" w:rsidRPr="00BD0223" w14:paraId="4952A494"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137108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PALMEIRA D'OESTE</w:t>
            </w:r>
          </w:p>
        </w:tc>
        <w:tc>
          <w:tcPr>
            <w:tcW w:w="1313" w:type="dxa"/>
            <w:tcBorders>
              <w:top w:val="nil"/>
              <w:left w:val="nil"/>
              <w:bottom w:val="single" w:sz="4" w:space="0" w:color="auto"/>
              <w:right w:val="single" w:sz="4" w:space="0" w:color="auto"/>
            </w:tcBorders>
            <w:shd w:val="clear" w:color="auto" w:fill="auto"/>
            <w:noWrap/>
            <w:vAlign w:val="center"/>
            <w:hideMark/>
          </w:tcPr>
          <w:p w14:paraId="1881AE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2,59</w:t>
            </w:r>
          </w:p>
        </w:tc>
        <w:tc>
          <w:tcPr>
            <w:tcW w:w="1313" w:type="dxa"/>
            <w:tcBorders>
              <w:top w:val="nil"/>
              <w:left w:val="nil"/>
              <w:bottom w:val="single" w:sz="4" w:space="0" w:color="auto"/>
              <w:right w:val="single" w:sz="4" w:space="0" w:color="auto"/>
            </w:tcBorders>
            <w:shd w:val="clear" w:color="auto" w:fill="auto"/>
            <w:noWrap/>
            <w:vAlign w:val="center"/>
            <w:hideMark/>
          </w:tcPr>
          <w:p w14:paraId="4209E1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2,49</w:t>
            </w:r>
          </w:p>
        </w:tc>
        <w:tc>
          <w:tcPr>
            <w:tcW w:w="1313" w:type="dxa"/>
            <w:tcBorders>
              <w:top w:val="nil"/>
              <w:left w:val="nil"/>
              <w:bottom w:val="single" w:sz="4" w:space="0" w:color="auto"/>
              <w:right w:val="single" w:sz="4" w:space="0" w:color="auto"/>
            </w:tcBorders>
            <w:shd w:val="clear" w:color="auto" w:fill="auto"/>
            <w:noWrap/>
            <w:vAlign w:val="center"/>
            <w:hideMark/>
          </w:tcPr>
          <w:p w14:paraId="102CFBE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2,60</w:t>
            </w:r>
          </w:p>
        </w:tc>
        <w:tc>
          <w:tcPr>
            <w:tcW w:w="1313" w:type="dxa"/>
            <w:tcBorders>
              <w:top w:val="nil"/>
              <w:left w:val="nil"/>
              <w:bottom w:val="single" w:sz="4" w:space="0" w:color="auto"/>
              <w:right w:val="single" w:sz="4" w:space="0" w:color="auto"/>
            </w:tcBorders>
            <w:shd w:val="clear" w:color="auto" w:fill="auto"/>
            <w:noWrap/>
            <w:vAlign w:val="center"/>
            <w:hideMark/>
          </w:tcPr>
          <w:p w14:paraId="28C9306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2,65</w:t>
            </w:r>
          </w:p>
        </w:tc>
      </w:tr>
      <w:tr w:rsidR="00BF12D5" w:rsidRPr="00BD0223" w14:paraId="6EC8917E"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2808E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PARAISO</w:t>
            </w:r>
          </w:p>
        </w:tc>
        <w:tc>
          <w:tcPr>
            <w:tcW w:w="1313" w:type="dxa"/>
            <w:tcBorders>
              <w:top w:val="nil"/>
              <w:left w:val="nil"/>
              <w:bottom w:val="single" w:sz="4" w:space="0" w:color="auto"/>
              <w:right w:val="single" w:sz="4" w:space="0" w:color="auto"/>
            </w:tcBorders>
            <w:shd w:val="clear" w:color="auto" w:fill="auto"/>
            <w:noWrap/>
            <w:vAlign w:val="center"/>
            <w:hideMark/>
          </w:tcPr>
          <w:p w14:paraId="18E191E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8,10</w:t>
            </w:r>
          </w:p>
        </w:tc>
        <w:tc>
          <w:tcPr>
            <w:tcW w:w="1313" w:type="dxa"/>
            <w:tcBorders>
              <w:top w:val="nil"/>
              <w:left w:val="nil"/>
              <w:bottom w:val="single" w:sz="4" w:space="0" w:color="auto"/>
              <w:right w:val="single" w:sz="4" w:space="0" w:color="auto"/>
            </w:tcBorders>
            <w:shd w:val="clear" w:color="auto" w:fill="auto"/>
            <w:noWrap/>
            <w:vAlign w:val="center"/>
            <w:hideMark/>
          </w:tcPr>
          <w:p w14:paraId="20A5F1E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8,80</w:t>
            </w:r>
          </w:p>
        </w:tc>
        <w:tc>
          <w:tcPr>
            <w:tcW w:w="1313" w:type="dxa"/>
            <w:tcBorders>
              <w:top w:val="nil"/>
              <w:left w:val="nil"/>
              <w:bottom w:val="single" w:sz="4" w:space="0" w:color="auto"/>
              <w:right w:val="single" w:sz="4" w:space="0" w:color="auto"/>
            </w:tcBorders>
            <w:shd w:val="clear" w:color="auto" w:fill="auto"/>
            <w:noWrap/>
            <w:vAlign w:val="center"/>
            <w:hideMark/>
          </w:tcPr>
          <w:p w14:paraId="193F00B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8,31</w:t>
            </w:r>
          </w:p>
        </w:tc>
        <w:tc>
          <w:tcPr>
            <w:tcW w:w="1313" w:type="dxa"/>
            <w:tcBorders>
              <w:top w:val="nil"/>
              <w:left w:val="nil"/>
              <w:bottom w:val="single" w:sz="4" w:space="0" w:color="auto"/>
              <w:right w:val="single" w:sz="4" w:space="0" w:color="auto"/>
            </w:tcBorders>
            <w:shd w:val="clear" w:color="auto" w:fill="auto"/>
            <w:noWrap/>
            <w:vAlign w:val="center"/>
            <w:hideMark/>
          </w:tcPr>
          <w:p w14:paraId="210C453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7,78</w:t>
            </w:r>
          </w:p>
        </w:tc>
      </w:tr>
      <w:tr w:rsidR="00BF12D5" w:rsidRPr="00BD0223" w14:paraId="370DE7AE"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F827D4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PARANAPUA</w:t>
            </w:r>
          </w:p>
        </w:tc>
        <w:tc>
          <w:tcPr>
            <w:tcW w:w="1313" w:type="dxa"/>
            <w:tcBorders>
              <w:top w:val="nil"/>
              <w:left w:val="nil"/>
              <w:bottom w:val="single" w:sz="4" w:space="0" w:color="auto"/>
              <w:right w:val="single" w:sz="4" w:space="0" w:color="auto"/>
            </w:tcBorders>
            <w:shd w:val="clear" w:color="auto" w:fill="auto"/>
            <w:noWrap/>
            <w:vAlign w:val="center"/>
            <w:hideMark/>
          </w:tcPr>
          <w:p w14:paraId="6C0D7D1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0,62</w:t>
            </w:r>
          </w:p>
        </w:tc>
        <w:tc>
          <w:tcPr>
            <w:tcW w:w="1313" w:type="dxa"/>
            <w:tcBorders>
              <w:top w:val="nil"/>
              <w:left w:val="nil"/>
              <w:bottom w:val="single" w:sz="4" w:space="0" w:color="auto"/>
              <w:right w:val="single" w:sz="4" w:space="0" w:color="auto"/>
            </w:tcBorders>
            <w:shd w:val="clear" w:color="auto" w:fill="auto"/>
            <w:noWrap/>
            <w:vAlign w:val="center"/>
            <w:hideMark/>
          </w:tcPr>
          <w:p w14:paraId="5C84A2D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0,79</w:t>
            </w:r>
          </w:p>
        </w:tc>
        <w:tc>
          <w:tcPr>
            <w:tcW w:w="1313" w:type="dxa"/>
            <w:tcBorders>
              <w:top w:val="nil"/>
              <w:left w:val="nil"/>
              <w:bottom w:val="single" w:sz="4" w:space="0" w:color="auto"/>
              <w:right w:val="single" w:sz="4" w:space="0" w:color="auto"/>
            </w:tcBorders>
            <w:shd w:val="clear" w:color="auto" w:fill="auto"/>
            <w:noWrap/>
            <w:vAlign w:val="center"/>
            <w:hideMark/>
          </w:tcPr>
          <w:p w14:paraId="6767D0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0,85</w:t>
            </w:r>
          </w:p>
        </w:tc>
        <w:tc>
          <w:tcPr>
            <w:tcW w:w="1313" w:type="dxa"/>
            <w:tcBorders>
              <w:top w:val="nil"/>
              <w:left w:val="nil"/>
              <w:bottom w:val="single" w:sz="4" w:space="0" w:color="auto"/>
              <w:right w:val="single" w:sz="4" w:space="0" w:color="auto"/>
            </w:tcBorders>
            <w:shd w:val="clear" w:color="auto" w:fill="auto"/>
            <w:noWrap/>
            <w:vAlign w:val="center"/>
            <w:hideMark/>
          </w:tcPr>
          <w:p w14:paraId="14BD23A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0,81</w:t>
            </w:r>
          </w:p>
        </w:tc>
      </w:tr>
      <w:tr w:rsidR="00BF12D5" w:rsidRPr="00BD0223" w14:paraId="56859935"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2B7DDD8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PARISI</w:t>
            </w:r>
          </w:p>
        </w:tc>
        <w:tc>
          <w:tcPr>
            <w:tcW w:w="1313" w:type="dxa"/>
            <w:tcBorders>
              <w:top w:val="nil"/>
              <w:left w:val="nil"/>
              <w:bottom w:val="single" w:sz="4" w:space="0" w:color="auto"/>
              <w:right w:val="single" w:sz="4" w:space="0" w:color="auto"/>
            </w:tcBorders>
            <w:shd w:val="clear" w:color="auto" w:fill="auto"/>
            <w:noWrap/>
            <w:vAlign w:val="center"/>
            <w:hideMark/>
          </w:tcPr>
          <w:p w14:paraId="16A812F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0,19</w:t>
            </w:r>
          </w:p>
        </w:tc>
        <w:tc>
          <w:tcPr>
            <w:tcW w:w="1313" w:type="dxa"/>
            <w:tcBorders>
              <w:top w:val="nil"/>
              <w:left w:val="nil"/>
              <w:bottom w:val="single" w:sz="4" w:space="0" w:color="auto"/>
              <w:right w:val="single" w:sz="4" w:space="0" w:color="auto"/>
            </w:tcBorders>
            <w:shd w:val="clear" w:color="auto" w:fill="auto"/>
            <w:noWrap/>
            <w:vAlign w:val="center"/>
            <w:hideMark/>
          </w:tcPr>
          <w:p w14:paraId="48EBFA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0,20</w:t>
            </w:r>
          </w:p>
        </w:tc>
        <w:tc>
          <w:tcPr>
            <w:tcW w:w="1313" w:type="dxa"/>
            <w:tcBorders>
              <w:top w:val="nil"/>
              <w:left w:val="nil"/>
              <w:bottom w:val="single" w:sz="4" w:space="0" w:color="auto"/>
              <w:right w:val="single" w:sz="4" w:space="0" w:color="auto"/>
            </w:tcBorders>
            <w:shd w:val="clear" w:color="auto" w:fill="auto"/>
            <w:noWrap/>
            <w:vAlign w:val="center"/>
            <w:hideMark/>
          </w:tcPr>
          <w:p w14:paraId="1FE67AA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0,20</w:t>
            </w:r>
          </w:p>
        </w:tc>
        <w:tc>
          <w:tcPr>
            <w:tcW w:w="1313" w:type="dxa"/>
            <w:tcBorders>
              <w:top w:val="nil"/>
              <w:left w:val="nil"/>
              <w:bottom w:val="single" w:sz="4" w:space="0" w:color="auto"/>
              <w:right w:val="single" w:sz="4" w:space="0" w:color="auto"/>
            </w:tcBorders>
            <w:shd w:val="clear" w:color="auto" w:fill="auto"/>
            <w:noWrap/>
            <w:vAlign w:val="center"/>
            <w:hideMark/>
          </w:tcPr>
          <w:p w14:paraId="67FC56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0,22</w:t>
            </w:r>
          </w:p>
        </w:tc>
      </w:tr>
      <w:tr w:rsidR="00BF12D5" w:rsidRPr="00BD0223" w14:paraId="246BA464"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E537C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PATROCINIO PAULISTA</w:t>
            </w:r>
          </w:p>
        </w:tc>
        <w:tc>
          <w:tcPr>
            <w:tcW w:w="1313" w:type="dxa"/>
            <w:tcBorders>
              <w:top w:val="nil"/>
              <w:left w:val="nil"/>
              <w:bottom w:val="single" w:sz="4" w:space="0" w:color="auto"/>
              <w:right w:val="single" w:sz="4" w:space="0" w:color="auto"/>
            </w:tcBorders>
            <w:shd w:val="clear" w:color="auto" w:fill="auto"/>
            <w:noWrap/>
            <w:vAlign w:val="center"/>
            <w:hideMark/>
          </w:tcPr>
          <w:p w14:paraId="43E738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21,49</w:t>
            </w:r>
          </w:p>
        </w:tc>
        <w:tc>
          <w:tcPr>
            <w:tcW w:w="1313" w:type="dxa"/>
            <w:tcBorders>
              <w:top w:val="nil"/>
              <w:left w:val="nil"/>
              <w:bottom w:val="single" w:sz="4" w:space="0" w:color="auto"/>
              <w:right w:val="single" w:sz="4" w:space="0" w:color="auto"/>
            </w:tcBorders>
            <w:shd w:val="clear" w:color="auto" w:fill="auto"/>
            <w:noWrap/>
            <w:vAlign w:val="center"/>
            <w:hideMark/>
          </w:tcPr>
          <w:p w14:paraId="187D23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29,63</w:t>
            </w:r>
          </w:p>
        </w:tc>
        <w:tc>
          <w:tcPr>
            <w:tcW w:w="1313" w:type="dxa"/>
            <w:tcBorders>
              <w:top w:val="nil"/>
              <w:left w:val="nil"/>
              <w:bottom w:val="single" w:sz="4" w:space="0" w:color="auto"/>
              <w:right w:val="single" w:sz="4" w:space="0" w:color="auto"/>
            </w:tcBorders>
            <w:shd w:val="clear" w:color="auto" w:fill="auto"/>
            <w:noWrap/>
            <w:vAlign w:val="center"/>
            <w:hideMark/>
          </w:tcPr>
          <w:p w14:paraId="13D4D9B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31,75</w:t>
            </w:r>
          </w:p>
        </w:tc>
        <w:tc>
          <w:tcPr>
            <w:tcW w:w="1313" w:type="dxa"/>
            <w:tcBorders>
              <w:top w:val="nil"/>
              <w:left w:val="nil"/>
              <w:bottom w:val="single" w:sz="4" w:space="0" w:color="auto"/>
              <w:right w:val="single" w:sz="4" w:space="0" w:color="auto"/>
            </w:tcBorders>
            <w:shd w:val="clear" w:color="auto" w:fill="auto"/>
            <w:noWrap/>
            <w:vAlign w:val="center"/>
            <w:hideMark/>
          </w:tcPr>
          <w:p w14:paraId="67B1A09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33,66</w:t>
            </w:r>
          </w:p>
        </w:tc>
      </w:tr>
      <w:tr w:rsidR="00BF12D5" w:rsidRPr="00BD0223" w14:paraId="6F46DFB4"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08E65B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PAULO DE FARIA</w:t>
            </w:r>
          </w:p>
        </w:tc>
        <w:tc>
          <w:tcPr>
            <w:tcW w:w="1313" w:type="dxa"/>
            <w:tcBorders>
              <w:top w:val="nil"/>
              <w:left w:val="nil"/>
              <w:bottom w:val="single" w:sz="4" w:space="0" w:color="auto"/>
              <w:right w:val="single" w:sz="4" w:space="0" w:color="auto"/>
            </w:tcBorders>
            <w:shd w:val="clear" w:color="auto" w:fill="auto"/>
            <w:noWrap/>
            <w:vAlign w:val="center"/>
            <w:hideMark/>
          </w:tcPr>
          <w:p w14:paraId="01E22C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0,72</w:t>
            </w:r>
          </w:p>
        </w:tc>
        <w:tc>
          <w:tcPr>
            <w:tcW w:w="1313" w:type="dxa"/>
            <w:tcBorders>
              <w:top w:val="nil"/>
              <w:left w:val="nil"/>
              <w:bottom w:val="single" w:sz="4" w:space="0" w:color="auto"/>
              <w:right w:val="single" w:sz="4" w:space="0" w:color="auto"/>
            </w:tcBorders>
            <w:shd w:val="clear" w:color="auto" w:fill="auto"/>
            <w:noWrap/>
            <w:vAlign w:val="center"/>
            <w:hideMark/>
          </w:tcPr>
          <w:p w14:paraId="5CE2401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0,77</w:t>
            </w:r>
          </w:p>
        </w:tc>
        <w:tc>
          <w:tcPr>
            <w:tcW w:w="1313" w:type="dxa"/>
            <w:tcBorders>
              <w:top w:val="nil"/>
              <w:left w:val="nil"/>
              <w:bottom w:val="single" w:sz="4" w:space="0" w:color="auto"/>
              <w:right w:val="single" w:sz="4" w:space="0" w:color="auto"/>
            </w:tcBorders>
            <w:shd w:val="clear" w:color="auto" w:fill="auto"/>
            <w:noWrap/>
            <w:vAlign w:val="center"/>
            <w:hideMark/>
          </w:tcPr>
          <w:p w14:paraId="6EC16A7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0,78</w:t>
            </w:r>
          </w:p>
        </w:tc>
        <w:tc>
          <w:tcPr>
            <w:tcW w:w="1313" w:type="dxa"/>
            <w:tcBorders>
              <w:top w:val="nil"/>
              <w:left w:val="nil"/>
              <w:bottom w:val="single" w:sz="4" w:space="0" w:color="auto"/>
              <w:right w:val="single" w:sz="4" w:space="0" w:color="auto"/>
            </w:tcBorders>
            <w:shd w:val="clear" w:color="auto" w:fill="auto"/>
            <w:noWrap/>
            <w:vAlign w:val="center"/>
            <w:hideMark/>
          </w:tcPr>
          <w:p w14:paraId="0D1EBD0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0,72</w:t>
            </w:r>
          </w:p>
        </w:tc>
      </w:tr>
      <w:tr w:rsidR="00BF12D5" w:rsidRPr="00BD0223" w14:paraId="44D3D0EA"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D00E9A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PEDRANOPOLIS</w:t>
            </w:r>
          </w:p>
        </w:tc>
        <w:tc>
          <w:tcPr>
            <w:tcW w:w="1313" w:type="dxa"/>
            <w:tcBorders>
              <w:top w:val="nil"/>
              <w:left w:val="nil"/>
              <w:bottom w:val="single" w:sz="4" w:space="0" w:color="auto"/>
              <w:right w:val="single" w:sz="4" w:space="0" w:color="auto"/>
            </w:tcBorders>
            <w:shd w:val="clear" w:color="auto" w:fill="auto"/>
            <w:noWrap/>
            <w:vAlign w:val="center"/>
            <w:hideMark/>
          </w:tcPr>
          <w:p w14:paraId="770FE5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0,39</w:t>
            </w:r>
          </w:p>
        </w:tc>
        <w:tc>
          <w:tcPr>
            <w:tcW w:w="1313" w:type="dxa"/>
            <w:tcBorders>
              <w:top w:val="nil"/>
              <w:left w:val="nil"/>
              <w:bottom w:val="single" w:sz="4" w:space="0" w:color="auto"/>
              <w:right w:val="single" w:sz="4" w:space="0" w:color="auto"/>
            </w:tcBorders>
            <w:shd w:val="clear" w:color="auto" w:fill="auto"/>
            <w:noWrap/>
            <w:vAlign w:val="center"/>
            <w:hideMark/>
          </w:tcPr>
          <w:p w14:paraId="37EE31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0,34</w:t>
            </w:r>
          </w:p>
        </w:tc>
        <w:tc>
          <w:tcPr>
            <w:tcW w:w="1313" w:type="dxa"/>
            <w:tcBorders>
              <w:top w:val="nil"/>
              <w:left w:val="nil"/>
              <w:bottom w:val="single" w:sz="4" w:space="0" w:color="auto"/>
              <w:right w:val="single" w:sz="4" w:space="0" w:color="auto"/>
            </w:tcBorders>
            <w:shd w:val="clear" w:color="auto" w:fill="auto"/>
            <w:noWrap/>
            <w:vAlign w:val="center"/>
            <w:hideMark/>
          </w:tcPr>
          <w:p w14:paraId="47F27B3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0,32</w:t>
            </w:r>
          </w:p>
        </w:tc>
        <w:tc>
          <w:tcPr>
            <w:tcW w:w="1313" w:type="dxa"/>
            <w:tcBorders>
              <w:top w:val="nil"/>
              <w:left w:val="nil"/>
              <w:bottom w:val="single" w:sz="4" w:space="0" w:color="auto"/>
              <w:right w:val="single" w:sz="4" w:space="0" w:color="auto"/>
            </w:tcBorders>
            <w:shd w:val="clear" w:color="auto" w:fill="auto"/>
            <w:noWrap/>
            <w:vAlign w:val="center"/>
            <w:hideMark/>
          </w:tcPr>
          <w:p w14:paraId="3C6D369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r>
      <w:tr w:rsidR="00BF12D5" w:rsidRPr="00BD0223" w14:paraId="4D6CFDA8"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D02723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PEDREGULHO</w:t>
            </w:r>
          </w:p>
        </w:tc>
        <w:tc>
          <w:tcPr>
            <w:tcW w:w="1313" w:type="dxa"/>
            <w:tcBorders>
              <w:top w:val="nil"/>
              <w:left w:val="nil"/>
              <w:bottom w:val="single" w:sz="4" w:space="0" w:color="auto"/>
              <w:right w:val="single" w:sz="4" w:space="0" w:color="auto"/>
            </w:tcBorders>
            <w:shd w:val="clear" w:color="auto" w:fill="auto"/>
            <w:noWrap/>
            <w:vAlign w:val="center"/>
            <w:hideMark/>
          </w:tcPr>
          <w:p w14:paraId="31E5176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1,92</w:t>
            </w:r>
          </w:p>
        </w:tc>
        <w:tc>
          <w:tcPr>
            <w:tcW w:w="1313" w:type="dxa"/>
            <w:tcBorders>
              <w:top w:val="nil"/>
              <w:left w:val="nil"/>
              <w:bottom w:val="single" w:sz="4" w:space="0" w:color="auto"/>
              <w:right w:val="single" w:sz="4" w:space="0" w:color="auto"/>
            </w:tcBorders>
            <w:shd w:val="clear" w:color="auto" w:fill="auto"/>
            <w:noWrap/>
            <w:vAlign w:val="center"/>
            <w:hideMark/>
          </w:tcPr>
          <w:p w14:paraId="3CBEA4D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2,12</w:t>
            </w:r>
          </w:p>
        </w:tc>
        <w:tc>
          <w:tcPr>
            <w:tcW w:w="1313" w:type="dxa"/>
            <w:tcBorders>
              <w:top w:val="nil"/>
              <w:left w:val="nil"/>
              <w:bottom w:val="single" w:sz="4" w:space="0" w:color="auto"/>
              <w:right w:val="single" w:sz="4" w:space="0" w:color="auto"/>
            </w:tcBorders>
            <w:shd w:val="clear" w:color="auto" w:fill="auto"/>
            <w:noWrap/>
            <w:vAlign w:val="center"/>
            <w:hideMark/>
          </w:tcPr>
          <w:p w14:paraId="78C622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2,08</w:t>
            </w:r>
          </w:p>
        </w:tc>
        <w:tc>
          <w:tcPr>
            <w:tcW w:w="1313" w:type="dxa"/>
            <w:tcBorders>
              <w:top w:val="nil"/>
              <w:left w:val="nil"/>
              <w:bottom w:val="single" w:sz="4" w:space="0" w:color="auto"/>
              <w:right w:val="single" w:sz="4" w:space="0" w:color="auto"/>
            </w:tcBorders>
            <w:shd w:val="clear" w:color="auto" w:fill="auto"/>
            <w:noWrap/>
            <w:vAlign w:val="center"/>
            <w:hideMark/>
          </w:tcPr>
          <w:p w14:paraId="6427296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2,74</w:t>
            </w:r>
          </w:p>
        </w:tc>
      </w:tr>
      <w:tr w:rsidR="00BF12D5" w:rsidRPr="00BD0223" w14:paraId="11A0D83B"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94C05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PINDORAMA</w:t>
            </w:r>
          </w:p>
        </w:tc>
        <w:tc>
          <w:tcPr>
            <w:tcW w:w="1313" w:type="dxa"/>
            <w:tcBorders>
              <w:top w:val="nil"/>
              <w:left w:val="nil"/>
              <w:bottom w:val="single" w:sz="4" w:space="0" w:color="auto"/>
              <w:right w:val="single" w:sz="4" w:space="0" w:color="auto"/>
            </w:tcBorders>
            <w:shd w:val="clear" w:color="auto" w:fill="auto"/>
            <w:noWrap/>
            <w:vAlign w:val="center"/>
            <w:hideMark/>
          </w:tcPr>
          <w:p w14:paraId="24828A0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2,00</w:t>
            </w:r>
          </w:p>
        </w:tc>
        <w:tc>
          <w:tcPr>
            <w:tcW w:w="1313" w:type="dxa"/>
            <w:tcBorders>
              <w:top w:val="nil"/>
              <w:left w:val="nil"/>
              <w:bottom w:val="single" w:sz="4" w:space="0" w:color="auto"/>
              <w:right w:val="single" w:sz="4" w:space="0" w:color="auto"/>
            </w:tcBorders>
            <w:shd w:val="clear" w:color="auto" w:fill="auto"/>
            <w:noWrap/>
            <w:vAlign w:val="center"/>
            <w:hideMark/>
          </w:tcPr>
          <w:p w14:paraId="3EF6E42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2,17</w:t>
            </w:r>
          </w:p>
        </w:tc>
        <w:tc>
          <w:tcPr>
            <w:tcW w:w="1313" w:type="dxa"/>
            <w:tcBorders>
              <w:top w:val="nil"/>
              <w:left w:val="nil"/>
              <w:bottom w:val="single" w:sz="4" w:space="0" w:color="auto"/>
              <w:right w:val="single" w:sz="4" w:space="0" w:color="auto"/>
            </w:tcBorders>
            <w:shd w:val="clear" w:color="auto" w:fill="auto"/>
            <w:noWrap/>
            <w:vAlign w:val="center"/>
            <w:hideMark/>
          </w:tcPr>
          <w:p w14:paraId="209B4D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2,59</w:t>
            </w:r>
          </w:p>
        </w:tc>
        <w:tc>
          <w:tcPr>
            <w:tcW w:w="1313" w:type="dxa"/>
            <w:tcBorders>
              <w:top w:val="nil"/>
              <w:left w:val="nil"/>
              <w:bottom w:val="single" w:sz="4" w:space="0" w:color="auto"/>
              <w:right w:val="single" w:sz="4" w:space="0" w:color="auto"/>
            </w:tcBorders>
            <w:shd w:val="clear" w:color="auto" w:fill="auto"/>
            <w:noWrap/>
            <w:vAlign w:val="center"/>
            <w:hideMark/>
          </w:tcPr>
          <w:p w14:paraId="010AAD2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2,56</w:t>
            </w:r>
          </w:p>
        </w:tc>
      </w:tr>
      <w:tr w:rsidR="00BF12D5" w:rsidRPr="00BD0223" w14:paraId="09459627"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29411F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PIRANGI</w:t>
            </w:r>
          </w:p>
        </w:tc>
        <w:tc>
          <w:tcPr>
            <w:tcW w:w="1313" w:type="dxa"/>
            <w:tcBorders>
              <w:top w:val="nil"/>
              <w:left w:val="nil"/>
              <w:bottom w:val="single" w:sz="4" w:space="0" w:color="auto"/>
              <w:right w:val="single" w:sz="4" w:space="0" w:color="auto"/>
            </w:tcBorders>
            <w:shd w:val="clear" w:color="auto" w:fill="auto"/>
            <w:noWrap/>
            <w:vAlign w:val="center"/>
            <w:hideMark/>
          </w:tcPr>
          <w:p w14:paraId="658247D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6,82</w:t>
            </w:r>
          </w:p>
        </w:tc>
        <w:tc>
          <w:tcPr>
            <w:tcW w:w="1313" w:type="dxa"/>
            <w:tcBorders>
              <w:top w:val="nil"/>
              <w:left w:val="nil"/>
              <w:bottom w:val="single" w:sz="4" w:space="0" w:color="auto"/>
              <w:right w:val="single" w:sz="4" w:space="0" w:color="auto"/>
            </w:tcBorders>
            <w:shd w:val="clear" w:color="auto" w:fill="auto"/>
            <w:noWrap/>
            <w:vAlign w:val="center"/>
            <w:hideMark/>
          </w:tcPr>
          <w:p w14:paraId="520A3B0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3,98</w:t>
            </w:r>
          </w:p>
        </w:tc>
        <w:tc>
          <w:tcPr>
            <w:tcW w:w="1313" w:type="dxa"/>
            <w:tcBorders>
              <w:top w:val="nil"/>
              <w:left w:val="nil"/>
              <w:bottom w:val="single" w:sz="4" w:space="0" w:color="auto"/>
              <w:right w:val="single" w:sz="4" w:space="0" w:color="auto"/>
            </w:tcBorders>
            <w:shd w:val="clear" w:color="auto" w:fill="auto"/>
            <w:noWrap/>
            <w:vAlign w:val="center"/>
            <w:hideMark/>
          </w:tcPr>
          <w:p w14:paraId="6D87390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3,63</w:t>
            </w:r>
          </w:p>
        </w:tc>
        <w:tc>
          <w:tcPr>
            <w:tcW w:w="1313" w:type="dxa"/>
            <w:tcBorders>
              <w:top w:val="nil"/>
              <w:left w:val="nil"/>
              <w:bottom w:val="single" w:sz="4" w:space="0" w:color="auto"/>
              <w:right w:val="single" w:sz="4" w:space="0" w:color="auto"/>
            </w:tcBorders>
            <w:shd w:val="clear" w:color="auto" w:fill="auto"/>
            <w:noWrap/>
            <w:vAlign w:val="center"/>
            <w:hideMark/>
          </w:tcPr>
          <w:p w14:paraId="77A4D3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3,35</w:t>
            </w:r>
          </w:p>
        </w:tc>
      </w:tr>
      <w:tr w:rsidR="00BF12D5" w:rsidRPr="00BD0223" w14:paraId="5C7F1A62"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D9E09F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PITANGUEIRAS</w:t>
            </w:r>
          </w:p>
        </w:tc>
        <w:tc>
          <w:tcPr>
            <w:tcW w:w="1313" w:type="dxa"/>
            <w:tcBorders>
              <w:top w:val="nil"/>
              <w:left w:val="nil"/>
              <w:bottom w:val="single" w:sz="4" w:space="0" w:color="auto"/>
              <w:right w:val="single" w:sz="4" w:space="0" w:color="auto"/>
            </w:tcBorders>
            <w:shd w:val="clear" w:color="auto" w:fill="auto"/>
            <w:noWrap/>
            <w:vAlign w:val="center"/>
            <w:hideMark/>
          </w:tcPr>
          <w:p w14:paraId="42F050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29,43</w:t>
            </w:r>
          </w:p>
        </w:tc>
        <w:tc>
          <w:tcPr>
            <w:tcW w:w="1313" w:type="dxa"/>
            <w:tcBorders>
              <w:top w:val="nil"/>
              <w:left w:val="nil"/>
              <w:bottom w:val="single" w:sz="4" w:space="0" w:color="auto"/>
              <w:right w:val="single" w:sz="4" w:space="0" w:color="auto"/>
            </w:tcBorders>
            <w:shd w:val="clear" w:color="auto" w:fill="auto"/>
            <w:noWrap/>
            <w:vAlign w:val="center"/>
            <w:hideMark/>
          </w:tcPr>
          <w:p w14:paraId="183D97F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33,28</w:t>
            </w:r>
          </w:p>
        </w:tc>
        <w:tc>
          <w:tcPr>
            <w:tcW w:w="1313" w:type="dxa"/>
            <w:tcBorders>
              <w:top w:val="nil"/>
              <w:left w:val="nil"/>
              <w:bottom w:val="single" w:sz="4" w:space="0" w:color="auto"/>
              <w:right w:val="single" w:sz="4" w:space="0" w:color="auto"/>
            </w:tcBorders>
            <w:shd w:val="clear" w:color="auto" w:fill="auto"/>
            <w:noWrap/>
            <w:vAlign w:val="center"/>
            <w:hideMark/>
          </w:tcPr>
          <w:p w14:paraId="0DFC94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36,25</w:t>
            </w:r>
          </w:p>
        </w:tc>
        <w:tc>
          <w:tcPr>
            <w:tcW w:w="1313" w:type="dxa"/>
            <w:tcBorders>
              <w:top w:val="nil"/>
              <w:left w:val="nil"/>
              <w:bottom w:val="single" w:sz="4" w:space="0" w:color="auto"/>
              <w:right w:val="single" w:sz="4" w:space="0" w:color="auto"/>
            </w:tcBorders>
            <w:shd w:val="clear" w:color="auto" w:fill="auto"/>
            <w:noWrap/>
            <w:vAlign w:val="center"/>
            <w:hideMark/>
          </w:tcPr>
          <w:p w14:paraId="2DDEEE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35,03</w:t>
            </w:r>
          </w:p>
        </w:tc>
      </w:tr>
      <w:tr w:rsidR="00BF12D5" w:rsidRPr="00BD0223" w14:paraId="779F6C77"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32409F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POLONI</w:t>
            </w:r>
          </w:p>
        </w:tc>
        <w:tc>
          <w:tcPr>
            <w:tcW w:w="1313" w:type="dxa"/>
            <w:tcBorders>
              <w:top w:val="nil"/>
              <w:left w:val="nil"/>
              <w:bottom w:val="single" w:sz="4" w:space="0" w:color="auto"/>
              <w:right w:val="single" w:sz="4" w:space="0" w:color="auto"/>
            </w:tcBorders>
            <w:shd w:val="clear" w:color="auto" w:fill="auto"/>
            <w:noWrap/>
            <w:vAlign w:val="center"/>
            <w:hideMark/>
          </w:tcPr>
          <w:p w14:paraId="689F96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1,07</w:t>
            </w:r>
          </w:p>
        </w:tc>
        <w:tc>
          <w:tcPr>
            <w:tcW w:w="1313" w:type="dxa"/>
            <w:tcBorders>
              <w:top w:val="nil"/>
              <w:left w:val="nil"/>
              <w:bottom w:val="single" w:sz="4" w:space="0" w:color="auto"/>
              <w:right w:val="single" w:sz="4" w:space="0" w:color="auto"/>
            </w:tcBorders>
            <w:shd w:val="clear" w:color="auto" w:fill="auto"/>
            <w:noWrap/>
            <w:vAlign w:val="center"/>
            <w:hideMark/>
          </w:tcPr>
          <w:p w14:paraId="4D62A4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1,07</w:t>
            </w:r>
          </w:p>
        </w:tc>
        <w:tc>
          <w:tcPr>
            <w:tcW w:w="1313" w:type="dxa"/>
            <w:tcBorders>
              <w:top w:val="nil"/>
              <w:left w:val="nil"/>
              <w:bottom w:val="single" w:sz="4" w:space="0" w:color="auto"/>
              <w:right w:val="single" w:sz="4" w:space="0" w:color="auto"/>
            </w:tcBorders>
            <w:shd w:val="clear" w:color="auto" w:fill="auto"/>
            <w:noWrap/>
            <w:vAlign w:val="center"/>
            <w:hideMark/>
          </w:tcPr>
          <w:p w14:paraId="5C49342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0,96</w:t>
            </w:r>
          </w:p>
        </w:tc>
        <w:tc>
          <w:tcPr>
            <w:tcW w:w="1313" w:type="dxa"/>
            <w:tcBorders>
              <w:top w:val="nil"/>
              <w:left w:val="nil"/>
              <w:bottom w:val="single" w:sz="4" w:space="0" w:color="auto"/>
              <w:right w:val="single" w:sz="4" w:space="0" w:color="auto"/>
            </w:tcBorders>
            <w:shd w:val="clear" w:color="auto" w:fill="auto"/>
            <w:noWrap/>
            <w:vAlign w:val="center"/>
            <w:hideMark/>
          </w:tcPr>
          <w:p w14:paraId="7F6242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0,92</w:t>
            </w:r>
          </w:p>
        </w:tc>
      </w:tr>
      <w:tr w:rsidR="00BF12D5" w:rsidRPr="00BD0223" w14:paraId="70BB7499"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3A1104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PONTAL</w:t>
            </w:r>
          </w:p>
        </w:tc>
        <w:tc>
          <w:tcPr>
            <w:tcW w:w="1313" w:type="dxa"/>
            <w:tcBorders>
              <w:top w:val="nil"/>
              <w:left w:val="nil"/>
              <w:bottom w:val="single" w:sz="4" w:space="0" w:color="auto"/>
              <w:right w:val="single" w:sz="4" w:space="0" w:color="auto"/>
            </w:tcBorders>
            <w:shd w:val="clear" w:color="auto" w:fill="auto"/>
            <w:noWrap/>
            <w:vAlign w:val="center"/>
            <w:hideMark/>
          </w:tcPr>
          <w:p w14:paraId="39DCB7D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27,56</w:t>
            </w:r>
          </w:p>
        </w:tc>
        <w:tc>
          <w:tcPr>
            <w:tcW w:w="1313" w:type="dxa"/>
            <w:tcBorders>
              <w:top w:val="nil"/>
              <w:left w:val="nil"/>
              <w:bottom w:val="single" w:sz="4" w:space="0" w:color="auto"/>
              <w:right w:val="single" w:sz="4" w:space="0" w:color="auto"/>
            </w:tcBorders>
            <w:shd w:val="clear" w:color="auto" w:fill="auto"/>
            <w:noWrap/>
            <w:vAlign w:val="center"/>
            <w:hideMark/>
          </w:tcPr>
          <w:p w14:paraId="6385432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30,16</w:t>
            </w:r>
          </w:p>
        </w:tc>
        <w:tc>
          <w:tcPr>
            <w:tcW w:w="1313" w:type="dxa"/>
            <w:tcBorders>
              <w:top w:val="nil"/>
              <w:left w:val="nil"/>
              <w:bottom w:val="single" w:sz="4" w:space="0" w:color="auto"/>
              <w:right w:val="single" w:sz="4" w:space="0" w:color="auto"/>
            </w:tcBorders>
            <w:shd w:val="clear" w:color="auto" w:fill="auto"/>
            <w:noWrap/>
            <w:vAlign w:val="center"/>
            <w:hideMark/>
          </w:tcPr>
          <w:p w14:paraId="0A6D90F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33,71</w:t>
            </w:r>
          </w:p>
        </w:tc>
        <w:tc>
          <w:tcPr>
            <w:tcW w:w="1313" w:type="dxa"/>
            <w:tcBorders>
              <w:top w:val="nil"/>
              <w:left w:val="nil"/>
              <w:bottom w:val="single" w:sz="4" w:space="0" w:color="auto"/>
              <w:right w:val="single" w:sz="4" w:space="0" w:color="auto"/>
            </w:tcBorders>
            <w:shd w:val="clear" w:color="auto" w:fill="auto"/>
            <w:noWrap/>
            <w:vAlign w:val="center"/>
            <w:hideMark/>
          </w:tcPr>
          <w:p w14:paraId="285F729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30,53</w:t>
            </w:r>
          </w:p>
        </w:tc>
      </w:tr>
      <w:tr w:rsidR="00BF12D5" w:rsidRPr="00BD0223" w14:paraId="4C75C54D"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27513C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PONTES GESTAL</w:t>
            </w:r>
          </w:p>
        </w:tc>
        <w:tc>
          <w:tcPr>
            <w:tcW w:w="1313" w:type="dxa"/>
            <w:tcBorders>
              <w:top w:val="nil"/>
              <w:left w:val="nil"/>
              <w:bottom w:val="single" w:sz="4" w:space="0" w:color="auto"/>
              <w:right w:val="single" w:sz="4" w:space="0" w:color="auto"/>
            </w:tcBorders>
            <w:shd w:val="clear" w:color="auto" w:fill="auto"/>
            <w:noWrap/>
            <w:vAlign w:val="center"/>
            <w:hideMark/>
          </w:tcPr>
          <w:p w14:paraId="4085BA5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7,44</w:t>
            </w:r>
          </w:p>
        </w:tc>
        <w:tc>
          <w:tcPr>
            <w:tcW w:w="1313" w:type="dxa"/>
            <w:tcBorders>
              <w:top w:val="nil"/>
              <w:left w:val="nil"/>
              <w:bottom w:val="single" w:sz="4" w:space="0" w:color="auto"/>
              <w:right w:val="single" w:sz="4" w:space="0" w:color="auto"/>
            </w:tcBorders>
            <w:shd w:val="clear" w:color="auto" w:fill="auto"/>
            <w:noWrap/>
            <w:vAlign w:val="center"/>
            <w:hideMark/>
          </w:tcPr>
          <w:p w14:paraId="654AD37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7,97</w:t>
            </w:r>
          </w:p>
        </w:tc>
        <w:tc>
          <w:tcPr>
            <w:tcW w:w="1313" w:type="dxa"/>
            <w:tcBorders>
              <w:top w:val="nil"/>
              <w:left w:val="nil"/>
              <w:bottom w:val="single" w:sz="4" w:space="0" w:color="auto"/>
              <w:right w:val="single" w:sz="4" w:space="0" w:color="auto"/>
            </w:tcBorders>
            <w:shd w:val="clear" w:color="auto" w:fill="auto"/>
            <w:noWrap/>
            <w:vAlign w:val="center"/>
            <w:hideMark/>
          </w:tcPr>
          <w:p w14:paraId="029FE5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8,39</w:t>
            </w:r>
          </w:p>
        </w:tc>
        <w:tc>
          <w:tcPr>
            <w:tcW w:w="1313" w:type="dxa"/>
            <w:tcBorders>
              <w:top w:val="nil"/>
              <w:left w:val="nil"/>
              <w:bottom w:val="single" w:sz="4" w:space="0" w:color="auto"/>
              <w:right w:val="single" w:sz="4" w:space="0" w:color="auto"/>
            </w:tcBorders>
            <w:shd w:val="clear" w:color="auto" w:fill="auto"/>
            <w:noWrap/>
            <w:vAlign w:val="center"/>
            <w:hideMark/>
          </w:tcPr>
          <w:p w14:paraId="4B3F0A2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8,26</w:t>
            </w:r>
          </w:p>
        </w:tc>
      </w:tr>
      <w:tr w:rsidR="00BF12D5" w:rsidRPr="00BD0223" w14:paraId="79C50241"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D1EF5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POPULINA</w:t>
            </w:r>
          </w:p>
        </w:tc>
        <w:tc>
          <w:tcPr>
            <w:tcW w:w="1313" w:type="dxa"/>
            <w:tcBorders>
              <w:top w:val="nil"/>
              <w:left w:val="nil"/>
              <w:bottom w:val="single" w:sz="4" w:space="0" w:color="auto"/>
              <w:right w:val="single" w:sz="4" w:space="0" w:color="auto"/>
            </w:tcBorders>
            <w:shd w:val="clear" w:color="auto" w:fill="auto"/>
            <w:noWrap/>
            <w:vAlign w:val="center"/>
            <w:hideMark/>
          </w:tcPr>
          <w:p w14:paraId="07CADF6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0,43</w:t>
            </w:r>
          </w:p>
        </w:tc>
        <w:tc>
          <w:tcPr>
            <w:tcW w:w="1313" w:type="dxa"/>
            <w:tcBorders>
              <w:top w:val="nil"/>
              <w:left w:val="nil"/>
              <w:bottom w:val="single" w:sz="4" w:space="0" w:color="auto"/>
              <w:right w:val="single" w:sz="4" w:space="0" w:color="auto"/>
            </w:tcBorders>
            <w:shd w:val="clear" w:color="auto" w:fill="auto"/>
            <w:noWrap/>
            <w:vAlign w:val="center"/>
            <w:hideMark/>
          </w:tcPr>
          <w:p w14:paraId="0CEA1EA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0,35</w:t>
            </w:r>
          </w:p>
        </w:tc>
        <w:tc>
          <w:tcPr>
            <w:tcW w:w="1313" w:type="dxa"/>
            <w:tcBorders>
              <w:top w:val="nil"/>
              <w:left w:val="nil"/>
              <w:bottom w:val="single" w:sz="4" w:space="0" w:color="auto"/>
              <w:right w:val="single" w:sz="4" w:space="0" w:color="auto"/>
            </w:tcBorders>
            <w:shd w:val="clear" w:color="auto" w:fill="auto"/>
            <w:noWrap/>
            <w:vAlign w:val="center"/>
            <w:hideMark/>
          </w:tcPr>
          <w:p w14:paraId="0CA6E68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0,42</w:t>
            </w:r>
          </w:p>
        </w:tc>
        <w:tc>
          <w:tcPr>
            <w:tcW w:w="1313" w:type="dxa"/>
            <w:tcBorders>
              <w:top w:val="nil"/>
              <w:left w:val="nil"/>
              <w:bottom w:val="single" w:sz="4" w:space="0" w:color="auto"/>
              <w:right w:val="single" w:sz="4" w:space="0" w:color="auto"/>
            </w:tcBorders>
            <w:shd w:val="clear" w:color="auto" w:fill="auto"/>
            <w:noWrap/>
            <w:vAlign w:val="center"/>
            <w:hideMark/>
          </w:tcPr>
          <w:p w14:paraId="79E5A3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0,38</w:t>
            </w:r>
          </w:p>
        </w:tc>
      </w:tr>
      <w:tr w:rsidR="00BF12D5" w:rsidRPr="00BD0223" w14:paraId="05316F3A"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5F472B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POTIRENDABA</w:t>
            </w:r>
          </w:p>
        </w:tc>
        <w:tc>
          <w:tcPr>
            <w:tcW w:w="1313" w:type="dxa"/>
            <w:tcBorders>
              <w:top w:val="nil"/>
              <w:left w:val="nil"/>
              <w:bottom w:val="single" w:sz="4" w:space="0" w:color="auto"/>
              <w:right w:val="single" w:sz="4" w:space="0" w:color="auto"/>
            </w:tcBorders>
            <w:shd w:val="clear" w:color="auto" w:fill="auto"/>
            <w:noWrap/>
            <w:vAlign w:val="center"/>
            <w:hideMark/>
          </w:tcPr>
          <w:p w14:paraId="5DE1E77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12,86</w:t>
            </w:r>
          </w:p>
        </w:tc>
        <w:tc>
          <w:tcPr>
            <w:tcW w:w="1313" w:type="dxa"/>
            <w:tcBorders>
              <w:top w:val="nil"/>
              <w:left w:val="nil"/>
              <w:bottom w:val="single" w:sz="4" w:space="0" w:color="auto"/>
              <w:right w:val="single" w:sz="4" w:space="0" w:color="auto"/>
            </w:tcBorders>
            <w:shd w:val="clear" w:color="auto" w:fill="auto"/>
            <w:noWrap/>
            <w:vAlign w:val="center"/>
            <w:hideMark/>
          </w:tcPr>
          <w:p w14:paraId="3E79AC4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13,49</w:t>
            </w:r>
          </w:p>
        </w:tc>
        <w:tc>
          <w:tcPr>
            <w:tcW w:w="1313" w:type="dxa"/>
            <w:tcBorders>
              <w:top w:val="nil"/>
              <w:left w:val="nil"/>
              <w:bottom w:val="single" w:sz="4" w:space="0" w:color="auto"/>
              <w:right w:val="single" w:sz="4" w:space="0" w:color="auto"/>
            </w:tcBorders>
            <w:shd w:val="clear" w:color="auto" w:fill="auto"/>
            <w:noWrap/>
            <w:vAlign w:val="center"/>
            <w:hideMark/>
          </w:tcPr>
          <w:p w14:paraId="5CD2F6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15,07</w:t>
            </w:r>
          </w:p>
        </w:tc>
        <w:tc>
          <w:tcPr>
            <w:tcW w:w="1313" w:type="dxa"/>
            <w:tcBorders>
              <w:top w:val="nil"/>
              <w:left w:val="nil"/>
              <w:bottom w:val="single" w:sz="4" w:space="0" w:color="auto"/>
              <w:right w:val="single" w:sz="4" w:space="0" w:color="auto"/>
            </w:tcBorders>
            <w:shd w:val="clear" w:color="auto" w:fill="auto"/>
            <w:noWrap/>
            <w:vAlign w:val="center"/>
            <w:hideMark/>
          </w:tcPr>
          <w:p w14:paraId="2452527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15,11</w:t>
            </w:r>
          </w:p>
        </w:tc>
      </w:tr>
      <w:tr w:rsidR="00BF12D5" w:rsidRPr="00BD0223" w14:paraId="1AE256FE"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484C40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PRADOPOLIS</w:t>
            </w:r>
          </w:p>
        </w:tc>
        <w:tc>
          <w:tcPr>
            <w:tcW w:w="1313" w:type="dxa"/>
            <w:tcBorders>
              <w:top w:val="nil"/>
              <w:left w:val="nil"/>
              <w:bottom w:val="single" w:sz="4" w:space="0" w:color="auto"/>
              <w:right w:val="single" w:sz="4" w:space="0" w:color="auto"/>
            </w:tcBorders>
            <w:shd w:val="clear" w:color="auto" w:fill="auto"/>
            <w:noWrap/>
            <w:vAlign w:val="center"/>
            <w:hideMark/>
          </w:tcPr>
          <w:p w14:paraId="046251F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25,62</w:t>
            </w:r>
          </w:p>
        </w:tc>
        <w:tc>
          <w:tcPr>
            <w:tcW w:w="1313" w:type="dxa"/>
            <w:tcBorders>
              <w:top w:val="nil"/>
              <w:left w:val="nil"/>
              <w:bottom w:val="single" w:sz="4" w:space="0" w:color="auto"/>
              <w:right w:val="single" w:sz="4" w:space="0" w:color="auto"/>
            </w:tcBorders>
            <w:shd w:val="clear" w:color="auto" w:fill="auto"/>
            <w:noWrap/>
            <w:vAlign w:val="center"/>
            <w:hideMark/>
          </w:tcPr>
          <w:p w14:paraId="4AEE19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27,31</w:t>
            </w:r>
          </w:p>
        </w:tc>
        <w:tc>
          <w:tcPr>
            <w:tcW w:w="1313" w:type="dxa"/>
            <w:tcBorders>
              <w:top w:val="nil"/>
              <w:left w:val="nil"/>
              <w:bottom w:val="single" w:sz="4" w:space="0" w:color="auto"/>
              <w:right w:val="single" w:sz="4" w:space="0" w:color="auto"/>
            </w:tcBorders>
            <w:shd w:val="clear" w:color="auto" w:fill="auto"/>
            <w:noWrap/>
            <w:vAlign w:val="center"/>
            <w:hideMark/>
          </w:tcPr>
          <w:p w14:paraId="2B56833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33,29</w:t>
            </w:r>
          </w:p>
        </w:tc>
        <w:tc>
          <w:tcPr>
            <w:tcW w:w="1313" w:type="dxa"/>
            <w:tcBorders>
              <w:top w:val="nil"/>
              <w:left w:val="nil"/>
              <w:bottom w:val="single" w:sz="4" w:space="0" w:color="auto"/>
              <w:right w:val="single" w:sz="4" w:space="0" w:color="auto"/>
            </w:tcBorders>
            <w:shd w:val="clear" w:color="auto" w:fill="auto"/>
            <w:noWrap/>
            <w:vAlign w:val="center"/>
            <w:hideMark/>
          </w:tcPr>
          <w:p w14:paraId="30F3FA9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33,97</w:t>
            </w:r>
          </w:p>
        </w:tc>
      </w:tr>
      <w:tr w:rsidR="00BF12D5" w:rsidRPr="00BD0223" w14:paraId="43FE1AC6"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8300E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RESTINGA</w:t>
            </w:r>
          </w:p>
        </w:tc>
        <w:tc>
          <w:tcPr>
            <w:tcW w:w="1313" w:type="dxa"/>
            <w:tcBorders>
              <w:top w:val="nil"/>
              <w:left w:val="nil"/>
              <w:bottom w:val="single" w:sz="4" w:space="0" w:color="auto"/>
              <w:right w:val="single" w:sz="4" w:space="0" w:color="auto"/>
            </w:tcBorders>
            <w:shd w:val="clear" w:color="auto" w:fill="auto"/>
            <w:noWrap/>
            <w:vAlign w:val="center"/>
            <w:hideMark/>
          </w:tcPr>
          <w:p w14:paraId="66B13E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0,54</w:t>
            </w:r>
          </w:p>
        </w:tc>
        <w:tc>
          <w:tcPr>
            <w:tcW w:w="1313" w:type="dxa"/>
            <w:tcBorders>
              <w:top w:val="nil"/>
              <w:left w:val="nil"/>
              <w:bottom w:val="single" w:sz="4" w:space="0" w:color="auto"/>
              <w:right w:val="single" w:sz="4" w:space="0" w:color="auto"/>
            </w:tcBorders>
            <w:shd w:val="clear" w:color="auto" w:fill="auto"/>
            <w:noWrap/>
            <w:vAlign w:val="center"/>
            <w:hideMark/>
          </w:tcPr>
          <w:p w14:paraId="38A63B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0,58</w:t>
            </w:r>
          </w:p>
        </w:tc>
        <w:tc>
          <w:tcPr>
            <w:tcW w:w="1313" w:type="dxa"/>
            <w:tcBorders>
              <w:top w:val="nil"/>
              <w:left w:val="nil"/>
              <w:bottom w:val="single" w:sz="4" w:space="0" w:color="auto"/>
              <w:right w:val="single" w:sz="4" w:space="0" w:color="auto"/>
            </w:tcBorders>
            <w:shd w:val="clear" w:color="auto" w:fill="auto"/>
            <w:noWrap/>
            <w:vAlign w:val="center"/>
            <w:hideMark/>
          </w:tcPr>
          <w:p w14:paraId="5C50574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0,60</w:t>
            </w:r>
          </w:p>
        </w:tc>
        <w:tc>
          <w:tcPr>
            <w:tcW w:w="1313" w:type="dxa"/>
            <w:tcBorders>
              <w:top w:val="nil"/>
              <w:left w:val="nil"/>
              <w:bottom w:val="single" w:sz="4" w:space="0" w:color="auto"/>
              <w:right w:val="single" w:sz="4" w:space="0" w:color="auto"/>
            </w:tcBorders>
            <w:shd w:val="clear" w:color="auto" w:fill="auto"/>
            <w:noWrap/>
            <w:vAlign w:val="center"/>
            <w:hideMark/>
          </w:tcPr>
          <w:p w14:paraId="1131F1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0,55</w:t>
            </w:r>
          </w:p>
        </w:tc>
      </w:tr>
      <w:tr w:rsidR="00BF12D5" w:rsidRPr="00BD0223" w14:paraId="0B875478"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655E61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RIBEIRAO CORRENTE</w:t>
            </w:r>
          </w:p>
        </w:tc>
        <w:tc>
          <w:tcPr>
            <w:tcW w:w="1313" w:type="dxa"/>
            <w:tcBorders>
              <w:top w:val="nil"/>
              <w:left w:val="nil"/>
              <w:bottom w:val="single" w:sz="4" w:space="0" w:color="auto"/>
              <w:right w:val="single" w:sz="4" w:space="0" w:color="auto"/>
            </w:tcBorders>
            <w:shd w:val="clear" w:color="auto" w:fill="auto"/>
            <w:noWrap/>
            <w:vAlign w:val="center"/>
            <w:hideMark/>
          </w:tcPr>
          <w:p w14:paraId="2868B0C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0,40</w:t>
            </w:r>
          </w:p>
        </w:tc>
        <w:tc>
          <w:tcPr>
            <w:tcW w:w="1313" w:type="dxa"/>
            <w:tcBorders>
              <w:top w:val="nil"/>
              <w:left w:val="nil"/>
              <w:bottom w:val="single" w:sz="4" w:space="0" w:color="auto"/>
              <w:right w:val="single" w:sz="4" w:space="0" w:color="auto"/>
            </w:tcBorders>
            <w:shd w:val="clear" w:color="auto" w:fill="auto"/>
            <w:noWrap/>
            <w:vAlign w:val="center"/>
            <w:hideMark/>
          </w:tcPr>
          <w:p w14:paraId="5351E95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0,42</w:t>
            </w:r>
          </w:p>
        </w:tc>
        <w:tc>
          <w:tcPr>
            <w:tcW w:w="1313" w:type="dxa"/>
            <w:tcBorders>
              <w:top w:val="nil"/>
              <w:left w:val="nil"/>
              <w:bottom w:val="single" w:sz="4" w:space="0" w:color="auto"/>
              <w:right w:val="single" w:sz="4" w:space="0" w:color="auto"/>
            </w:tcBorders>
            <w:shd w:val="clear" w:color="auto" w:fill="auto"/>
            <w:noWrap/>
            <w:vAlign w:val="center"/>
            <w:hideMark/>
          </w:tcPr>
          <w:p w14:paraId="08720A9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0,41</w:t>
            </w:r>
          </w:p>
        </w:tc>
        <w:tc>
          <w:tcPr>
            <w:tcW w:w="1313" w:type="dxa"/>
            <w:tcBorders>
              <w:top w:val="nil"/>
              <w:left w:val="nil"/>
              <w:bottom w:val="single" w:sz="4" w:space="0" w:color="auto"/>
              <w:right w:val="single" w:sz="4" w:space="0" w:color="auto"/>
            </w:tcBorders>
            <w:shd w:val="clear" w:color="auto" w:fill="auto"/>
            <w:noWrap/>
            <w:vAlign w:val="center"/>
            <w:hideMark/>
          </w:tcPr>
          <w:p w14:paraId="1A0D4E7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0,35</w:t>
            </w:r>
          </w:p>
        </w:tc>
      </w:tr>
      <w:tr w:rsidR="00BF12D5" w:rsidRPr="00BD0223" w14:paraId="148CBAB1"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1C0260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RIBEIRAO PRETO</w:t>
            </w:r>
          </w:p>
        </w:tc>
        <w:tc>
          <w:tcPr>
            <w:tcW w:w="1313" w:type="dxa"/>
            <w:tcBorders>
              <w:top w:val="nil"/>
              <w:left w:val="nil"/>
              <w:bottom w:val="single" w:sz="4" w:space="0" w:color="auto"/>
              <w:right w:val="single" w:sz="4" w:space="0" w:color="auto"/>
            </w:tcBorders>
            <w:shd w:val="clear" w:color="auto" w:fill="auto"/>
            <w:noWrap/>
            <w:vAlign w:val="center"/>
            <w:hideMark/>
          </w:tcPr>
          <w:p w14:paraId="237FE1B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185,81</w:t>
            </w:r>
          </w:p>
        </w:tc>
        <w:tc>
          <w:tcPr>
            <w:tcW w:w="1313" w:type="dxa"/>
            <w:tcBorders>
              <w:top w:val="nil"/>
              <w:left w:val="nil"/>
              <w:bottom w:val="single" w:sz="4" w:space="0" w:color="auto"/>
              <w:right w:val="single" w:sz="4" w:space="0" w:color="auto"/>
            </w:tcBorders>
            <w:shd w:val="clear" w:color="auto" w:fill="auto"/>
            <w:noWrap/>
            <w:vAlign w:val="center"/>
            <w:hideMark/>
          </w:tcPr>
          <w:p w14:paraId="7C02F70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190,08</w:t>
            </w:r>
          </w:p>
        </w:tc>
        <w:tc>
          <w:tcPr>
            <w:tcW w:w="1313" w:type="dxa"/>
            <w:tcBorders>
              <w:top w:val="nil"/>
              <w:left w:val="nil"/>
              <w:bottom w:val="single" w:sz="4" w:space="0" w:color="auto"/>
              <w:right w:val="single" w:sz="4" w:space="0" w:color="auto"/>
            </w:tcBorders>
            <w:shd w:val="clear" w:color="auto" w:fill="auto"/>
            <w:noWrap/>
            <w:vAlign w:val="center"/>
            <w:hideMark/>
          </w:tcPr>
          <w:p w14:paraId="18CBC7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216,25</w:t>
            </w:r>
          </w:p>
        </w:tc>
        <w:tc>
          <w:tcPr>
            <w:tcW w:w="1313" w:type="dxa"/>
            <w:tcBorders>
              <w:top w:val="nil"/>
              <w:left w:val="nil"/>
              <w:bottom w:val="single" w:sz="4" w:space="0" w:color="auto"/>
              <w:right w:val="single" w:sz="4" w:space="0" w:color="auto"/>
            </w:tcBorders>
            <w:shd w:val="clear" w:color="auto" w:fill="auto"/>
            <w:noWrap/>
            <w:vAlign w:val="center"/>
            <w:hideMark/>
          </w:tcPr>
          <w:p w14:paraId="5CB7DC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219,57</w:t>
            </w:r>
          </w:p>
        </w:tc>
      </w:tr>
      <w:tr w:rsidR="00BF12D5" w:rsidRPr="00BD0223" w14:paraId="06E60DFC"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5E2DDE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RIFAINA</w:t>
            </w:r>
          </w:p>
        </w:tc>
        <w:tc>
          <w:tcPr>
            <w:tcW w:w="1313" w:type="dxa"/>
            <w:tcBorders>
              <w:top w:val="nil"/>
              <w:left w:val="nil"/>
              <w:bottom w:val="single" w:sz="4" w:space="0" w:color="auto"/>
              <w:right w:val="single" w:sz="4" w:space="0" w:color="auto"/>
            </w:tcBorders>
            <w:shd w:val="clear" w:color="auto" w:fill="auto"/>
            <w:noWrap/>
            <w:vAlign w:val="center"/>
            <w:hideMark/>
          </w:tcPr>
          <w:p w14:paraId="1B6803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313" w:type="dxa"/>
            <w:tcBorders>
              <w:top w:val="nil"/>
              <w:left w:val="nil"/>
              <w:bottom w:val="single" w:sz="4" w:space="0" w:color="auto"/>
              <w:right w:val="single" w:sz="4" w:space="0" w:color="auto"/>
            </w:tcBorders>
            <w:shd w:val="clear" w:color="auto" w:fill="auto"/>
            <w:noWrap/>
            <w:vAlign w:val="center"/>
            <w:hideMark/>
          </w:tcPr>
          <w:p w14:paraId="006190A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0,27</w:t>
            </w:r>
          </w:p>
        </w:tc>
        <w:tc>
          <w:tcPr>
            <w:tcW w:w="1313" w:type="dxa"/>
            <w:tcBorders>
              <w:top w:val="nil"/>
              <w:left w:val="nil"/>
              <w:bottom w:val="single" w:sz="4" w:space="0" w:color="auto"/>
              <w:right w:val="single" w:sz="4" w:space="0" w:color="auto"/>
            </w:tcBorders>
            <w:shd w:val="clear" w:color="auto" w:fill="auto"/>
            <w:noWrap/>
            <w:vAlign w:val="center"/>
            <w:hideMark/>
          </w:tcPr>
          <w:p w14:paraId="39F77F8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0,32</w:t>
            </w:r>
          </w:p>
        </w:tc>
        <w:tc>
          <w:tcPr>
            <w:tcW w:w="1313" w:type="dxa"/>
            <w:tcBorders>
              <w:top w:val="nil"/>
              <w:left w:val="nil"/>
              <w:bottom w:val="single" w:sz="4" w:space="0" w:color="auto"/>
              <w:right w:val="single" w:sz="4" w:space="0" w:color="auto"/>
            </w:tcBorders>
            <w:shd w:val="clear" w:color="auto" w:fill="auto"/>
            <w:noWrap/>
            <w:vAlign w:val="center"/>
            <w:hideMark/>
          </w:tcPr>
          <w:p w14:paraId="66E5547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0,37</w:t>
            </w:r>
          </w:p>
        </w:tc>
      </w:tr>
      <w:tr w:rsidR="00BF12D5" w:rsidRPr="00BD0223" w14:paraId="334D8270"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2B32B3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RIOLANDIA</w:t>
            </w:r>
          </w:p>
        </w:tc>
        <w:tc>
          <w:tcPr>
            <w:tcW w:w="1313" w:type="dxa"/>
            <w:tcBorders>
              <w:top w:val="nil"/>
              <w:left w:val="nil"/>
              <w:bottom w:val="single" w:sz="4" w:space="0" w:color="auto"/>
              <w:right w:val="single" w:sz="4" w:space="0" w:color="auto"/>
            </w:tcBorders>
            <w:shd w:val="clear" w:color="auto" w:fill="auto"/>
            <w:noWrap/>
            <w:vAlign w:val="center"/>
            <w:hideMark/>
          </w:tcPr>
          <w:p w14:paraId="6E8E30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1,04</w:t>
            </w:r>
          </w:p>
        </w:tc>
        <w:tc>
          <w:tcPr>
            <w:tcW w:w="1313" w:type="dxa"/>
            <w:tcBorders>
              <w:top w:val="nil"/>
              <w:left w:val="nil"/>
              <w:bottom w:val="single" w:sz="4" w:space="0" w:color="auto"/>
              <w:right w:val="single" w:sz="4" w:space="0" w:color="auto"/>
            </w:tcBorders>
            <w:shd w:val="clear" w:color="auto" w:fill="auto"/>
            <w:noWrap/>
            <w:vAlign w:val="center"/>
            <w:hideMark/>
          </w:tcPr>
          <w:p w14:paraId="5FD9369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1,24</w:t>
            </w:r>
          </w:p>
        </w:tc>
        <w:tc>
          <w:tcPr>
            <w:tcW w:w="1313" w:type="dxa"/>
            <w:tcBorders>
              <w:top w:val="nil"/>
              <w:left w:val="nil"/>
              <w:bottom w:val="single" w:sz="4" w:space="0" w:color="auto"/>
              <w:right w:val="single" w:sz="4" w:space="0" w:color="auto"/>
            </w:tcBorders>
            <w:shd w:val="clear" w:color="auto" w:fill="auto"/>
            <w:noWrap/>
            <w:vAlign w:val="center"/>
            <w:hideMark/>
          </w:tcPr>
          <w:p w14:paraId="2B0FCED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1,24</w:t>
            </w:r>
          </w:p>
        </w:tc>
        <w:tc>
          <w:tcPr>
            <w:tcW w:w="1313" w:type="dxa"/>
            <w:tcBorders>
              <w:top w:val="nil"/>
              <w:left w:val="nil"/>
              <w:bottom w:val="single" w:sz="4" w:space="0" w:color="auto"/>
              <w:right w:val="single" w:sz="4" w:space="0" w:color="auto"/>
            </w:tcBorders>
            <w:shd w:val="clear" w:color="auto" w:fill="auto"/>
            <w:noWrap/>
            <w:vAlign w:val="center"/>
            <w:hideMark/>
          </w:tcPr>
          <w:p w14:paraId="187DF5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0,90</w:t>
            </w:r>
          </w:p>
        </w:tc>
      </w:tr>
      <w:tr w:rsidR="00BF12D5" w:rsidRPr="00BD0223" w14:paraId="661567B5"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3F91DF2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RUBINEIA</w:t>
            </w:r>
          </w:p>
        </w:tc>
        <w:tc>
          <w:tcPr>
            <w:tcW w:w="1313" w:type="dxa"/>
            <w:tcBorders>
              <w:top w:val="nil"/>
              <w:left w:val="nil"/>
              <w:bottom w:val="single" w:sz="4" w:space="0" w:color="auto"/>
              <w:right w:val="single" w:sz="4" w:space="0" w:color="auto"/>
            </w:tcBorders>
            <w:shd w:val="clear" w:color="auto" w:fill="auto"/>
            <w:noWrap/>
            <w:vAlign w:val="center"/>
            <w:hideMark/>
          </w:tcPr>
          <w:p w14:paraId="5A2A94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313" w:type="dxa"/>
            <w:tcBorders>
              <w:top w:val="nil"/>
              <w:left w:val="nil"/>
              <w:bottom w:val="single" w:sz="4" w:space="0" w:color="auto"/>
              <w:right w:val="single" w:sz="4" w:space="0" w:color="auto"/>
            </w:tcBorders>
            <w:shd w:val="clear" w:color="auto" w:fill="auto"/>
            <w:noWrap/>
            <w:vAlign w:val="center"/>
            <w:hideMark/>
          </w:tcPr>
          <w:p w14:paraId="2E83D80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0,23</w:t>
            </w:r>
          </w:p>
        </w:tc>
        <w:tc>
          <w:tcPr>
            <w:tcW w:w="1313" w:type="dxa"/>
            <w:tcBorders>
              <w:top w:val="nil"/>
              <w:left w:val="nil"/>
              <w:bottom w:val="single" w:sz="4" w:space="0" w:color="auto"/>
              <w:right w:val="single" w:sz="4" w:space="0" w:color="auto"/>
            </w:tcBorders>
            <w:shd w:val="clear" w:color="auto" w:fill="auto"/>
            <w:noWrap/>
            <w:vAlign w:val="center"/>
            <w:hideMark/>
          </w:tcPr>
          <w:p w14:paraId="1303F9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0,28</w:t>
            </w:r>
          </w:p>
        </w:tc>
        <w:tc>
          <w:tcPr>
            <w:tcW w:w="1313" w:type="dxa"/>
            <w:tcBorders>
              <w:top w:val="nil"/>
              <w:left w:val="nil"/>
              <w:bottom w:val="single" w:sz="4" w:space="0" w:color="auto"/>
              <w:right w:val="single" w:sz="4" w:space="0" w:color="auto"/>
            </w:tcBorders>
            <w:shd w:val="clear" w:color="auto" w:fill="auto"/>
            <w:noWrap/>
            <w:vAlign w:val="center"/>
            <w:hideMark/>
          </w:tcPr>
          <w:p w14:paraId="1A811BD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0,37</w:t>
            </w:r>
          </w:p>
        </w:tc>
      </w:tr>
      <w:tr w:rsidR="00BF12D5" w:rsidRPr="00BD0223" w14:paraId="374E25F8"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E3886D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SALES</w:t>
            </w:r>
          </w:p>
        </w:tc>
        <w:tc>
          <w:tcPr>
            <w:tcW w:w="1313" w:type="dxa"/>
            <w:tcBorders>
              <w:top w:val="nil"/>
              <w:left w:val="nil"/>
              <w:bottom w:val="single" w:sz="4" w:space="0" w:color="auto"/>
              <w:right w:val="single" w:sz="4" w:space="0" w:color="auto"/>
            </w:tcBorders>
            <w:shd w:val="clear" w:color="auto" w:fill="auto"/>
            <w:noWrap/>
            <w:vAlign w:val="center"/>
            <w:hideMark/>
          </w:tcPr>
          <w:p w14:paraId="399991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0,95</w:t>
            </w:r>
          </w:p>
        </w:tc>
        <w:tc>
          <w:tcPr>
            <w:tcW w:w="1313" w:type="dxa"/>
            <w:tcBorders>
              <w:top w:val="nil"/>
              <w:left w:val="nil"/>
              <w:bottom w:val="single" w:sz="4" w:space="0" w:color="auto"/>
              <w:right w:val="single" w:sz="4" w:space="0" w:color="auto"/>
            </w:tcBorders>
            <w:shd w:val="clear" w:color="auto" w:fill="auto"/>
            <w:noWrap/>
            <w:vAlign w:val="center"/>
            <w:hideMark/>
          </w:tcPr>
          <w:p w14:paraId="537AC84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1,48</w:t>
            </w:r>
          </w:p>
        </w:tc>
        <w:tc>
          <w:tcPr>
            <w:tcW w:w="1313" w:type="dxa"/>
            <w:tcBorders>
              <w:top w:val="nil"/>
              <w:left w:val="nil"/>
              <w:bottom w:val="single" w:sz="4" w:space="0" w:color="auto"/>
              <w:right w:val="single" w:sz="4" w:space="0" w:color="auto"/>
            </w:tcBorders>
            <w:shd w:val="clear" w:color="auto" w:fill="auto"/>
            <w:noWrap/>
            <w:vAlign w:val="center"/>
            <w:hideMark/>
          </w:tcPr>
          <w:p w14:paraId="28611F3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2,74</w:t>
            </w:r>
          </w:p>
        </w:tc>
        <w:tc>
          <w:tcPr>
            <w:tcW w:w="1313" w:type="dxa"/>
            <w:tcBorders>
              <w:top w:val="nil"/>
              <w:left w:val="nil"/>
              <w:bottom w:val="single" w:sz="4" w:space="0" w:color="auto"/>
              <w:right w:val="single" w:sz="4" w:space="0" w:color="auto"/>
            </w:tcBorders>
            <w:shd w:val="clear" w:color="auto" w:fill="auto"/>
            <w:noWrap/>
            <w:vAlign w:val="center"/>
            <w:hideMark/>
          </w:tcPr>
          <w:p w14:paraId="30F80E6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1,28</w:t>
            </w:r>
          </w:p>
        </w:tc>
      </w:tr>
      <w:tr w:rsidR="00BF12D5" w:rsidRPr="00BD0223" w14:paraId="10078F50"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C1361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lastRenderedPageBreak/>
              <w:t>SALES OLIVEIRA</w:t>
            </w:r>
          </w:p>
        </w:tc>
        <w:tc>
          <w:tcPr>
            <w:tcW w:w="1313" w:type="dxa"/>
            <w:tcBorders>
              <w:top w:val="nil"/>
              <w:left w:val="nil"/>
              <w:bottom w:val="single" w:sz="4" w:space="0" w:color="auto"/>
              <w:right w:val="single" w:sz="4" w:space="0" w:color="auto"/>
            </w:tcBorders>
            <w:shd w:val="clear" w:color="auto" w:fill="auto"/>
            <w:noWrap/>
            <w:vAlign w:val="center"/>
            <w:hideMark/>
          </w:tcPr>
          <w:p w14:paraId="1E9707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1,66</w:t>
            </w:r>
          </w:p>
        </w:tc>
        <w:tc>
          <w:tcPr>
            <w:tcW w:w="1313" w:type="dxa"/>
            <w:tcBorders>
              <w:top w:val="nil"/>
              <w:left w:val="nil"/>
              <w:bottom w:val="single" w:sz="4" w:space="0" w:color="auto"/>
              <w:right w:val="single" w:sz="4" w:space="0" w:color="auto"/>
            </w:tcBorders>
            <w:shd w:val="clear" w:color="auto" w:fill="auto"/>
            <w:noWrap/>
            <w:vAlign w:val="center"/>
            <w:hideMark/>
          </w:tcPr>
          <w:p w14:paraId="231081A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2,86</w:t>
            </w:r>
          </w:p>
        </w:tc>
        <w:tc>
          <w:tcPr>
            <w:tcW w:w="1313" w:type="dxa"/>
            <w:tcBorders>
              <w:top w:val="nil"/>
              <w:left w:val="nil"/>
              <w:bottom w:val="single" w:sz="4" w:space="0" w:color="auto"/>
              <w:right w:val="single" w:sz="4" w:space="0" w:color="auto"/>
            </w:tcBorders>
            <w:shd w:val="clear" w:color="auto" w:fill="auto"/>
            <w:noWrap/>
            <w:vAlign w:val="center"/>
            <w:hideMark/>
          </w:tcPr>
          <w:p w14:paraId="4B49B8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6,86</w:t>
            </w:r>
          </w:p>
        </w:tc>
        <w:tc>
          <w:tcPr>
            <w:tcW w:w="1313" w:type="dxa"/>
            <w:tcBorders>
              <w:top w:val="nil"/>
              <w:left w:val="nil"/>
              <w:bottom w:val="single" w:sz="4" w:space="0" w:color="auto"/>
              <w:right w:val="single" w:sz="4" w:space="0" w:color="auto"/>
            </w:tcBorders>
            <w:shd w:val="clear" w:color="auto" w:fill="auto"/>
            <w:noWrap/>
            <w:vAlign w:val="center"/>
            <w:hideMark/>
          </w:tcPr>
          <w:p w14:paraId="662AB8F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9,16</w:t>
            </w:r>
          </w:p>
        </w:tc>
      </w:tr>
      <w:tr w:rsidR="00BF12D5" w:rsidRPr="00BD0223" w14:paraId="62F57823"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D11BB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ADELIA</w:t>
            </w:r>
          </w:p>
        </w:tc>
        <w:tc>
          <w:tcPr>
            <w:tcW w:w="1313" w:type="dxa"/>
            <w:tcBorders>
              <w:top w:val="nil"/>
              <w:left w:val="nil"/>
              <w:bottom w:val="single" w:sz="4" w:space="0" w:color="auto"/>
              <w:right w:val="single" w:sz="4" w:space="0" w:color="auto"/>
            </w:tcBorders>
            <w:shd w:val="clear" w:color="auto" w:fill="auto"/>
            <w:noWrap/>
            <w:vAlign w:val="center"/>
            <w:hideMark/>
          </w:tcPr>
          <w:p w14:paraId="7C61ECC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26,98</w:t>
            </w:r>
          </w:p>
        </w:tc>
        <w:tc>
          <w:tcPr>
            <w:tcW w:w="1313" w:type="dxa"/>
            <w:tcBorders>
              <w:top w:val="nil"/>
              <w:left w:val="nil"/>
              <w:bottom w:val="single" w:sz="4" w:space="0" w:color="auto"/>
              <w:right w:val="single" w:sz="4" w:space="0" w:color="auto"/>
            </w:tcBorders>
            <w:shd w:val="clear" w:color="auto" w:fill="auto"/>
            <w:noWrap/>
            <w:vAlign w:val="center"/>
            <w:hideMark/>
          </w:tcPr>
          <w:p w14:paraId="53C544B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28,89</w:t>
            </w:r>
          </w:p>
        </w:tc>
        <w:tc>
          <w:tcPr>
            <w:tcW w:w="1313" w:type="dxa"/>
            <w:tcBorders>
              <w:top w:val="nil"/>
              <w:left w:val="nil"/>
              <w:bottom w:val="single" w:sz="4" w:space="0" w:color="auto"/>
              <w:right w:val="single" w:sz="4" w:space="0" w:color="auto"/>
            </w:tcBorders>
            <w:shd w:val="clear" w:color="auto" w:fill="auto"/>
            <w:noWrap/>
            <w:vAlign w:val="center"/>
            <w:hideMark/>
          </w:tcPr>
          <w:p w14:paraId="51E90F5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31,08</w:t>
            </w:r>
          </w:p>
        </w:tc>
        <w:tc>
          <w:tcPr>
            <w:tcW w:w="1313" w:type="dxa"/>
            <w:tcBorders>
              <w:top w:val="nil"/>
              <w:left w:val="nil"/>
              <w:bottom w:val="single" w:sz="4" w:space="0" w:color="auto"/>
              <w:right w:val="single" w:sz="4" w:space="0" w:color="auto"/>
            </w:tcBorders>
            <w:shd w:val="clear" w:color="auto" w:fill="auto"/>
            <w:noWrap/>
            <w:vAlign w:val="center"/>
            <w:hideMark/>
          </w:tcPr>
          <w:p w14:paraId="74FE830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31,97</w:t>
            </w:r>
          </w:p>
        </w:tc>
      </w:tr>
      <w:tr w:rsidR="00BF12D5" w:rsidRPr="00BD0223" w14:paraId="284F9EFD"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E0EB36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ALBERTINA</w:t>
            </w:r>
          </w:p>
        </w:tc>
        <w:tc>
          <w:tcPr>
            <w:tcW w:w="1313" w:type="dxa"/>
            <w:tcBorders>
              <w:top w:val="nil"/>
              <w:left w:val="nil"/>
              <w:bottom w:val="single" w:sz="4" w:space="0" w:color="auto"/>
              <w:right w:val="single" w:sz="4" w:space="0" w:color="auto"/>
            </w:tcBorders>
            <w:shd w:val="clear" w:color="auto" w:fill="auto"/>
            <w:noWrap/>
            <w:vAlign w:val="center"/>
            <w:hideMark/>
          </w:tcPr>
          <w:p w14:paraId="150544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7,86</w:t>
            </w:r>
          </w:p>
        </w:tc>
        <w:tc>
          <w:tcPr>
            <w:tcW w:w="1313" w:type="dxa"/>
            <w:tcBorders>
              <w:top w:val="nil"/>
              <w:left w:val="nil"/>
              <w:bottom w:val="single" w:sz="4" w:space="0" w:color="auto"/>
              <w:right w:val="single" w:sz="4" w:space="0" w:color="auto"/>
            </w:tcBorders>
            <w:shd w:val="clear" w:color="auto" w:fill="auto"/>
            <w:noWrap/>
            <w:vAlign w:val="center"/>
            <w:hideMark/>
          </w:tcPr>
          <w:p w14:paraId="061BBA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9,21</w:t>
            </w:r>
          </w:p>
        </w:tc>
        <w:tc>
          <w:tcPr>
            <w:tcW w:w="1313" w:type="dxa"/>
            <w:tcBorders>
              <w:top w:val="nil"/>
              <w:left w:val="nil"/>
              <w:bottom w:val="single" w:sz="4" w:space="0" w:color="auto"/>
              <w:right w:val="single" w:sz="4" w:space="0" w:color="auto"/>
            </w:tcBorders>
            <w:shd w:val="clear" w:color="auto" w:fill="auto"/>
            <w:noWrap/>
            <w:vAlign w:val="center"/>
            <w:hideMark/>
          </w:tcPr>
          <w:p w14:paraId="70C3861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9,80</w:t>
            </w:r>
          </w:p>
        </w:tc>
        <w:tc>
          <w:tcPr>
            <w:tcW w:w="1313" w:type="dxa"/>
            <w:tcBorders>
              <w:top w:val="nil"/>
              <w:left w:val="nil"/>
              <w:bottom w:val="single" w:sz="4" w:space="0" w:color="auto"/>
              <w:right w:val="single" w:sz="4" w:space="0" w:color="auto"/>
            </w:tcBorders>
            <w:shd w:val="clear" w:color="auto" w:fill="auto"/>
            <w:noWrap/>
            <w:vAlign w:val="center"/>
            <w:hideMark/>
          </w:tcPr>
          <w:p w14:paraId="17FB8CA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9,49</w:t>
            </w:r>
          </w:p>
        </w:tc>
      </w:tr>
      <w:tr w:rsidR="00BF12D5" w:rsidRPr="00BD0223" w14:paraId="7E605415"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1930B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CLARA D'OESTE</w:t>
            </w:r>
          </w:p>
        </w:tc>
        <w:tc>
          <w:tcPr>
            <w:tcW w:w="1313" w:type="dxa"/>
            <w:tcBorders>
              <w:top w:val="nil"/>
              <w:left w:val="nil"/>
              <w:bottom w:val="single" w:sz="4" w:space="0" w:color="auto"/>
              <w:right w:val="single" w:sz="4" w:space="0" w:color="auto"/>
            </w:tcBorders>
            <w:shd w:val="clear" w:color="auto" w:fill="auto"/>
            <w:noWrap/>
            <w:vAlign w:val="center"/>
            <w:hideMark/>
          </w:tcPr>
          <w:p w14:paraId="513A900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0,20</w:t>
            </w:r>
          </w:p>
        </w:tc>
        <w:tc>
          <w:tcPr>
            <w:tcW w:w="1313" w:type="dxa"/>
            <w:tcBorders>
              <w:top w:val="nil"/>
              <w:left w:val="nil"/>
              <w:bottom w:val="single" w:sz="4" w:space="0" w:color="auto"/>
              <w:right w:val="single" w:sz="4" w:space="0" w:color="auto"/>
            </w:tcBorders>
            <w:shd w:val="clear" w:color="auto" w:fill="auto"/>
            <w:noWrap/>
            <w:vAlign w:val="center"/>
            <w:hideMark/>
          </w:tcPr>
          <w:p w14:paraId="4EB40A4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0,22</w:t>
            </w:r>
          </w:p>
        </w:tc>
        <w:tc>
          <w:tcPr>
            <w:tcW w:w="1313" w:type="dxa"/>
            <w:tcBorders>
              <w:top w:val="nil"/>
              <w:left w:val="nil"/>
              <w:bottom w:val="single" w:sz="4" w:space="0" w:color="auto"/>
              <w:right w:val="single" w:sz="4" w:space="0" w:color="auto"/>
            </w:tcBorders>
            <w:shd w:val="clear" w:color="auto" w:fill="auto"/>
            <w:noWrap/>
            <w:vAlign w:val="center"/>
            <w:hideMark/>
          </w:tcPr>
          <w:p w14:paraId="6BFA0B7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0,22</w:t>
            </w:r>
          </w:p>
        </w:tc>
        <w:tc>
          <w:tcPr>
            <w:tcW w:w="1313" w:type="dxa"/>
            <w:tcBorders>
              <w:top w:val="nil"/>
              <w:left w:val="nil"/>
              <w:bottom w:val="single" w:sz="4" w:space="0" w:color="auto"/>
              <w:right w:val="single" w:sz="4" w:space="0" w:color="auto"/>
            </w:tcBorders>
            <w:shd w:val="clear" w:color="auto" w:fill="auto"/>
            <w:noWrap/>
            <w:vAlign w:val="center"/>
            <w:hideMark/>
          </w:tcPr>
          <w:p w14:paraId="7295F8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0,20</w:t>
            </w:r>
          </w:p>
        </w:tc>
      </w:tr>
      <w:tr w:rsidR="00BF12D5" w:rsidRPr="00BD0223" w14:paraId="5C6EB8C9"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0869E7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CRUZ DA ESPERANCA</w:t>
            </w:r>
          </w:p>
        </w:tc>
        <w:tc>
          <w:tcPr>
            <w:tcW w:w="1313" w:type="dxa"/>
            <w:tcBorders>
              <w:top w:val="nil"/>
              <w:left w:val="nil"/>
              <w:bottom w:val="single" w:sz="4" w:space="0" w:color="auto"/>
              <w:right w:val="single" w:sz="4" w:space="0" w:color="auto"/>
            </w:tcBorders>
            <w:shd w:val="clear" w:color="auto" w:fill="auto"/>
            <w:noWrap/>
            <w:vAlign w:val="center"/>
            <w:hideMark/>
          </w:tcPr>
          <w:p w14:paraId="577935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0,52</w:t>
            </w:r>
          </w:p>
        </w:tc>
        <w:tc>
          <w:tcPr>
            <w:tcW w:w="1313" w:type="dxa"/>
            <w:tcBorders>
              <w:top w:val="nil"/>
              <w:left w:val="nil"/>
              <w:bottom w:val="single" w:sz="4" w:space="0" w:color="auto"/>
              <w:right w:val="single" w:sz="4" w:space="0" w:color="auto"/>
            </w:tcBorders>
            <w:shd w:val="clear" w:color="auto" w:fill="auto"/>
            <w:noWrap/>
            <w:vAlign w:val="center"/>
            <w:hideMark/>
          </w:tcPr>
          <w:p w14:paraId="601126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1,09</w:t>
            </w:r>
          </w:p>
        </w:tc>
        <w:tc>
          <w:tcPr>
            <w:tcW w:w="1313" w:type="dxa"/>
            <w:tcBorders>
              <w:top w:val="nil"/>
              <w:left w:val="nil"/>
              <w:bottom w:val="single" w:sz="4" w:space="0" w:color="auto"/>
              <w:right w:val="single" w:sz="4" w:space="0" w:color="auto"/>
            </w:tcBorders>
            <w:shd w:val="clear" w:color="auto" w:fill="auto"/>
            <w:noWrap/>
            <w:vAlign w:val="center"/>
            <w:hideMark/>
          </w:tcPr>
          <w:p w14:paraId="0D02BFD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1,34</w:t>
            </w:r>
          </w:p>
        </w:tc>
        <w:tc>
          <w:tcPr>
            <w:tcW w:w="1313" w:type="dxa"/>
            <w:tcBorders>
              <w:top w:val="nil"/>
              <w:left w:val="nil"/>
              <w:bottom w:val="single" w:sz="4" w:space="0" w:color="auto"/>
              <w:right w:val="single" w:sz="4" w:space="0" w:color="auto"/>
            </w:tcBorders>
            <w:shd w:val="clear" w:color="auto" w:fill="auto"/>
            <w:noWrap/>
            <w:vAlign w:val="center"/>
            <w:hideMark/>
          </w:tcPr>
          <w:p w14:paraId="3D8618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2,41</w:t>
            </w:r>
          </w:p>
        </w:tc>
      </w:tr>
      <w:tr w:rsidR="00BF12D5" w:rsidRPr="00BD0223" w14:paraId="2EADEEEB"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EB3D97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ERNESTINA</w:t>
            </w:r>
          </w:p>
        </w:tc>
        <w:tc>
          <w:tcPr>
            <w:tcW w:w="1313" w:type="dxa"/>
            <w:tcBorders>
              <w:top w:val="nil"/>
              <w:left w:val="nil"/>
              <w:bottom w:val="single" w:sz="4" w:space="0" w:color="auto"/>
              <w:right w:val="single" w:sz="4" w:space="0" w:color="auto"/>
            </w:tcBorders>
            <w:shd w:val="clear" w:color="auto" w:fill="auto"/>
            <w:noWrap/>
            <w:vAlign w:val="center"/>
            <w:hideMark/>
          </w:tcPr>
          <w:p w14:paraId="74AAEAB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0,22</w:t>
            </w:r>
          </w:p>
        </w:tc>
        <w:tc>
          <w:tcPr>
            <w:tcW w:w="1313" w:type="dxa"/>
            <w:tcBorders>
              <w:top w:val="nil"/>
              <w:left w:val="nil"/>
              <w:bottom w:val="single" w:sz="4" w:space="0" w:color="auto"/>
              <w:right w:val="single" w:sz="4" w:space="0" w:color="auto"/>
            </w:tcBorders>
            <w:shd w:val="clear" w:color="auto" w:fill="auto"/>
            <w:noWrap/>
            <w:vAlign w:val="center"/>
            <w:hideMark/>
          </w:tcPr>
          <w:p w14:paraId="5BFB870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0,81</w:t>
            </w:r>
          </w:p>
        </w:tc>
        <w:tc>
          <w:tcPr>
            <w:tcW w:w="1313" w:type="dxa"/>
            <w:tcBorders>
              <w:top w:val="nil"/>
              <w:left w:val="nil"/>
              <w:bottom w:val="single" w:sz="4" w:space="0" w:color="auto"/>
              <w:right w:val="single" w:sz="4" w:space="0" w:color="auto"/>
            </w:tcBorders>
            <w:shd w:val="clear" w:color="auto" w:fill="auto"/>
            <w:noWrap/>
            <w:vAlign w:val="center"/>
            <w:hideMark/>
          </w:tcPr>
          <w:p w14:paraId="5B7837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0,98</w:t>
            </w:r>
          </w:p>
        </w:tc>
        <w:tc>
          <w:tcPr>
            <w:tcW w:w="1313" w:type="dxa"/>
            <w:tcBorders>
              <w:top w:val="nil"/>
              <w:left w:val="nil"/>
              <w:bottom w:val="single" w:sz="4" w:space="0" w:color="auto"/>
              <w:right w:val="single" w:sz="4" w:space="0" w:color="auto"/>
            </w:tcBorders>
            <w:shd w:val="clear" w:color="auto" w:fill="auto"/>
            <w:noWrap/>
            <w:vAlign w:val="center"/>
            <w:hideMark/>
          </w:tcPr>
          <w:p w14:paraId="2DEB15B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0,74</w:t>
            </w:r>
          </w:p>
        </w:tc>
      </w:tr>
      <w:tr w:rsidR="00BF12D5" w:rsidRPr="00BD0223" w14:paraId="236ADEA3"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1B37F7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ROSA DE VITERBO</w:t>
            </w:r>
          </w:p>
        </w:tc>
        <w:tc>
          <w:tcPr>
            <w:tcW w:w="1313" w:type="dxa"/>
            <w:tcBorders>
              <w:top w:val="nil"/>
              <w:left w:val="nil"/>
              <w:bottom w:val="single" w:sz="4" w:space="0" w:color="auto"/>
              <w:right w:val="single" w:sz="4" w:space="0" w:color="auto"/>
            </w:tcBorders>
            <w:shd w:val="clear" w:color="auto" w:fill="auto"/>
            <w:noWrap/>
            <w:vAlign w:val="center"/>
            <w:hideMark/>
          </w:tcPr>
          <w:p w14:paraId="3E2EE19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10,01</w:t>
            </w:r>
          </w:p>
        </w:tc>
        <w:tc>
          <w:tcPr>
            <w:tcW w:w="1313" w:type="dxa"/>
            <w:tcBorders>
              <w:top w:val="nil"/>
              <w:left w:val="nil"/>
              <w:bottom w:val="single" w:sz="4" w:space="0" w:color="auto"/>
              <w:right w:val="single" w:sz="4" w:space="0" w:color="auto"/>
            </w:tcBorders>
            <w:shd w:val="clear" w:color="auto" w:fill="auto"/>
            <w:noWrap/>
            <w:vAlign w:val="center"/>
            <w:hideMark/>
          </w:tcPr>
          <w:p w14:paraId="2791F9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8,61</w:t>
            </w:r>
          </w:p>
        </w:tc>
        <w:tc>
          <w:tcPr>
            <w:tcW w:w="1313" w:type="dxa"/>
            <w:tcBorders>
              <w:top w:val="nil"/>
              <w:left w:val="nil"/>
              <w:bottom w:val="single" w:sz="4" w:space="0" w:color="auto"/>
              <w:right w:val="single" w:sz="4" w:space="0" w:color="auto"/>
            </w:tcBorders>
            <w:shd w:val="clear" w:color="auto" w:fill="auto"/>
            <w:noWrap/>
            <w:vAlign w:val="center"/>
            <w:hideMark/>
          </w:tcPr>
          <w:p w14:paraId="261ECAC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8,36</w:t>
            </w:r>
          </w:p>
        </w:tc>
        <w:tc>
          <w:tcPr>
            <w:tcW w:w="1313" w:type="dxa"/>
            <w:tcBorders>
              <w:top w:val="nil"/>
              <w:left w:val="nil"/>
              <w:bottom w:val="single" w:sz="4" w:space="0" w:color="auto"/>
              <w:right w:val="single" w:sz="4" w:space="0" w:color="auto"/>
            </w:tcBorders>
            <w:shd w:val="clear" w:color="auto" w:fill="auto"/>
            <w:noWrap/>
            <w:vAlign w:val="center"/>
            <w:hideMark/>
          </w:tcPr>
          <w:p w14:paraId="0655C4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6,59</w:t>
            </w:r>
          </w:p>
        </w:tc>
      </w:tr>
      <w:tr w:rsidR="00BF12D5" w:rsidRPr="00BD0223" w14:paraId="6369887A"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5EBCC9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SALETE</w:t>
            </w:r>
          </w:p>
        </w:tc>
        <w:tc>
          <w:tcPr>
            <w:tcW w:w="1313" w:type="dxa"/>
            <w:tcBorders>
              <w:top w:val="nil"/>
              <w:left w:val="nil"/>
              <w:bottom w:val="single" w:sz="4" w:space="0" w:color="auto"/>
              <w:right w:val="single" w:sz="4" w:space="0" w:color="auto"/>
            </w:tcBorders>
            <w:shd w:val="clear" w:color="auto" w:fill="auto"/>
            <w:noWrap/>
            <w:vAlign w:val="center"/>
            <w:hideMark/>
          </w:tcPr>
          <w:p w14:paraId="52155BC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0,40</w:t>
            </w:r>
          </w:p>
        </w:tc>
        <w:tc>
          <w:tcPr>
            <w:tcW w:w="1313" w:type="dxa"/>
            <w:tcBorders>
              <w:top w:val="nil"/>
              <w:left w:val="nil"/>
              <w:bottom w:val="single" w:sz="4" w:space="0" w:color="auto"/>
              <w:right w:val="single" w:sz="4" w:space="0" w:color="auto"/>
            </w:tcBorders>
            <w:shd w:val="clear" w:color="auto" w:fill="auto"/>
            <w:noWrap/>
            <w:vAlign w:val="center"/>
            <w:hideMark/>
          </w:tcPr>
          <w:p w14:paraId="186DE8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0,43</w:t>
            </w:r>
          </w:p>
        </w:tc>
        <w:tc>
          <w:tcPr>
            <w:tcW w:w="1313" w:type="dxa"/>
            <w:tcBorders>
              <w:top w:val="nil"/>
              <w:left w:val="nil"/>
              <w:bottom w:val="single" w:sz="4" w:space="0" w:color="auto"/>
              <w:right w:val="single" w:sz="4" w:space="0" w:color="auto"/>
            </w:tcBorders>
            <w:shd w:val="clear" w:color="auto" w:fill="auto"/>
            <w:noWrap/>
            <w:vAlign w:val="center"/>
            <w:hideMark/>
          </w:tcPr>
          <w:p w14:paraId="4B72251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0,36</w:t>
            </w:r>
          </w:p>
        </w:tc>
        <w:tc>
          <w:tcPr>
            <w:tcW w:w="1313" w:type="dxa"/>
            <w:tcBorders>
              <w:top w:val="nil"/>
              <w:left w:val="nil"/>
              <w:bottom w:val="single" w:sz="4" w:space="0" w:color="auto"/>
              <w:right w:val="single" w:sz="4" w:space="0" w:color="auto"/>
            </w:tcBorders>
            <w:shd w:val="clear" w:color="auto" w:fill="auto"/>
            <w:noWrap/>
            <w:vAlign w:val="center"/>
            <w:hideMark/>
          </w:tcPr>
          <w:p w14:paraId="750532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0,34</w:t>
            </w:r>
          </w:p>
        </w:tc>
      </w:tr>
      <w:tr w:rsidR="00BF12D5" w:rsidRPr="00BD0223" w14:paraId="4BBAB8E7"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2A58BC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SANTANA DA PONTE PENSA</w:t>
            </w:r>
          </w:p>
        </w:tc>
        <w:tc>
          <w:tcPr>
            <w:tcW w:w="1313" w:type="dxa"/>
            <w:tcBorders>
              <w:top w:val="nil"/>
              <w:left w:val="nil"/>
              <w:bottom w:val="single" w:sz="4" w:space="0" w:color="auto"/>
              <w:right w:val="single" w:sz="4" w:space="0" w:color="auto"/>
            </w:tcBorders>
            <w:shd w:val="clear" w:color="auto" w:fill="auto"/>
            <w:noWrap/>
            <w:vAlign w:val="center"/>
            <w:hideMark/>
          </w:tcPr>
          <w:p w14:paraId="03F155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0,28</w:t>
            </w:r>
          </w:p>
        </w:tc>
        <w:tc>
          <w:tcPr>
            <w:tcW w:w="1313" w:type="dxa"/>
            <w:tcBorders>
              <w:top w:val="nil"/>
              <w:left w:val="nil"/>
              <w:bottom w:val="single" w:sz="4" w:space="0" w:color="auto"/>
              <w:right w:val="single" w:sz="4" w:space="0" w:color="auto"/>
            </w:tcBorders>
            <w:shd w:val="clear" w:color="auto" w:fill="auto"/>
            <w:noWrap/>
            <w:vAlign w:val="center"/>
            <w:hideMark/>
          </w:tcPr>
          <w:p w14:paraId="5C7265A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0,30</w:t>
            </w:r>
          </w:p>
        </w:tc>
        <w:tc>
          <w:tcPr>
            <w:tcW w:w="1313" w:type="dxa"/>
            <w:tcBorders>
              <w:top w:val="nil"/>
              <w:left w:val="nil"/>
              <w:bottom w:val="single" w:sz="4" w:space="0" w:color="auto"/>
              <w:right w:val="single" w:sz="4" w:space="0" w:color="auto"/>
            </w:tcBorders>
            <w:shd w:val="clear" w:color="auto" w:fill="auto"/>
            <w:noWrap/>
            <w:vAlign w:val="center"/>
            <w:hideMark/>
          </w:tcPr>
          <w:p w14:paraId="2BB2DA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0,32</w:t>
            </w:r>
          </w:p>
        </w:tc>
        <w:tc>
          <w:tcPr>
            <w:tcW w:w="1313" w:type="dxa"/>
            <w:tcBorders>
              <w:top w:val="nil"/>
              <w:left w:val="nil"/>
              <w:bottom w:val="single" w:sz="4" w:space="0" w:color="auto"/>
              <w:right w:val="single" w:sz="4" w:space="0" w:color="auto"/>
            </w:tcBorders>
            <w:shd w:val="clear" w:color="auto" w:fill="auto"/>
            <w:noWrap/>
            <w:vAlign w:val="center"/>
            <w:hideMark/>
          </w:tcPr>
          <w:p w14:paraId="07831B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0,28</w:t>
            </w:r>
          </w:p>
        </w:tc>
      </w:tr>
      <w:tr w:rsidR="00BF12D5" w:rsidRPr="00BD0223" w14:paraId="1392C342"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55459A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SANTO ANTONIO DA ALEGRIA</w:t>
            </w:r>
          </w:p>
        </w:tc>
        <w:tc>
          <w:tcPr>
            <w:tcW w:w="1313" w:type="dxa"/>
            <w:tcBorders>
              <w:top w:val="nil"/>
              <w:left w:val="nil"/>
              <w:bottom w:val="single" w:sz="4" w:space="0" w:color="auto"/>
              <w:right w:val="single" w:sz="4" w:space="0" w:color="auto"/>
            </w:tcBorders>
            <w:shd w:val="clear" w:color="auto" w:fill="auto"/>
            <w:noWrap/>
            <w:vAlign w:val="center"/>
            <w:hideMark/>
          </w:tcPr>
          <w:p w14:paraId="200006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1,34</w:t>
            </w:r>
          </w:p>
        </w:tc>
        <w:tc>
          <w:tcPr>
            <w:tcW w:w="1313" w:type="dxa"/>
            <w:tcBorders>
              <w:top w:val="nil"/>
              <w:left w:val="nil"/>
              <w:bottom w:val="single" w:sz="4" w:space="0" w:color="auto"/>
              <w:right w:val="single" w:sz="4" w:space="0" w:color="auto"/>
            </w:tcBorders>
            <w:shd w:val="clear" w:color="auto" w:fill="auto"/>
            <w:noWrap/>
            <w:vAlign w:val="center"/>
            <w:hideMark/>
          </w:tcPr>
          <w:p w14:paraId="3BF5FFC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1,78</w:t>
            </w:r>
          </w:p>
        </w:tc>
        <w:tc>
          <w:tcPr>
            <w:tcW w:w="1313" w:type="dxa"/>
            <w:tcBorders>
              <w:top w:val="nil"/>
              <w:left w:val="nil"/>
              <w:bottom w:val="single" w:sz="4" w:space="0" w:color="auto"/>
              <w:right w:val="single" w:sz="4" w:space="0" w:color="auto"/>
            </w:tcBorders>
            <w:shd w:val="clear" w:color="auto" w:fill="auto"/>
            <w:noWrap/>
            <w:vAlign w:val="center"/>
            <w:hideMark/>
          </w:tcPr>
          <w:p w14:paraId="6761B52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1,29</w:t>
            </w:r>
          </w:p>
        </w:tc>
        <w:tc>
          <w:tcPr>
            <w:tcW w:w="1313" w:type="dxa"/>
            <w:tcBorders>
              <w:top w:val="nil"/>
              <w:left w:val="nil"/>
              <w:bottom w:val="single" w:sz="4" w:space="0" w:color="auto"/>
              <w:right w:val="single" w:sz="4" w:space="0" w:color="auto"/>
            </w:tcBorders>
            <w:shd w:val="clear" w:color="auto" w:fill="auto"/>
            <w:noWrap/>
            <w:vAlign w:val="center"/>
            <w:hideMark/>
          </w:tcPr>
          <w:p w14:paraId="2A6F86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1,58</w:t>
            </w:r>
          </w:p>
        </w:tc>
      </w:tr>
      <w:tr w:rsidR="00BF12D5" w:rsidRPr="00BD0223" w14:paraId="14DEC567"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059869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FRANCISCO</w:t>
            </w:r>
          </w:p>
        </w:tc>
        <w:tc>
          <w:tcPr>
            <w:tcW w:w="1313" w:type="dxa"/>
            <w:tcBorders>
              <w:top w:val="nil"/>
              <w:left w:val="nil"/>
              <w:bottom w:val="single" w:sz="4" w:space="0" w:color="auto"/>
              <w:right w:val="single" w:sz="4" w:space="0" w:color="auto"/>
            </w:tcBorders>
            <w:shd w:val="clear" w:color="auto" w:fill="auto"/>
            <w:noWrap/>
            <w:vAlign w:val="center"/>
            <w:hideMark/>
          </w:tcPr>
          <w:p w14:paraId="058CC02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0,32</w:t>
            </w:r>
          </w:p>
        </w:tc>
        <w:tc>
          <w:tcPr>
            <w:tcW w:w="1313" w:type="dxa"/>
            <w:tcBorders>
              <w:top w:val="nil"/>
              <w:left w:val="nil"/>
              <w:bottom w:val="single" w:sz="4" w:space="0" w:color="auto"/>
              <w:right w:val="single" w:sz="4" w:space="0" w:color="auto"/>
            </w:tcBorders>
            <w:shd w:val="clear" w:color="auto" w:fill="auto"/>
            <w:noWrap/>
            <w:vAlign w:val="center"/>
            <w:hideMark/>
          </w:tcPr>
          <w:p w14:paraId="03B51AC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0,30</w:t>
            </w:r>
          </w:p>
        </w:tc>
        <w:tc>
          <w:tcPr>
            <w:tcW w:w="1313" w:type="dxa"/>
            <w:tcBorders>
              <w:top w:val="nil"/>
              <w:left w:val="nil"/>
              <w:bottom w:val="single" w:sz="4" w:space="0" w:color="auto"/>
              <w:right w:val="single" w:sz="4" w:space="0" w:color="auto"/>
            </w:tcBorders>
            <w:shd w:val="clear" w:color="auto" w:fill="auto"/>
            <w:noWrap/>
            <w:vAlign w:val="center"/>
            <w:hideMark/>
          </w:tcPr>
          <w:p w14:paraId="55CFF38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0,36</w:t>
            </w:r>
          </w:p>
        </w:tc>
        <w:tc>
          <w:tcPr>
            <w:tcW w:w="1313" w:type="dxa"/>
            <w:tcBorders>
              <w:top w:val="nil"/>
              <w:left w:val="nil"/>
              <w:bottom w:val="single" w:sz="4" w:space="0" w:color="auto"/>
              <w:right w:val="single" w:sz="4" w:space="0" w:color="auto"/>
            </w:tcBorders>
            <w:shd w:val="clear" w:color="auto" w:fill="auto"/>
            <w:noWrap/>
            <w:vAlign w:val="center"/>
            <w:hideMark/>
          </w:tcPr>
          <w:p w14:paraId="25BE696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0,34</w:t>
            </w:r>
          </w:p>
        </w:tc>
      </w:tr>
      <w:tr w:rsidR="00BF12D5" w:rsidRPr="00BD0223" w14:paraId="64F9AA15"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147B53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JOAO DE IRACEMA</w:t>
            </w:r>
          </w:p>
        </w:tc>
        <w:tc>
          <w:tcPr>
            <w:tcW w:w="1313" w:type="dxa"/>
            <w:tcBorders>
              <w:top w:val="nil"/>
              <w:left w:val="nil"/>
              <w:bottom w:val="single" w:sz="4" w:space="0" w:color="auto"/>
              <w:right w:val="single" w:sz="4" w:space="0" w:color="auto"/>
            </w:tcBorders>
            <w:shd w:val="clear" w:color="auto" w:fill="auto"/>
            <w:noWrap/>
            <w:vAlign w:val="center"/>
            <w:hideMark/>
          </w:tcPr>
          <w:p w14:paraId="7700E78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0,28</w:t>
            </w:r>
          </w:p>
        </w:tc>
        <w:tc>
          <w:tcPr>
            <w:tcW w:w="1313" w:type="dxa"/>
            <w:tcBorders>
              <w:top w:val="nil"/>
              <w:left w:val="nil"/>
              <w:bottom w:val="single" w:sz="4" w:space="0" w:color="auto"/>
              <w:right w:val="single" w:sz="4" w:space="0" w:color="auto"/>
            </w:tcBorders>
            <w:shd w:val="clear" w:color="auto" w:fill="auto"/>
            <w:noWrap/>
            <w:vAlign w:val="center"/>
            <w:hideMark/>
          </w:tcPr>
          <w:p w14:paraId="78BF4EB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0,40</w:t>
            </w:r>
          </w:p>
        </w:tc>
        <w:tc>
          <w:tcPr>
            <w:tcW w:w="1313" w:type="dxa"/>
            <w:tcBorders>
              <w:top w:val="nil"/>
              <w:left w:val="nil"/>
              <w:bottom w:val="single" w:sz="4" w:space="0" w:color="auto"/>
              <w:right w:val="single" w:sz="4" w:space="0" w:color="auto"/>
            </w:tcBorders>
            <w:shd w:val="clear" w:color="auto" w:fill="auto"/>
            <w:noWrap/>
            <w:vAlign w:val="center"/>
            <w:hideMark/>
          </w:tcPr>
          <w:p w14:paraId="5E3B4AC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0,19</w:t>
            </w:r>
          </w:p>
        </w:tc>
        <w:tc>
          <w:tcPr>
            <w:tcW w:w="1313" w:type="dxa"/>
            <w:tcBorders>
              <w:top w:val="nil"/>
              <w:left w:val="nil"/>
              <w:bottom w:val="single" w:sz="4" w:space="0" w:color="auto"/>
              <w:right w:val="single" w:sz="4" w:space="0" w:color="auto"/>
            </w:tcBorders>
            <w:shd w:val="clear" w:color="auto" w:fill="auto"/>
            <w:noWrap/>
            <w:vAlign w:val="center"/>
            <w:hideMark/>
          </w:tcPr>
          <w:p w14:paraId="23B154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0,17</w:t>
            </w:r>
          </w:p>
        </w:tc>
      </w:tr>
      <w:tr w:rsidR="00BF12D5" w:rsidRPr="00BD0223" w14:paraId="042E4CE2"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58FEE67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JOAQUIM DA BARRA</w:t>
            </w:r>
          </w:p>
        </w:tc>
        <w:tc>
          <w:tcPr>
            <w:tcW w:w="1313" w:type="dxa"/>
            <w:tcBorders>
              <w:top w:val="nil"/>
              <w:left w:val="nil"/>
              <w:bottom w:val="single" w:sz="4" w:space="0" w:color="auto"/>
              <w:right w:val="single" w:sz="4" w:space="0" w:color="auto"/>
            </w:tcBorders>
            <w:shd w:val="clear" w:color="auto" w:fill="auto"/>
            <w:noWrap/>
            <w:vAlign w:val="center"/>
            <w:hideMark/>
          </w:tcPr>
          <w:p w14:paraId="45DCEA6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24,91</w:t>
            </w:r>
          </w:p>
        </w:tc>
        <w:tc>
          <w:tcPr>
            <w:tcW w:w="1313" w:type="dxa"/>
            <w:tcBorders>
              <w:top w:val="nil"/>
              <w:left w:val="nil"/>
              <w:bottom w:val="single" w:sz="4" w:space="0" w:color="auto"/>
              <w:right w:val="single" w:sz="4" w:space="0" w:color="auto"/>
            </w:tcBorders>
            <w:shd w:val="clear" w:color="auto" w:fill="auto"/>
            <w:noWrap/>
            <w:vAlign w:val="center"/>
            <w:hideMark/>
          </w:tcPr>
          <w:p w14:paraId="471862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23,95</w:t>
            </w:r>
          </w:p>
        </w:tc>
        <w:tc>
          <w:tcPr>
            <w:tcW w:w="1313" w:type="dxa"/>
            <w:tcBorders>
              <w:top w:val="nil"/>
              <w:left w:val="nil"/>
              <w:bottom w:val="single" w:sz="4" w:space="0" w:color="auto"/>
              <w:right w:val="single" w:sz="4" w:space="0" w:color="auto"/>
            </w:tcBorders>
            <w:shd w:val="clear" w:color="auto" w:fill="auto"/>
            <w:noWrap/>
            <w:vAlign w:val="center"/>
            <w:hideMark/>
          </w:tcPr>
          <w:p w14:paraId="0D77871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27,87</w:t>
            </w:r>
          </w:p>
        </w:tc>
        <w:tc>
          <w:tcPr>
            <w:tcW w:w="1313" w:type="dxa"/>
            <w:tcBorders>
              <w:top w:val="nil"/>
              <w:left w:val="nil"/>
              <w:bottom w:val="single" w:sz="4" w:space="0" w:color="auto"/>
              <w:right w:val="single" w:sz="4" w:space="0" w:color="auto"/>
            </w:tcBorders>
            <w:shd w:val="clear" w:color="auto" w:fill="auto"/>
            <w:noWrap/>
            <w:vAlign w:val="center"/>
            <w:hideMark/>
          </w:tcPr>
          <w:p w14:paraId="3D8721F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28,03</w:t>
            </w:r>
          </w:p>
        </w:tc>
      </w:tr>
      <w:tr w:rsidR="00BF12D5" w:rsidRPr="00BD0223" w14:paraId="68283CD4"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F48394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JOSE DA BELA VISTA</w:t>
            </w:r>
          </w:p>
        </w:tc>
        <w:tc>
          <w:tcPr>
            <w:tcW w:w="1313" w:type="dxa"/>
            <w:tcBorders>
              <w:top w:val="nil"/>
              <w:left w:val="nil"/>
              <w:bottom w:val="single" w:sz="4" w:space="0" w:color="auto"/>
              <w:right w:val="single" w:sz="4" w:space="0" w:color="auto"/>
            </w:tcBorders>
            <w:shd w:val="clear" w:color="auto" w:fill="auto"/>
            <w:noWrap/>
            <w:vAlign w:val="center"/>
            <w:hideMark/>
          </w:tcPr>
          <w:p w14:paraId="10C9C44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3,98</w:t>
            </w:r>
          </w:p>
        </w:tc>
        <w:tc>
          <w:tcPr>
            <w:tcW w:w="1313" w:type="dxa"/>
            <w:tcBorders>
              <w:top w:val="nil"/>
              <w:left w:val="nil"/>
              <w:bottom w:val="single" w:sz="4" w:space="0" w:color="auto"/>
              <w:right w:val="single" w:sz="4" w:space="0" w:color="auto"/>
            </w:tcBorders>
            <w:shd w:val="clear" w:color="auto" w:fill="auto"/>
            <w:noWrap/>
            <w:vAlign w:val="center"/>
            <w:hideMark/>
          </w:tcPr>
          <w:p w14:paraId="277B212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1,97</w:t>
            </w:r>
          </w:p>
        </w:tc>
        <w:tc>
          <w:tcPr>
            <w:tcW w:w="1313" w:type="dxa"/>
            <w:tcBorders>
              <w:top w:val="nil"/>
              <w:left w:val="nil"/>
              <w:bottom w:val="single" w:sz="4" w:space="0" w:color="auto"/>
              <w:right w:val="single" w:sz="4" w:space="0" w:color="auto"/>
            </w:tcBorders>
            <w:shd w:val="clear" w:color="auto" w:fill="auto"/>
            <w:noWrap/>
            <w:vAlign w:val="center"/>
            <w:hideMark/>
          </w:tcPr>
          <w:p w14:paraId="39B45E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3,80</w:t>
            </w:r>
          </w:p>
        </w:tc>
        <w:tc>
          <w:tcPr>
            <w:tcW w:w="1313" w:type="dxa"/>
            <w:tcBorders>
              <w:top w:val="nil"/>
              <w:left w:val="nil"/>
              <w:bottom w:val="single" w:sz="4" w:space="0" w:color="auto"/>
              <w:right w:val="single" w:sz="4" w:space="0" w:color="auto"/>
            </w:tcBorders>
            <w:shd w:val="clear" w:color="auto" w:fill="auto"/>
            <w:noWrap/>
            <w:vAlign w:val="center"/>
            <w:hideMark/>
          </w:tcPr>
          <w:p w14:paraId="57A821D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5,02</w:t>
            </w:r>
          </w:p>
        </w:tc>
      </w:tr>
      <w:tr w:rsidR="00BF12D5" w:rsidRPr="00BD0223" w14:paraId="45164C30"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AB2828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JOSE DO RIO PRETO</w:t>
            </w:r>
          </w:p>
        </w:tc>
        <w:tc>
          <w:tcPr>
            <w:tcW w:w="1313" w:type="dxa"/>
            <w:tcBorders>
              <w:top w:val="nil"/>
              <w:left w:val="nil"/>
              <w:bottom w:val="single" w:sz="4" w:space="0" w:color="auto"/>
              <w:right w:val="single" w:sz="4" w:space="0" w:color="auto"/>
            </w:tcBorders>
            <w:shd w:val="clear" w:color="auto" w:fill="auto"/>
            <w:noWrap/>
            <w:vAlign w:val="center"/>
            <w:hideMark/>
          </w:tcPr>
          <w:p w14:paraId="5D467C5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221,47</w:t>
            </w:r>
          </w:p>
        </w:tc>
        <w:tc>
          <w:tcPr>
            <w:tcW w:w="1313" w:type="dxa"/>
            <w:tcBorders>
              <w:top w:val="nil"/>
              <w:left w:val="nil"/>
              <w:bottom w:val="single" w:sz="4" w:space="0" w:color="auto"/>
              <w:right w:val="single" w:sz="4" w:space="0" w:color="auto"/>
            </w:tcBorders>
            <w:shd w:val="clear" w:color="auto" w:fill="auto"/>
            <w:noWrap/>
            <w:vAlign w:val="center"/>
            <w:hideMark/>
          </w:tcPr>
          <w:p w14:paraId="741DD7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256,68</w:t>
            </w:r>
          </w:p>
        </w:tc>
        <w:tc>
          <w:tcPr>
            <w:tcW w:w="1313" w:type="dxa"/>
            <w:tcBorders>
              <w:top w:val="nil"/>
              <w:left w:val="nil"/>
              <w:bottom w:val="single" w:sz="4" w:space="0" w:color="auto"/>
              <w:right w:val="single" w:sz="4" w:space="0" w:color="auto"/>
            </w:tcBorders>
            <w:shd w:val="clear" w:color="auto" w:fill="auto"/>
            <w:noWrap/>
            <w:vAlign w:val="center"/>
            <w:hideMark/>
          </w:tcPr>
          <w:p w14:paraId="37D869F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258,37</w:t>
            </w:r>
          </w:p>
        </w:tc>
        <w:tc>
          <w:tcPr>
            <w:tcW w:w="1313" w:type="dxa"/>
            <w:tcBorders>
              <w:top w:val="nil"/>
              <w:left w:val="nil"/>
              <w:bottom w:val="single" w:sz="4" w:space="0" w:color="auto"/>
              <w:right w:val="single" w:sz="4" w:space="0" w:color="auto"/>
            </w:tcBorders>
            <w:shd w:val="clear" w:color="auto" w:fill="auto"/>
            <w:noWrap/>
            <w:vAlign w:val="center"/>
            <w:hideMark/>
          </w:tcPr>
          <w:p w14:paraId="046581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235,71</w:t>
            </w:r>
          </w:p>
        </w:tc>
      </w:tr>
      <w:tr w:rsidR="00BF12D5" w:rsidRPr="00BD0223" w14:paraId="324A3656"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375987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SIMAO</w:t>
            </w:r>
          </w:p>
        </w:tc>
        <w:tc>
          <w:tcPr>
            <w:tcW w:w="1313" w:type="dxa"/>
            <w:tcBorders>
              <w:top w:val="nil"/>
              <w:left w:val="nil"/>
              <w:bottom w:val="single" w:sz="4" w:space="0" w:color="auto"/>
              <w:right w:val="single" w:sz="4" w:space="0" w:color="auto"/>
            </w:tcBorders>
            <w:shd w:val="clear" w:color="auto" w:fill="auto"/>
            <w:noWrap/>
            <w:vAlign w:val="center"/>
            <w:hideMark/>
          </w:tcPr>
          <w:p w14:paraId="5165FA1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6,03</w:t>
            </w:r>
          </w:p>
        </w:tc>
        <w:tc>
          <w:tcPr>
            <w:tcW w:w="1313" w:type="dxa"/>
            <w:tcBorders>
              <w:top w:val="nil"/>
              <w:left w:val="nil"/>
              <w:bottom w:val="single" w:sz="4" w:space="0" w:color="auto"/>
              <w:right w:val="single" w:sz="4" w:space="0" w:color="auto"/>
            </w:tcBorders>
            <w:shd w:val="clear" w:color="auto" w:fill="auto"/>
            <w:noWrap/>
            <w:vAlign w:val="center"/>
            <w:hideMark/>
          </w:tcPr>
          <w:p w14:paraId="503768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3,66</w:t>
            </w:r>
          </w:p>
        </w:tc>
        <w:tc>
          <w:tcPr>
            <w:tcW w:w="1313" w:type="dxa"/>
            <w:tcBorders>
              <w:top w:val="nil"/>
              <w:left w:val="nil"/>
              <w:bottom w:val="single" w:sz="4" w:space="0" w:color="auto"/>
              <w:right w:val="single" w:sz="4" w:space="0" w:color="auto"/>
            </w:tcBorders>
            <w:shd w:val="clear" w:color="auto" w:fill="auto"/>
            <w:noWrap/>
            <w:vAlign w:val="center"/>
            <w:hideMark/>
          </w:tcPr>
          <w:p w14:paraId="78A7EFD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5,21</w:t>
            </w:r>
          </w:p>
        </w:tc>
        <w:tc>
          <w:tcPr>
            <w:tcW w:w="1313" w:type="dxa"/>
            <w:tcBorders>
              <w:top w:val="nil"/>
              <w:left w:val="nil"/>
              <w:bottom w:val="single" w:sz="4" w:space="0" w:color="auto"/>
              <w:right w:val="single" w:sz="4" w:space="0" w:color="auto"/>
            </w:tcBorders>
            <w:shd w:val="clear" w:color="auto" w:fill="auto"/>
            <w:noWrap/>
            <w:vAlign w:val="center"/>
            <w:hideMark/>
          </w:tcPr>
          <w:p w14:paraId="5DA8DD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28,05</w:t>
            </w:r>
          </w:p>
        </w:tc>
      </w:tr>
      <w:tr w:rsidR="00BF12D5" w:rsidRPr="00BD0223" w14:paraId="218630F3"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4134F7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SEBASTIANOPOLIS DO SUL</w:t>
            </w:r>
          </w:p>
        </w:tc>
        <w:tc>
          <w:tcPr>
            <w:tcW w:w="1313" w:type="dxa"/>
            <w:tcBorders>
              <w:top w:val="nil"/>
              <w:left w:val="nil"/>
              <w:bottom w:val="single" w:sz="4" w:space="0" w:color="auto"/>
              <w:right w:val="single" w:sz="4" w:space="0" w:color="auto"/>
            </w:tcBorders>
            <w:shd w:val="clear" w:color="auto" w:fill="auto"/>
            <w:noWrap/>
            <w:vAlign w:val="center"/>
            <w:hideMark/>
          </w:tcPr>
          <w:p w14:paraId="53DC7A5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15,39</w:t>
            </w:r>
          </w:p>
        </w:tc>
        <w:tc>
          <w:tcPr>
            <w:tcW w:w="1313" w:type="dxa"/>
            <w:tcBorders>
              <w:top w:val="nil"/>
              <w:left w:val="nil"/>
              <w:bottom w:val="single" w:sz="4" w:space="0" w:color="auto"/>
              <w:right w:val="single" w:sz="4" w:space="0" w:color="auto"/>
            </w:tcBorders>
            <w:shd w:val="clear" w:color="auto" w:fill="auto"/>
            <w:noWrap/>
            <w:vAlign w:val="center"/>
            <w:hideMark/>
          </w:tcPr>
          <w:p w14:paraId="4C4E744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12,01</w:t>
            </w:r>
          </w:p>
        </w:tc>
        <w:tc>
          <w:tcPr>
            <w:tcW w:w="1313" w:type="dxa"/>
            <w:tcBorders>
              <w:top w:val="nil"/>
              <w:left w:val="nil"/>
              <w:bottom w:val="single" w:sz="4" w:space="0" w:color="auto"/>
              <w:right w:val="single" w:sz="4" w:space="0" w:color="auto"/>
            </w:tcBorders>
            <w:shd w:val="clear" w:color="auto" w:fill="auto"/>
            <w:noWrap/>
            <w:vAlign w:val="center"/>
            <w:hideMark/>
          </w:tcPr>
          <w:p w14:paraId="78D0DB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11,79</w:t>
            </w:r>
          </w:p>
        </w:tc>
        <w:tc>
          <w:tcPr>
            <w:tcW w:w="1313" w:type="dxa"/>
            <w:tcBorders>
              <w:top w:val="nil"/>
              <w:left w:val="nil"/>
              <w:bottom w:val="single" w:sz="4" w:space="0" w:color="auto"/>
              <w:right w:val="single" w:sz="4" w:space="0" w:color="auto"/>
            </w:tcBorders>
            <w:shd w:val="clear" w:color="auto" w:fill="auto"/>
            <w:noWrap/>
            <w:vAlign w:val="center"/>
            <w:hideMark/>
          </w:tcPr>
          <w:p w14:paraId="7F84B7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1,22</w:t>
            </w:r>
          </w:p>
        </w:tc>
      </w:tr>
      <w:tr w:rsidR="00BF12D5" w:rsidRPr="00BD0223" w14:paraId="5F77ED01"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3410A56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SERRA AZUL</w:t>
            </w:r>
          </w:p>
        </w:tc>
        <w:tc>
          <w:tcPr>
            <w:tcW w:w="1313" w:type="dxa"/>
            <w:tcBorders>
              <w:top w:val="nil"/>
              <w:left w:val="nil"/>
              <w:bottom w:val="single" w:sz="4" w:space="0" w:color="auto"/>
              <w:right w:val="single" w:sz="4" w:space="0" w:color="auto"/>
            </w:tcBorders>
            <w:shd w:val="clear" w:color="auto" w:fill="auto"/>
            <w:noWrap/>
            <w:vAlign w:val="center"/>
            <w:hideMark/>
          </w:tcPr>
          <w:p w14:paraId="7DA74DE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1,03</w:t>
            </w:r>
          </w:p>
        </w:tc>
        <w:tc>
          <w:tcPr>
            <w:tcW w:w="1313" w:type="dxa"/>
            <w:tcBorders>
              <w:top w:val="nil"/>
              <w:left w:val="nil"/>
              <w:bottom w:val="single" w:sz="4" w:space="0" w:color="auto"/>
              <w:right w:val="single" w:sz="4" w:space="0" w:color="auto"/>
            </w:tcBorders>
            <w:shd w:val="clear" w:color="auto" w:fill="auto"/>
            <w:noWrap/>
            <w:vAlign w:val="center"/>
            <w:hideMark/>
          </w:tcPr>
          <w:p w14:paraId="16650B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0,86</w:t>
            </w:r>
          </w:p>
        </w:tc>
        <w:tc>
          <w:tcPr>
            <w:tcW w:w="1313" w:type="dxa"/>
            <w:tcBorders>
              <w:top w:val="nil"/>
              <w:left w:val="nil"/>
              <w:bottom w:val="single" w:sz="4" w:space="0" w:color="auto"/>
              <w:right w:val="single" w:sz="4" w:space="0" w:color="auto"/>
            </w:tcBorders>
            <w:shd w:val="clear" w:color="auto" w:fill="auto"/>
            <w:noWrap/>
            <w:vAlign w:val="center"/>
            <w:hideMark/>
          </w:tcPr>
          <w:p w14:paraId="3D84C88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0,85</w:t>
            </w:r>
          </w:p>
        </w:tc>
        <w:tc>
          <w:tcPr>
            <w:tcW w:w="1313" w:type="dxa"/>
            <w:tcBorders>
              <w:top w:val="nil"/>
              <w:left w:val="nil"/>
              <w:bottom w:val="single" w:sz="4" w:space="0" w:color="auto"/>
              <w:right w:val="single" w:sz="4" w:space="0" w:color="auto"/>
            </w:tcBorders>
            <w:shd w:val="clear" w:color="auto" w:fill="auto"/>
            <w:noWrap/>
            <w:vAlign w:val="center"/>
            <w:hideMark/>
          </w:tcPr>
          <w:p w14:paraId="2A0D68B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0,79</w:t>
            </w:r>
          </w:p>
        </w:tc>
      </w:tr>
      <w:tr w:rsidR="00BF12D5" w:rsidRPr="00BD0223" w14:paraId="6796D94C"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6CC311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SERRANA</w:t>
            </w:r>
          </w:p>
        </w:tc>
        <w:tc>
          <w:tcPr>
            <w:tcW w:w="1313" w:type="dxa"/>
            <w:tcBorders>
              <w:top w:val="nil"/>
              <w:left w:val="nil"/>
              <w:bottom w:val="single" w:sz="4" w:space="0" w:color="auto"/>
              <w:right w:val="single" w:sz="4" w:space="0" w:color="auto"/>
            </w:tcBorders>
            <w:shd w:val="clear" w:color="auto" w:fill="auto"/>
            <w:noWrap/>
            <w:vAlign w:val="center"/>
            <w:hideMark/>
          </w:tcPr>
          <w:p w14:paraId="3284A84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18,82</w:t>
            </w:r>
          </w:p>
        </w:tc>
        <w:tc>
          <w:tcPr>
            <w:tcW w:w="1313" w:type="dxa"/>
            <w:tcBorders>
              <w:top w:val="nil"/>
              <w:left w:val="nil"/>
              <w:bottom w:val="single" w:sz="4" w:space="0" w:color="auto"/>
              <w:right w:val="single" w:sz="4" w:space="0" w:color="auto"/>
            </w:tcBorders>
            <w:shd w:val="clear" w:color="auto" w:fill="auto"/>
            <w:noWrap/>
            <w:vAlign w:val="center"/>
            <w:hideMark/>
          </w:tcPr>
          <w:p w14:paraId="2639ADD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20,38</w:t>
            </w:r>
          </w:p>
        </w:tc>
        <w:tc>
          <w:tcPr>
            <w:tcW w:w="1313" w:type="dxa"/>
            <w:tcBorders>
              <w:top w:val="nil"/>
              <w:left w:val="nil"/>
              <w:bottom w:val="single" w:sz="4" w:space="0" w:color="auto"/>
              <w:right w:val="single" w:sz="4" w:space="0" w:color="auto"/>
            </w:tcBorders>
            <w:shd w:val="clear" w:color="auto" w:fill="auto"/>
            <w:noWrap/>
            <w:vAlign w:val="center"/>
            <w:hideMark/>
          </w:tcPr>
          <w:p w14:paraId="0DCE4A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20,77</w:t>
            </w:r>
          </w:p>
        </w:tc>
        <w:tc>
          <w:tcPr>
            <w:tcW w:w="1313" w:type="dxa"/>
            <w:tcBorders>
              <w:top w:val="nil"/>
              <w:left w:val="nil"/>
              <w:bottom w:val="single" w:sz="4" w:space="0" w:color="auto"/>
              <w:right w:val="single" w:sz="4" w:space="0" w:color="auto"/>
            </w:tcBorders>
            <w:shd w:val="clear" w:color="auto" w:fill="auto"/>
            <w:noWrap/>
            <w:vAlign w:val="center"/>
            <w:hideMark/>
          </w:tcPr>
          <w:p w14:paraId="3E052C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21,30</w:t>
            </w:r>
          </w:p>
        </w:tc>
      </w:tr>
      <w:tr w:rsidR="00BF12D5" w:rsidRPr="00BD0223" w14:paraId="25862814"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211B2F9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SERTAOZINHO</w:t>
            </w:r>
          </w:p>
        </w:tc>
        <w:tc>
          <w:tcPr>
            <w:tcW w:w="1313" w:type="dxa"/>
            <w:tcBorders>
              <w:top w:val="nil"/>
              <w:left w:val="nil"/>
              <w:bottom w:val="single" w:sz="4" w:space="0" w:color="auto"/>
              <w:right w:val="single" w:sz="4" w:space="0" w:color="auto"/>
            </w:tcBorders>
            <w:shd w:val="clear" w:color="auto" w:fill="auto"/>
            <w:noWrap/>
            <w:vAlign w:val="center"/>
            <w:hideMark/>
          </w:tcPr>
          <w:p w14:paraId="2AFDC52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54,71</w:t>
            </w:r>
          </w:p>
        </w:tc>
        <w:tc>
          <w:tcPr>
            <w:tcW w:w="1313" w:type="dxa"/>
            <w:tcBorders>
              <w:top w:val="nil"/>
              <w:left w:val="nil"/>
              <w:bottom w:val="single" w:sz="4" w:space="0" w:color="auto"/>
              <w:right w:val="single" w:sz="4" w:space="0" w:color="auto"/>
            </w:tcBorders>
            <w:shd w:val="clear" w:color="auto" w:fill="auto"/>
            <w:noWrap/>
            <w:vAlign w:val="center"/>
            <w:hideMark/>
          </w:tcPr>
          <w:p w14:paraId="6480D7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54,39</w:t>
            </w:r>
          </w:p>
        </w:tc>
        <w:tc>
          <w:tcPr>
            <w:tcW w:w="1313" w:type="dxa"/>
            <w:tcBorders>
              <w:top w:val="nil"/>
              <w:left w:val="nil"/>
              <w:bottom w:val="single" w:sz="4" w:space="0" w:color="auto"/>
              <w:right w:val="single" w:sz="4" w:space="0" w:color="auto"/>
            </w:tcBorders>
            <w:shd w:val="clear" w:color="auto" w:fill="auto"/>
            <w:noWrap/>
            <w:vAlign w:val="center"/>
            <w:hideMark/>
          </w:tcPr>
          <w:p w14:paraId="3DDD4EB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59,27</w:t>
            </w:r>
          </w:p>
        </w:tc>
        <w:tc>
          <w:tcPr>
            <w:tcW w:w="1313" w:type="dxa"/>
            <w:tcBorders>
              <w:top w:val="nil"/>
              <w:left w:val="nil"/>
              <w:bottom w:val="single" w:sz="4" w:space="0" w:color="auto"/>
              <w:right w:val="single" w:sz="4" w:space="0" w:color="auto"/>
            </w:tcBorders>
            <w:shd w:val="clear" w:color="auto" w:fill="auto"/>
            <w:noWrap/>
            <w:vAlign w:val="center"/>
            <w:hideMark/>
          </w:tcPr>
          <w:p w14:paraId="6E21E61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58,58</w:t>
            </w:r>
          </w:p>
        </w:tc>
      </w:tr>
      <w:tr w:rsidR="00BF12D5" w:rsidRPr="00BD0223" w14:paraId="24A5EA4C"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26BC41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SEVERINIA</w:t>
            </w:r>
          </w:p>
        </w:tc>
        <w:tc>
          <w:tcPr>
            <w:tcW w:w="1313" w:type="dxa"/>
            <w:tcBorders>
              <w:top w:val="nil"/>
              <w:left w:val="nil"/>
              <w:bottom w:val="single" w:sz="4" w:space="0" w:color="auto"/>
              <w:right w:val="single" w:sz="4" w:space="0" w:color="auto"/>
            </w:tcBorders>
            <w:shd w:val="clear" w:color="auto" w:fill="auto"/>
            <w:noWrap/>
            <w:vAlign w:val="center"/>
            <w:hideMark/>
          </w:tcPr>
          <w:p w14:paraId="1F2ED0C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11,89</w:t>
            </w:r>
          </w:p>
        </w:tc>
        <w:tc>
          <w:tcPr>
            <w:tcW w:w="1313" w:type="dxa"/>
            <w:tcBorders>
              <w:top w:val="nil"/>
              <w:left w:val="nil"/>
              <w:bottom w:val="single" w:sz="4" w:space="0" w:color="auto"/>
              <w:right w:val="single" w:sz="4" w:space="0" w:color="auto"/>
            </w:tcBorders>
            <w:shd w:val="clear" w:color="auto" w:fill="auto"/>
            <w:noWrap/>
            <w:vAlign w:val="center"/>
            <w:hideMark/>
          </w:tcPr>
          <w:p w14:paraId="620CFFF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12,04</w:t>
            </w:r>
          </w:p>
        </w:tc>
        <w:tc>
          <w:tcPr>
            <w:tcW w:w="1313" w:type="dxa"/>
            <w:tcBorders>
              <w:top w:val="nil"/>
              <w:left w:val="nil"/>
              <w:bottom w:val="single" w:sz="4" w:space="0" w:color="auto"/>
              <w:right w:val="single" w:sz="4" w:space="0" w:color="auto"/>
            </w:tcBorders>
            <w:shd w:val="clear" w:color="auto" w:fill="auto"/>
            <w:noWrap/>
            <w:vAlign w:val="center"/>
            <w:hideMark/>
          </w:tcPr>
          <w:p w14:paraId="27C5A3F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11,02</w:t>
            </w:r>
          </w:p>
        </w:tc>
        <w:tc>
          <w:tcPr>
            <w:tcW w:w="1313" w:type="dxa"/>
            <w:tcBorders>
              <w:top w:val="nil"/>
              <w:left w:val="nil"/>
              <w:bottom w:val="single" w:sz="4" w:space="0" w:color="auto"/>
              <w:right w:val="single" w:sz="4" w:space="0" w:color="auto"/>
            </w:tcBorders>
            <w:shd w:val="clear" w:color="auto" w:fill="auto"/>
            <w:noWrap/>
            <w:vAlign w:val="center"/>
            <w:hideMark/>
          </w:tcPr>
          <w:p w14:paraId="64301BC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10,44</w:t>
            </w:r>
          </w:p>
        </w:tc>
      </w:tr>
      <w:tr w:rsidR="00BF12D5" w:rsidRPr="00BD0223" w14:paraId="391BC400"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0C1A330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TABAPUA</w:t>
            </w:r>
          </w:p>
        </w:tc>
        <w:tc>
          <w:tcPr>
            <w:tcW w:w="1313" w:type="dxa"/>
            <w:tcBorders>
              <w:top w:val="nil"/>
              <w:left w:val="nil"/>
              <w:bottom w:val="single" w:sz="4" w:space="0" w:color="auto"/>
              <w:right w:val="single" w:sz="4" w:space="0" w:color="auto"/>
            </w:tcBorders>
            <w:shd w:val="clear" w:color="auto" w:fill="auto"/>
            <w:noWrap/>
            <w:vAlign w:val="center"/>
            <w:hideMark/>
          </w:tcPr>
          <w:p w14:paraId="6423C5E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4,50</w:t>
            </w:r>
          </w:p>
        </w:tc>
        <w:tc>
          <w:tcPr>
            <w:tcW w:w="1313" w:type="dxa"/>
            <w:tcBorders>
              <w:top w:val="nil"/>
              <w:left w:val="nil"/>
              <w:bottom w:val="single" w:sz="4" w:space="0" w:color="auto"/>
              <w:right w:val="single" w:sz="4" w:space="0" w:color="auto"/>
            </w:tcBorders>
            <w:shd w:val="clear" w:color="auto" w:fill="auto"/>
            <w:noWrap/>
            <w:vAlign w:val="center"/>
            <w:hideMark/>
          </w:tcPr>
          <w:p w14:paraId="4B6C9B5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5,09</w:t>
            </w:r>
          </w:p>
        </w:tc>
        <w:tc>
          <w:tcPr>
            <w:tcW w:w="1313" w:type="dxa"/>
            <w:tcBorders>
              <w:top w:val="nil"/>
              <w:left w:val="nil"/>
              <w:bottom w:val="single" w:sz="4" w:space="0" w:color="auto"/>
              <w:right w:val="single" w:sz="4" w:space="0" w:color="auto"/>
            </w:tcBorders>
            <w:shd w:val="clear" w:color="auto" w:fill="auto"/>
            <w:noWrap/>
            <w:vAlign w:val="center"/>
            <w:hideMark/>
          </w:tcPr>
          <w:p w14:paraId="208F4F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6,40</w:t>
            </w:r>
          </w:p>
        </w:tc>
        <w:tc>
          <w:tcPr>
            <w:tcW w:w="1313" w:type="dxa"/>
            <w:tcBorders>
              <w:top w:val="nil"/>
              <w:left w:val="nil"/>
              <w:bottom w:val="single" w:sz="4" w:space="0" w:color="auto"/>
              <w:right w:val="single" w:sz="4" w:space="0" w:color="auto"/>
            </w:tcBorders>
            <w:shd w:val="clear" w:color="auto" w:fill="auto"/>
            <w:noWrap/>
            <w:vAlign w:val="center"/>
            <w:hideMark/>
          </w:tcPr>
          <w:p w14:paraId="34DDB9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6,94</w:t>
            </w:r>
          </w:p>
        </w:tc>
      </w:tr>
      <w:tr w:rsidR="00BF12D5" w:rsidRPr="00BD0223" w14:paraId="4CE6BDB6"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93B10D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TAIACU</w:t>
            </w:r>
          </w:p>
        </w:tc>
        <w:tc>
          <w:tcPr>
            <w:tcW w:w="1313" w:type="dxa"/>
            <w:tcBorders>
              <w:top w:val="nil"/>
              <w:left w:val="nil"/>
              <w:bottom w:val="single" w:sz="4" w:space="0" w:color="auto"/>
              <w:right w:val="single" w:sz="4" w:space="0" w:color="auto"/>
            </w:tcBorders>
            <w:shd w:val="clear" w:color="auto" w:fill="auto"/>
            <w:noWrap/>
            <w:vAlign w:val="center"/>
            <w:hideMark/>
          </w:tcPr>
          <w:p w14:paraId="6A01BD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0,80</w:t>
            </w:r>
          </w:p>
        </w:tc>
        <w:tc>
          <w:tcPr>
            <w:tcW w:w="1313" w:type="dxa"/>
            <w:tcBorders>
              <w:top w:val="nil"/>
              <w:left w:val="nil"/>
              <w:bottom w:val="single" w:sz="4" w:space="0" w:color="auto"/>
              <w:right w:val="single" w:sz="4" w:space="0" w:color="auto"/>
            </w:tcBorders>
            <w:shd w:val="clear" w:color="auto" w:fill="auto"/>
            <w:noWrap/>
            <w:vAlign w:val="center"/>
            <w:hideMark/>
          </w:tcPr>
          <w:p w14:paraId="5FD3B17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0,79</w:t>
            </w:r>
          </w:p>
        </w:tc>
        <w:tc>
          <w:tcPr>
            <w:tcW w:w="1313" w:type="dxa"/>
            <w:tcBorders>
              <w:top w:val="nil"/>
              <w:left w:val="nil"/>
              <w:bottom w:val="single" w:sz="4" w:space="0" w:color="auto"/>
              <w:right w:val="single" w:sz="4" w:space="0" w:color="auto"/>
            </w:tcBorders>
            <w:shd w:val="clear" w:color="auto" w:fill="auto"/>
            <w:noWrap/>
            <w:vAlign w:val="center"/>
            <w:hideMark/>
          </w:tcPr>
          <w:p w14:paraId="574BC0A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0,81</w:t>
            </w:r>
          </w:p>
        </w:tc>
        <w:tc>
          <w:tcPr>
            <w:tcW w:w="1313" w:type="dxa"/>
            <w:tcBorders>
              <w:top w:val="nil"/>
              <w:left w:val="nil"/>
              <w:bottom w:val="single" w:sz="4" w:space="0" w:color="auto"/>
              <w:right w:val="single" w:sz="4" w:space="0" w:color="auto"/>
            </w:tcBorders>
            <w:shd w:val="clear" w:color="auto" w:fill="auto"/>
            <w:noWrap/>
            <w:vAlign w:val="center"/>
            <w:hideMark/>
          </w:tcPr>
          <w:p w14:paraId="102A96C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0,86</w:t>
            </w:r>
          </w:p>
        </w:tc>
      </w:tr>
      <w:tr w:rsidR="00BF12D5" w:rsidRPr="00BD0223" w14:paraId="4A01A624"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B08C7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TAIUVA</w:t>
            </w:r>
          </w:p>
        </w:tc>
        <w:tc>
          <w:tcPr>
            <w:tcW w:w="1313" w:type="dxa"/>
            <w:tcBorders>
              <w:top w:val="nil"/>
              <w:left w:val="nil"/>
              <w:bottom w:val="single" w:sz="4" w:space="0" w:color="auto"/>
              <w:right w:val="single" w:sz="4" w:space="0" w:color="auto"/>
            </w:tcBorders>
            <w:shd w:val="clear" w:color="auto" w:fill="auto"/>
            <w:noWrap/>
            <w:vAlign w:val="center"/>
            <w:hideMark/>
          </w:tcPr>
          <w:p w14:paraId="2ACD33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1,60</w:t>
            </w:r>
          </w:p>
        </w:tc>
        <w:tc>
          <w:tcPr>
            <w:tcW w:w="1313" w:type="dxa"/>
            <w:tcBorders>
              <w:top w:val="nil"/>
              <w:left w:val="nil"/>
              <w:bottom w:val="single" w:sz="4" w:space="0" w:color="auto"/>
              <w:right w:val="single" w:sz="4" w:space="0" w:color="auto"/>
            </w:tcBorders>
            <w:shd w:val="clear" w:color="auto" w:fill="auto"/>
            <w:noWrap/>
            <w:vAlign w:val="center"/>
            <w:hideMark/>
          </w:tcPr>
          <w:p w14:paraId="1D4848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1,63</w:t>
            </w:r>
          </w:p>
        </w:tc>
        <w:tc>
          <w:tcPr>
            <w:tcW w:w="1313" w:type="dxa"/>
            <w:tcBorders>
              <w:top w:val="nil"/>
              <w:left w:val="nil"/>
              <w:bottom w:val="single" w:sz="4" w:space="0" w:color="auto"/>
              <w:right w:val="single" w:sz="4" w:space="0" w:color="auto"/>
            </w:tcBorders>
            <w:shd w:val="clear" w:color="auto" w:fill="auto"/>
            <w:noWrap/>
            <w:vAlign w:val="center"/>
            <w:hideMark/>
          </w:tcPr>
          <w:p w14:paraId="79200B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1,71</w:t>
            </w:r>
          </w:p>
        </w:tc>
        <w:tc>
          <w:tcPr>
            <w:tcW w:w="1313" w:type="dxa"/>
            <w:tcBorders>
              <w:top w:val="nil"/>
              <w:left w:val="nil"/>
              <w:bottom w:val="single" w:sz="4" w:space="0" w:color="auto"/>
              <w:right w:val="single" w:sz="4" w:space="0" w:color="auto"/>
            </w:tcBorders>
            <w:shd w:val="clear" w:color="auto" w:fill="auto"/>
            <w:noWrap/>
            <w:vAlign w:val="center"/>
            <w:hideMark/>
          </w:tcPr>
          <w:p w14:paraId="5D66C0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1,53</w:t>
            </w:r>
          </w:p>
        </w:tc>
      </w:tr>
      <w:tr w:rsidR="00BF12D5" w:rsidRPr="00BD0223" w14:paraId="10C3DE4E"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3C4F94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TANABI</w:t>
            </w:r>
          </w:p>
        </w:tc>
        <w:tc>
          <w:tcPr>
            <w:tcW w:w="1313" w:type="dxa"/>
            <w:tcBorders>
              <w:top w:val="nil"/>
              <w:left w:val="nil"/>
              <w:bottom w:val="single" w:sz="4" w:space="0" w:color="auto"/>
              <w:right w:val="single" w:sz="4" w:space="0" w:color="auto"/>
            </w:tcBorders>
            <w:shd w:val="clear" w:color="auto" w:fill="auto"/>
            <w:noWrap/>
            <w:vAlign w:val="center"/>
            <w:hideMark/>
          </w:tcPr>
          <w:p w14:paraId="53FA783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12,18</w:t>
            </w:r>
          </w:p>
        </w:tc>
        <w:tc>
          <w:tcPr>
            <w:tcW w:w="1313" w:type="dxa"/>
            <w:tcBorders>
              <w:top w:val="nil"/>
              <w:left w:val="nil"/>
              <w:bottom w:val="single" w:sz="4" w:space="0" w:color="auto"/>
              <w:right w:val="single" w:sz="4" w:space="0" w:color="auto"/>
            </w:tcBorders>
            <w:shd w:val="clear" w:color="auto" w:fill="auto"/>
            <w:noWrap/>
            <w:vAlign w:val="center"/>
            <w:hideMark/>
          </w:tcPr>
          <w:p w14:paraId="4AE3A3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12,74</w:t>
            </w:r>
          </w:p>
        </w:tc>
        <w:tc>
          <w:tcPr>
            <w:tcW w:w="1313" w:type="dxa"/>
            <w:tcBorders>
              <w:top w:val="nil"/>
              <w:left w:val="nil"/>
              <w:bottom w:val="single" w:sz="4" w:space="0" w:color="auto"/>
              <w:right w:val="single" w:sz="4" w:space="0" w:color="auto"/>
            </w:tcBorders>
            <w:shd w:val="clear" w:color="auto" w:fill="auto"/>
            <w:noWrap/>
            <w:vAlign w:val="center"/>
            <w:hideMark/>
          </w:tcPr>
          <w:p w14:paraId="1A06984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11,93</w:t>
            </w:r>
          </w:p>
        </w:tc>
        <w:tc>
          <w:tcPr>
            <w:tcW w:w="1313" w:type="dxa"/>
            <w:tcBorders>
              <w:top w:val="nil"/>
              <w:left w:val="nil"/>
              <w:bottom w:val="single" w:sz="4" w:space="0" w:color="auto"/>
              <w:right w:val="single" w:sz="4" w:space="0" w:color="auto"/>
            </w:tcBorders>
            <w:shd w:val="clear" w:color="auto" w:fill="auto"/>
            <w:noWrap/>
            <w:vAlign w:val="center"/>
            <w:hideMark/>
          </w:tcPr>
          <w:p w14:paraId="0A0C311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14,57</w:t>
            </w:r>
          </w:p>
        </w:tc>
      </w:tr>
      <w:tr w:rsidR="00BF12D5" w:rsidRPr="00BD0223" w14:paraId="0942F883"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5340A7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TAQUARAL</w:t>
            </w:r>
          </w:p>
        </w:tc>
        <w:tc>
          <w:tcPr>
            <w:tcW w:w="1313" w:type="dxa"/>
            <w:tcBorders>
              <w:top w:val="nil"/>
              <w:left w:val="nil"/>
              <w:bottom w:val="single" w:sz="4" w:space="0" w:color="auto"/>
              <w:right w:val="single" w:sz="4" w:space="0" w:color="auto"/>
            </w:tcBorders>
            <w:shd w:val="clear" w:color="auto" w:fill="auto"/>
            <w:noWrap/>
            <w:vAlign w:val="center"/>
            <w:hideMark/>
          </w:tcPr>
          <w:p w14:paraId="788321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313" w:type="dxa"/>
            <w:tcBorders>
              <w:top w:val="nil"/>
              <w:left w:val="nil"/>
              <w:bottom w:val="single" w:sz="4" w:space="0" w:color="auto"/>
              <w:right w:val="single" w:sz="4" w:space="0" w:color="auto"/>
            </w:tcBorders>
            <w:shd w:val="clear" w:color="auto" w:fill="auto"/>
            <w:noWrap/>
            <w:vAlign w:val="center"/>
            <w:hideMark/>
          </w:tcPr>
          <w:p w14:paraId="59988A3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0,30</w:t>
            </w:r>
          </w:p>
        </w:tc>
        <w:tc>
          <w:tcPr>
            <w:tcW w:w="1313" w:type="dxa"/>
            <w:tcBorders>
              <w:top w:val="nil"/>
              <w:left w:val="nil"/>
              <w:bottom w:val="single" w:sz="4" w:space="0" w:color="auto"/>
              <w:right w:val="single" w:sz="4" w:space="0" w:color="auto"/>
            </w:tcBorders>
            <w:shd w:val="clear" w:color="auto" w:fill="auto"/>
            <w:noWrap/>
            <w:vAlign w:val="center"/>
            <w:hideMark/>
          </w:tcPr>
          <w:p w14:paraId="4BFABE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0,33</w:t>
            </w:r>
          </w:p>
        </w:tc>
        <w:tc>
          <w:tcPr>
            <w:tcW w:w="1313" w:type="dxa"/>
            <w:tcBorders>
              <w:top w:val="nil"/>
              <w:left w:val="nil"/>
              <w:bottom w:val="single" w:sz="4" w:space="0" w:color="auto"/>
              <w:right w:val="single" w:sz="4" w:space="0" w:color="auto"/>
            </w:tcBorders>
            <w:shd w:val="clear" w:color="auto" w:fill="auto"/>
            <w:noWrap/>
            <w:vAlign w:val="center"/>
            <w:hideMark/>
          </w:tcPr>
          <w:p w14:paraId="6D70539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0,33</w:t>
            </w:r>
          </w:p>
        </w:tc>
      </w:tr>
      <w:tr w:rsidR="00BF12D5" w:rsidRPr="00BD0223" w14:paraId="79EE42A8"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9445F6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TAQUARITINGA</w:t>
            </w:r>
          </w:p>
        </w:tc>
        <w:tc>
          <w:tcPr>
            <w:tcW w:w="1313" w:type="dxa"/>
            <w:tcBorders>
              <w:top w:val="nil"/>
              <w:left w:val="nil"/>
              <w:bottom w:val="single" w:sz="4" w:space="0" w:color="auto"/>
              <w:right w:val="single" w:sz="4" w:space="0" w:color="auto"/>
            </w:tcBorders>
            <w:shd w:val="clear" w:color="auto" w:fill="auto"/>
            <w:noWrap/>
            <w:vAlign w:val="center"/>
            <w:hideMark/>
          </w:tcPr>
          <w:p w14:paraId="7F0DCE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27,33</w:t>
            </w:r>
          </w:p>
        </w:tc>
        <w:tc>
          <w:tcPr>
            <w:tcW w:w="1313" w:type="dxa"/>
            <w:tcBorders>
              <w:top w:val="nil"/>
              <w:left w:val="nil"/>
              <w:bottom w:val="single" w:sz="4" w:space="0" w:color="auto"/>
              <w:right w:val="single" w:sz="4" w:space="0" w:color="auto"/>
            </w:tcBorders>
            <w:shd w:val="clear" w:color="auto" w:fill="auto"/>
            <w:noWrap/>
            <w:vAlign w:val="center"/>
            <w:hideMark/>
          </w:tcPr>
          <w:p w14:paraId="4FB3741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29,44</w:t>
            </w:r>
          </w:p>
        </w:tc>
        <w:tc>
          <w:tcPr>
            <w:tcW w:w="1313" w:type="dxa"/>
            <w:tcBorders>
              <w:top w:val="nil"/>
              <w:left w:val="nil"/>
              <w:bottom w:val="single" w:sz="4" w:space="0" w:color="auto"/>
              <w:right w:val="single" w:sz="4" w:space="0" w:color="auto"/>
            </w:tcBorders>
            <w:shd w:val="clear" w:color="auto" w:fill="auto"/>
            <w:noWrap/>
            <w:vAlign w:val="center"/>
            <w:hideMark/>
          </w:tcPr>
          <w:p w14:paraId="327AA01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26,64</w:t>
            </w:r>
          </w:p>
        </w:tc>
        <w:tc>
          <w:tcPr>
            <w:tcW w:w="1313" w:type="dxa"/>
            <w:tcBorders>
              <w:top w:val="nil"/>
              <w:left w:val="nil"/>
              <w:bottom w:val="single" w:sz="4" w:space="0" w:color="auto"/>
              <w:right w:val="single" w:sz="4" w:space="0" w:color="auto"/>
            </w:tcBorders>
            <w:shd w:val="clear" w:color="auto" w:fill="auto"/>
            <w:noWrap/>
            <w:vAlign w:val="center"/>
            <w:hideMark/>
          </w:tcPr>
          <w:p w14:paraId="255CF3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23,49</w:t>
            </w:r>
          </w:p>
        </w:tc>
      </w:tr>
      <w:tr w:rsidR="00BF12D5" w:rsidRPr="00BD0223" w14:paraId="324F5FDD"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48032F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TERRA ROXA</w:t>
            </w:r>
          </w:p>
        </w:tc>
        <w:tc>
          <w:tcPr>
            <w:tcW w:w="1313" w:type="dxa"/>
            <w:tcBorders>
              <w:top w:val="nil"/>
              <w:left w:val="nil"/>
              <w:bottom w:val="single" w:sz="4" w:space="0" w:color="auto"/>
              <w:right w:val="single" w:sz="4" w:space="0" w:color="auto"/>
            </w:tcBorders>
            <w:shd w:val="clear" w:color="auto" w:fill="auto"/>
            <w:noWrap/>
            <w:vAlign w:val="center"/>
            <w:hideMark/>
          </w:tcPr>
          <w:p w14:paraId="0531462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0,90</w:t>
            </w:r>
          </w:p>
        </w:tc>
        <w:tc>
          <w:tcPr>
            <w:tcW w:w="1313" w:type="dxa"/>
            <w:tcBorders>
              <w:top w:val="nil"/>
              <w:left w:val="nil"/>
              <w:bottom w:val="single" w:sz="4" w:space="0" w:color="auto"/>
              <w:right w:val="single" w:sz="4" w:space="0" w:color="auto"/>
            </w:tcBorders>
            <w:shd w:val="clear" w:color="auto" w:fill="auto"/>
            <w:noWrap/>
            <w:vAlign w:val="center"/>
            <w:hideMark/>
          </w:tcPr>
          <w:p w14:paraId="4E5D97D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0,95</w:t>
            </w:r>
          </w:p>
        </w:tc>
        <w:tc>
          <w:tcPr>
            <w:tcW w:w="1313" w:type="dxa"/>
            <w:tcBorders>
              <w:top w:val="nil"/>
              <w:left w:val="nil"/>
              <w:bottom w:val="single" w:sz="4" w:space="0" w:color="auto"/>
              <w:right w:val="single" w:sz="4" w:space="0" w:color="auto"/>
            </w:tcBorders>
            <w:shd w:val="clear" w:color="auto" w:fill="auto"/>
            <w:noWrap/>
            <w:vAlign w:val="center"/>
            <w:hideMark/>
          </w:tcPr>
          <w:p w14:paraId="77960F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1,06</w:t>
            </w:r>
          </w:p>
        </w:tc>
        <w:tc>
          <w:tcPr>
            <w:tcW w:w="1313" w:type="dxa"/>
            <w:tcBorders>
              <w:top w:val="nil"/>
              <w:left w:val="nil"/>
              <w:bottom w:val="single" w:sz="4" w:space="0" w:color="auto"/>
              <w:right w:val="single" w:sz="4" w:space="0" w:color="auto"/>
            </w:tcBorders>
            <w:shd w:val="clear" w:color="auto" w:fill="auto"/>
            <w:noWrap/>
            <w:vAlign w:val="center"/>
            <w:hideMark/>
          </w:tcPr>
          <w:p w14:paraId="52E18F9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0,97</w:t>
            </w:r>
          </w:p>
        </w:tc>
      </w:tr>
      <w:tr w:rsidR="00BF12D5" w:rsidRPr="00BD0223" w14:paraId="0A1331B5"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2A1D755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TRES FRONTEIRAS</w:t>
            </w:r>
          </w:p>
        </w:tc>
        <w:tc>
          <w:tcPr>
            <w:tcW w:w="1313" w:type="dxa"/>
            <w:tcBorders>
              <w:top w:val="nil"/>
              <w:left w:val="nil"/>
              <w:bottom w:val="single" w:sz="4" w:space="0" w:color="auto"/>
              <w:right w:val="single" w:sz="4" w:space="0" w:color="auto"/>
            </w:tcBorders>
            <w:shd w:val="clear" w:color="auto" w:fill="auto"/>
            <w:noWrap/>
            <w:vAlign w:val="center"/>
            <w:hideMark/>
          </w:tcPr>
          <w:p w14:paraId="472BF64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0,34</w:t>
            </w:r>
          </w:p>
        </w:tc>
        <w:tc>
          <w:tcPr>
            <w:tcW w:w="1313" w:type="dxa"/>
            <w:tcBorders>
              <w:top w:val="nil"/>
              <w:left w:val="nil"/>
              <w:bottom w:val="single" w:sz="4" w:space="0" w:color="auto"/>
              <w:right w:val="single" w:sz="4" w:space="0" w:color="auto"/>
            </w:tcBorders>
            <w:shd w:val="clear" w:color="auto" w:fill="auto"/>
            <w:noWrap/>
            <w:vAlign w:val="center"/>
            <w:hideMark/>
          </w:tcPr>
          <w:p w14:paraId="7C92FF6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0,47</w:t>
            </w:r>
          </w:p>
        </w:tc>
        <w:tc>
          <w:tcPr>
            <w:tcW w:w="1313" w:type="dxa"/>
            <w:tcBorders>
              <w:top w:val="nil"/>
              <w:left w:val="nil"/>
              <w:bottom w:val="single" w:sz="4" w:space="0" w:color="auto"/>
              <w:right w:val="single" w:sz="4" w:space="0" w:color="auto"/>
            </w:tcBorders>
            <w:shd w:val="clear" w:color="auto" w:fill="auto"/>
            <w:noWrap/>
            <w:vAlign w:val="center"/>
            <w:hideMark/>
          </w:tcPr>
          <w:p w14:paraId="2E5D839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0,60</w:t>
            </w:r>
          </w:p>
        </w:tc>
        <w:tc>
          <w:tcPr>
            <w:tcW w:w="1313" w:type="dxa"/>
            <w:tcBorders>
              <w:top w:val="nil"/>
              <w:left w:val="nil"/>
              <w:bottom w:val="single" w:sz="4" w:space="0" w:color="auto"/>
              <w:right w:val="single" w:sz="4" w:space="0" w:color="auto"/>
            </w:tcBorders>
            <w:shd w:val="clear" w:color="auto" w:fill="auto"/>
            <w:noWrap/>
            <w:vAlign w:val="center"/>
            <w:hideMark/>
          </w:tcPr>
          <w:p w14:paraId="548EEC7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0,44</w:t>
            </w:r>
          </w:p>
        </w:tc>
      </w:tr>
      <w:tr w:rsidR="00BF12D5" w:rsidRPr="00BD0223" w14:paraId="26D9F679"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D66AC5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TURMALINA</w:t>
            </w:r>
          </w:p>
        </w:tc>
        <w:tc>
          <w:tcPr>
            <w:tcW w:w="1313" w:type="dxa"/>
            <w:tcBorders>
              <w:top w:val="nil"/>
              <w:left w:val="nil"/>
              <w:bottom w:val="single" w:sz="4" w:space="0" w:color="auto"/>
              <w:right w:val="single" w:sz="4" w:space="0" w:color="auto"/>
            </w:tcBorders>
            <w:shd w:val="clear" w:color="auto" w:fill="auto"/>
            <w:noWrap/>
            <w:vAlign w:val="center"/>
            <w:hideMark/>
          </w:tcPr>
          <w:p w14:paraId="06EF742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0,28</w:t>
            </w:r>
          </w:p>
        </w:tc>
        <w:tc>
          <w:tcPr>
            <w:tcW w:w="1313" w:type="dxa"/>
            <w:tcBorders>
              <w:top w:val="nil"/>
              <w:left w:val="nil"/>
              <w:bottom w:val="single" w:sz="4" w:space="0" w:color="auto"/>
              <w:right w:val="single" w:sz="4" w:space="0" w:color="auto"/>
            </w:tcBorders>
            <w:shd w:val="clear" w:color="auto" w:fill="auto"/>
            <w:noWrap/>
            <w:vAlign w:val="center"/>
            <w:hideMark/>
          </w:tcPr>
          <w:p w14:paraId="2B47EC7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313" w:type="dxa"/>
            <w:tcBorders>
              <w:top w:val="nil"/>
              <w:left w:val="nil"/>
              <w:bottom w:val="single" w:sz="4" w:space="0" w:color="auto"/>
              <w:right w:val="single" w:sz="4" w:space="0" w:color="auto"/>
            </w:tcBorders>
            <w:shd w:val="clear" w:color="auto" w:fill="auto"/>
            <w:noWrap/>
            <w:vAlign w:val="center"/>
            <w:hideMark/>
          </w:tcPr>
          <w:p w14:paraId="014835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0,31</w:t>
            </w:r>
          </w:p>
        </w:tc>
        <w:tc>
          <w:tcPr>
            <w:tcW w:w="1313" w:type="dxa"/>
            <w:tcBorders>
              <w:top w:val="nil"/>
              <w:left w:val="nil"/>
              <w:bottom w:val="single" w:sz="4" w:space="0" w:color="auto"/>
              <w:right w:val="single" w:sz="4" w:space="0" w:color="auto"/>
            </w:tcBorders>
            <w:shd w:val="clear" w:color="auto" w:fill="auto"/>
            <w:noWrap/>
            <w:vAlign w:val="center"/>
            <w:hideMark/>
          </w:tcPr>
          <w:p w14:paraId="4A3D25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0,25</w:t>
            </w:r>
          </w:p>
        </w:tc>
      </w:tr>
      <w:tr w:rsidR="00BF12D5" w:rsidRPr="00BD0223" w14:paraId="6943DB12"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12D1427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UBARANA</w:t>
            </w:r>
          </w:p>
        </w:tc>
        <w:tc>
          <w:tcPr>
            <w:tcW w:w="1313" w:type="dxa"/>
            <w:tcBorders>
              <w:top w:val="nil"/>
              <w:left w:val="nil"/>
              <w:bottom w:val="single" w:sz="4" w:space="0" w:color="auto"/>
              <w:right w:val="single" w:sz="4" w:space="0" w:color="auto"/>
            </w:tcBorders>
            <w:shd w:val="clear" w:color="auto" w:fill="auto"/>
            <w:noWrap/>
            <w:vAlign w:val="center"/>
            <w:hideMark/>
          </w:tcPr>
          <w:p w14:paraId="00F0C10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7,45</w:t>
            </w:r>
          </w:p>
        </w:tc>
        <w:tc>
          <w:tcPr>
            <w:tcW w:w="1313" w:type="dxa"/>
            <w:tcBorders>
              <w:top w:val="nil"/>
              <w:left w:val="nil"/>
              <w:bottom w:val="single" w:sz="4" w:space="0" w:color="auto"/>
              <w:right w:val="single" w:sz="4" w:space="0" w:color="auto"/>
            </w:tcBorders>
            <w:shd w:val="clear" w:color="auto" w:fill="auto"/>
            <w:noWrap/>
            <w:vAlign w:val="center"/>
            <w:hideMark/>
          </w:tcPr>
          <w:p w14:paraId="2F29060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9,66</w:t>
            </w:r>
          </w:p>
        </w:tc>
        <w:tc>
          <w:tcPr>
            <w:tcW w:w="1313" w:type="dxa"/>
            <w:tcBorders>
              <w:top w:val="nil"/>
              <w:left w:val="nil"/>
              <w:bottom w:val="single" w:sz="4" w:space="0" w:color="auto"/>
              <w:right w:val="single" w:sz="4" w:space="0" w:color="auto"/>
            </w:tcBorders>
            <w:shd w:val="clear" w:color="auto" w:fill="auto"/>
            <w:noWrap/>
            <w:vAlign w:val="center"/>
            <w:hideMark/>
          </w:tcPr>
          <w:p w14:paraId="53D9ED8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8,41</w:t>
            </w:r>
          </w:p>
        </w:tc>
        <w:tc>
          <w:tcPr>
            <w:tcW w:w="1313" w:type="dxa"/>
            <w:tcBorders>
              <w:top w:val="nil"/>
              <w:left w:val="nil"/>
              <w:bottom w:val="single" w:sz="4" w:space="0" w:color="auto"/>
              <w:right w:val="single" w:sz="4" w:space="0" w:color="auto"/>
            </w:tcBorders>
            <w:shd w:val="clear" w:color="auto" w:fill="auto"/>
            <w:noWrap/>
            <w:vAlign w:val="center"/>
            <w:hideMark/>
          </w:tcPr>
          <w:p w14:paraId="6A7A19F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9,95</w:t>
            </w:r>
          </w:p>
        </w:tc>
      </w:tr>
      <w:tr w:rsidR="00BF12D5" w:rsidRPr="00BD0223" w14:paraId="16D83787"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B382B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UCHOA</w:t>
            </w:r>
          </w:p>
        </w:tc>
        <w:tc>
          <w:tcPr>
            <w:tcW w:w="1313" w:type="dxa"/>
            <w:tcBorders>
              <w:top w:val="nil"/>
              <w:left w:val="nil"/>
              <w:bottom w:val="single" w:sz="4" w:space="0" w:color="auto"/>
              <w:right w:val="single" w:sz="4" w:space="0" w:color="auto"/>
            </w:tcBorders>
            <w:shd w:val="clear" w:color="auto" w:fill="auto"/>
            <w:noWrap/>
            <w:vAlign w:val="center"/>
            <w:hideMark/>
          </w:tcPr>
          <w:p w14:paraId="64E64E3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1,45</w:t>
            </w:r>
          </w:p>
        </w:tc>
        <w:tc>
          <w:tcPr>
            <w:tcW w:w="1313" w:type="dxa"/>
            <w:tcBorders>
              <w:top w:val="nil"/>
              <w:left w:val="nil"/>
              <w:bottom w:val="single" w:sz="4" w:space="0" w:color="auto"/>
              <w:right w:val="single" w:sz="4" w:space="0" w:color="auto"/>
            </w:tcBorders>
            <w:shd w:val="clear" w:color="auto" w:fill="auto"/>
            <w:noWrap/>
            <w:vAlign w:val="center"/>
            <w:hideMark/>
          </w:tcPr>
          <w:p w14:paraId="72542D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1,37</w:t>
            </w:r>
          </w:p>
        </w:tc>
        <w:tc>
          <w:tcPr>
            <w:tcW w:w="1313" w:type="dxa"/>
            <w:tcBorders>
              <w:top w:val="nil"/>
              <w:left w:val="nil"/>
              <w:bottom w:val="single" w:sz="4" w:space="0" w:color="auto"/>
              <w:right w:val="single" w:sz="4" w:space="0" w:color="auto"/>
            </w:tcBorders>
            <w:shd w:val="clear" w:color="auto" w:fill="auto"/>
            <w:noWrap/>
            <w:vAlign w:val="center"/>
            <w:hideMark/>
          </w:tcPr>
          <w:p w14:paraId="226797E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1,31</w:t>
            </w:r>
          </w:p>
        </w:tc>
        <w:tc>
          <w:tcPr>
            <w:tcW w:w="1313" w:type="dxa"/>
            <w:tcBorders>
              <w:top w:val="nil"/>
              <w:left w:val="nil"/>
              <w:bottom w:val="single" w:sz="4" w:space="0" w:color="auto"/>
              <w:right w:val="single" w:sz="4" w:space="0" w:color="auto"/>
            </w:tcBorders>
            <w:shd w:val="clear" w:color="auto" w:fill="auto"/>
            <w:noWrap/>
            <w:vAlign w:val="center"/>
            <w:hideMark/>
          </w:tcPr>
          <w:p w14:paraId="7B3AB90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1,60</w:t>
            </w:r>
          </w:p>
        </w:tc>
      </w:tr>
      <w:tr w:rsidR="00BF12D5" w:rsidRPr="00BD0223" w14:paraId="135D4F39"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FD6F9B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UNIAO PAULISTA</w:t>
            </w:r>
          </w:p>
        </w:tc>
        <w:tc>
          <w:tcPr>
            <w:tcW w:w="1313" w:type="dxa"/>
            <w:tcBorders>
              <w:top w:val="nil"/>
              <w:left w:val="nil"/>
              <w:bottom w:val="single" w:sz="4" w:space="0" w:color="auto"/>
              <w:right w:val="single" w:sz="4" w:space="0" w:color="auto"/>
            </w:tcBorders>
            <w:shd w:val="clear" w:color="auto" w:fill="auto"/>
            <w:noWrap/>
            <w:vAlign w:val="center"/>
            <w:hideMark/>
          </w:tcPr>
          <w:p w14:paraId="7536490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0,14</w:t>
            </w:r>
          </w:p>
        </w:tc>
        <w:tc>
          <w:tcPr>
            <w:tcW w:w="1313" w:type="dxa"/>
            <w:tcBorders>
              <w:top w:val="nil"/>
              <w:left w:val="nil"/>
              <w:bottom w:val="single" w:sz="4" w:space="0" w:color="auto"/>
              <w:right w:val="single" w:sz="4" w:space="0" w:color="auto"/>
            </w:tcBorders>
            <w:shd w:val="clear" w:color="auto" w:fill="auto"/>
            <w:noWrap/>
            <w:vAlign w:val="center"/>
            <w:hideMark/>
          </w:tcPr>
          <w:p w14:paraId="3E9D6FD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0,15</w:t>
            </w:r>
          </w:p>
        </w:tc>
        <w:tc>
          <w:tcPr>
            <w:tcW w:w="1313" w:type="dxa"/>
            <w:tcBorders>
              <w:top w:val="nil"/>
              <w:left w:val="nil"/>
              <w:bottom w:val="single" w:sz="4" w:space="0" w:color="auto"/>
              <w:right w:val="single" w:sz="4" w:space="0" w:color="auto"/>
            </w:tcBorders>
            <w:shd w:val="clear" w:color="auto" w:fill="auto"/>
            <w:noWrap/>
            <w:vAlign w:val="center"/>
            <w:hideMark/>
          </w:tcPr>
          <w:p w14:paraId="38D81ED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0,15</w:t>
            </w:r>
          </w:p>
        </w:tc>
        <w:tc>
          <w:tcPr>
            <w:tcW w:w="1313" w:type="dxa"/>
            <w:tcBorders>
              <w:top w:val="nil"/>
              <w:left w:val="nil"/>
              <w:bottom w:val="single" w:sz="4" w:space="0" w:color="auto"/>
              <w:right w:val="single" w:sz="4" w:space="0" w:color="auto"/>
            </w:tcBorders>
            <w:shd w:val="clear" w:color="auto" w:fill="auto"/>
            <w:noWrap/>
            <w:vAlign w:val="center"/>
            <w:hideMark/>
          </w:tcPr>
          <w:p w14:paraId="5622E2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0,14</w:t>
            </w:r>
          </w:p>
        </w:tc>
      </w:tr>
      <w:tr w:rsidR="00BF12D5" w:rsidRPr="00BD0223" w14:paraId="19148E0F"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7DB506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URANIA</w:t>
            </w:r>
          </w:p>
        </w:tc>
        <w:tc>
          <w:tcPr>
            <w:tcW w:w="1313" w:type="dxa"/>
            <w:tcBorders>
              <w:top w:val="nil"/>
              <w:left w:val="nil"/>
              <w:bottom w:val="single" w:sz="4" w:space="0" w:color="auto"/>
              <w:right w:val="single" w:sz="4" w:space="0" w:color="auto"/>
            </w:tcBorders>
            <w:shd w:val="clear" w:color="auto" w:fill="auto"/>
            <w:noWrap/>
            <w:vAlign w:val="center"/>
            <w:hideMark/>
          </w:tcPr>
          <w:p w14:paraId="24C8A4E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4,94</w:t>
            </w:r>
          </w:p>
        </w:tc>
        <w:tc>
          <w:tcPr>
            <w:tcW w:w="1313" w:type="dxa"/>
            <w:tcBorders>
              <w:top w:val="nil"/>
              <w:left w:val="nil"/>
              <w:bottom w:val="single" w:sz="4" w:space="0" w:color="auto"/>
              <w:right w:val="single" w:sz="4" w:space="0" w:color="auto"/>
            </w:tcBorders>
            <w:shd w:val="clear" w:color="auto" w:fill="auto"/>
            <w:noWrap/>
            <w:vAlign w:val="center"/>
            <w:hideMark/>
          </w:tcPr>
          <w:p w14:paraId="406A80B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4,50</w:t>
            </w:r>
          </w:p>
        </w:tc>
        <w:tc>
          <w:tcPr>
            <w:tcW w:w="1313" w:type="dxa"/>
            <w:tcBorders>
              <w:top w:val="nil"/>
              <w:left w:val="nil"/>
              <w:bottom w:val="single" w:sz="4" w:space="0" w:color="auto"/>
              <w:right w:val="single" w:sz="4" w:space="0" w:color="auto"/>
            </w:tcBorders>
            <w:shd w:val="clear" w:color="auto" w:fill="auto"/>
            <w:noWrap/>
            <w:vAlign w:val="center"/>
            <w:hideMark/>
          </w:tcPr>
          <w:p w14:paraId="50D7D32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3,80</w:t>
            </w:r>
          </w:p>
        </w:tc>
        <w:tc>
          <w:tcPr>
            <w:tcW w:w="1313" w:type="dxa"/>
            <w:tcBorders>
              <w:top w:val="nil"/>
              <w:left w:val="nil"/>
              <w:bottom w:val="single" w:sz="4" w:space="0" w:color="auto"/>
              <w:right w:val="single" w:sz="4" w:space="0" w:color="auto"/>
            </w:tcBorders>
            <w:shd w:val="clear" w:color="auto" w:fill="auto"/>
            <w:noWrap/>
            <w:vAlign w:val="center"/>
            <w:hideMark/>
          </w:tcPr>
          <w:p w14:paraId="02CD4D2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3,61</w:t>
            </w:r>
          </w:p>
        </w:tc>
      </w:tr>
      <w:tr w:rsidR="00BF12D5" w:rsidRPr="00BD0223" w14:paraId="2F8C1653"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449A893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URUPES</w:t>
            </w:r>
          </w:p>
        </w:tc>
        <w:tc>
          <w:tcPr>
            <w:tcW w:w="1313" w:type="dxa"/>
            <w:tcBorders>
              <w:top w:val="nil"/>
              <w:left w:val="nil"/>
              <w:bottom w:val="single" w:sz="4" w:space="0" w:color="auto"/>
              <w:right w:val="single" w:sz="4" w:space="0" w:color="auto"/>
            </w:tcBorders>
            <w:shd w:val="clear" w:color="auto" w:fill="auto"/>
            <w:noWrap/>
            <w:vAlign w:val="center"/>
            <w:hideMark/>
          </w:tcPr>
          <w:p w14:paraId="778F544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2,71</w:t>
            </w:r>
          </w:p>
        </w:tc>
        <w:tc>
          <w:tcPr>
            <w:tcW w:w="1313" w:type="dxa"/>
            <w:tcBorders>
              <w:top w:val="nil"/>
              <w:left w:val="nil"/>
              <w:bottom w:val="single" w:sz="4" w:space="0" w:color="auto"/>
              <w:right w:val="single" w:sz="4" w:space="0" w:color="auto"/>
            </w:tcBorders>
            <w:shd w:val="clear" w:color="auto" w:fill="auto"/>
            <w:noWrap/>
            <w:vAlign w:val="center"/>
            <w:hideMark/>
          </w:tcPr>
          <w:p w14:paraId="50A027D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2,97</w:t>
            </w:r>
          </w:p>
        </w:tc>
        <w:tc>
          <w:tcPr>
            <w:tcW w:w="1313" w:type="dxa"/>
            <w:tcBorders>
              <w:top w:val="nil"/>
              <w:left w:val="nil"/>
              <w:bottom w:val="single" w:sz="4" w:space="0" w:color="auto"/>
              <w:right w:val="single" w:sz="4" w:space="0" w:color="auto"/>
            </w:tcBorders>
            <w:shd w:val="clear" w:color="auto" w:fill="auto"/>
            <w:noWrap/>
            <w:vAlign w:val="center"/>
            <w:hideMark/>
          </w:tcPr>
          <w:p w14:paraId="2B244D7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3,59</w:t>
            </w:r>
          </w:p>
        </w:tc>
        <w:tc>
          <w:tcPr>
            <w:tcW w:w="1313" w:type="dxa"/>
            <w:tcBorders>
              <w:top w:val="nil"/>
              <w:left w:val="nil"/>
              <w:bottom w:val="single" w:sz="4" w:space="0" w:color="auto"/>
              <w:right w:val="single" w:sz="4" w:space="0" w:color="auto"/>
            </w:tcBorders>
            <w:shd w:val="clear" w:color="auto" w:fill="auto"/>
            <w:noWrap/>
            <w:vAlign w:val="center"/>
            <w:hideMark/>
          </w:tcPr>
          <w:p w14:paraId="2ABCFEE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3,28</w:t>
            </w:r>
          </w:p>
        </w:tc>
      </w:tr>
      <w:tr w:rsidR="00BF12D5" w:rsidRPr="00BD0223" w14:paraId="523F66C2"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2C4134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VALENTIM GENTIL</w:t>
            </w:r>
          </w:p>
        </w:tc>
        <w:tc>
          <w:tcPr>
            <w:tcW w:w="1313" w:type="dxa"/>
            <w:tcBorders>
              <w:top w:val="nil"/>
              <w:left w:val="nil"/>
              <w:bottom w:val="single" w:sz="4" w:space="0" w:color="auto"/>
              <w:right w:val="single" w:sz="4" w:space="0" w:color="auto"/>
            </w:tcBorders>
            <w:shd w:val="clear" w:color="auto" w:fill="auto"/>
            <w:noWrap/>
            <w:vAlign w:val="center"/>
            <w:hideMark/>
          </w:tcPr>
          <w:p w14:paraId="5C7FAEF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2,91</w:t>
            </w:r>
          </w:p>
        </w:tc>
        <w:tc>
          <w:tcPr>
            <w:tcW w:w="1313" w:type="dxa"/>
            <w:tcBorders>
              <w:top w:val="nil"/>
              <w:left w:val="nil"/>
              <w:bottom w:val="single" w:sz="4" w:space="0" w:color="auto"/>
              <w:right w:val="single" w:sz="4" w:space="0" w:color="auto"/>
            </w:tcBorders>
            <w:shd w:val="clear" w:color="auto" w:fill="auto"/>
            <w:noWrap/>
            <w:vAlign w:val="center"/>
            <w:hideMark/>
          </w:tcPr>
          <w:p w14:paraId="2967D01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4,23</w:t>
            </w:r>
          </w:p>
        </w:tc>
        <w:tc>
          <w:tcPr>
            <w:tcW w:w="1313" w:type="dxa"/>
            <w:tcBorders>
              <w:top w:val="nil"/>
              <w:left w:val="nil"/>
              <w:bottom w:val="single" w:sz="4" w:space="0" w:color="auto"/>
              <w:right w:val="single" w:sz="4" w:space="0" w:color="auto"/>
            </w:tcBorders>
            <w:shd w:val="clear" w:color="auto" w:fill="auto"/>
            <w:noWrap/>
            <w:vAlign w:val="center"/>
            <w:hideMark/>
          </w:tcPr>
          <w:p w14:paraId="0EA5AE3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3,31</w:t>
            </w:r>
          </w:p>
        </w:tc>
        <w:tc>
          <w:tcPr>
            <w:tcW w:w="1313" w:type="dxa"/>
            <w:tcBorders>
              <w:top w:val="nil"/>
              <w:left w:val="nil"/>
              <w:bottom w:val="single" w:sz="4" w:space="0" w:color="auto"/>
              <w:right w:val="single" w:sz="4" w:space="0" w:color="auto"/>
            </w:tcBorders>
            <w:shd w:val="clear" w:color="auto" w:fill="auto"/>
            <w:noWrap/>
            <w:vAlign w:val="center"/>
            <w:hideMark/>
          </w:tcPr>
          <w:p w14:paraId="051A050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3,38</w:t>
            </w:r>
          </w:p>
        </w:tc>
      </w:tr>
      <w:tr w:rsidR="00BF12D5" w:rsidRPr="00BD0223" w14:paraId="03BDEAA0"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6556076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VIRADOURO</w:t>
            </w:r>
          </w:p>
        </w:tc>
        <w:tc>
          <w:tcPr>
            <w:tcW w:w="1313" w:type="dxa"/>
            <w:tcBorders>
              <w:top w:val="nil"/>
              <w:left w:val="nil"/>
              <w:bottom w:val="single" w:sz="4" w:space="0" w:color="auto"/>
              <w:right w:val="single" w:sz="4" w:space="0" w:color="auto"/>
            </w:tcBorders>
            <w:shd w:val="clear" w:color="auto" w:fill="auto"/>
            <w:noWrap/>
            <w:vAlign w:val="center"/>
            <w:hideMark/>
          </w:tcPr>
          <w:p w14:paraId="3067D07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1,45</w:t>
            </w:r>
          </w:p>
        </w:tc>
        <w:tc>
          <w:tcPr>
            <w:tcW w:w="1313" w:type="dxa"/>
            <w:tcBorders>
              <w:top w:val="nil"/>
              <w:left w:val="nil"/>
              <w:bottom w:val="single" w:sz="4" w:space="0" w:color="auto"/>
              <w:right w:val="single" w:sz="4" w:space="0" w:color="auto"/>
            </w:tcBorders>
            <w:shd w:val="clear" w:color="auto" w:fill="auto"/>
            <w:noWrap/>
            <w:vAlign w:val="center"/>
            <w:hideMark/>
          </w:tcPr>
          <w:p w14:paraId="19B5465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1,49</w:t>
            </w:r>
          </w:p>
        </w:tc>
        <w:tc>
          <w:tcPr>
            <w:tcW w:w="1313" w:type="dxa"/>
            <w:tcBorders>
              <w:top w:val="nil"/>
              <w:left w:val="nil"/>
              <w:bottom w:val="single" w:sz="4" w:space="0" w:color="auto"/>
              <w:right w:val="single" w:sz="4" w:space="0" w:color="auto"/>
            </w:tcBorders>
            <w:shd w:val="clear" w:color="auto" w:fill="auto"/>
            <w:noWrap/>
            <w:vAlign w:val="center"/>
            <w:hideMark/>
          </w:tcPr>
          <w:p w14:paraId="5A583AA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1,49</w:t>
            </w:r>
          </w:p>
        </w:tc>
        <w:tc>
          <w:tcPr>
            <w:tcW w:w="1313" w:type="dxa"/>
            <w:tcBorders>
              <w:top w:val="nil"/>
              <w:left w:val="nil"/>
              <w:bottom w:val="single" w:sz="4" w:space="0" w:color="auto"/>
              <w:right w:val="single" w:sz="4" w:space="0" w:color="auto"/>
            </w:tcBorders>
            <w:shd w:val="clear" w:color="auto" w:fill="auto"/>
            <w:noWrap/>
            <w:vAlign w:val="center"/>
            <w:hideMark/>
          </w:tcPr>
          <w:p w14:paraId="05CF7B6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2,21</w:t>
            </w:r>
          </w:p>
        </w:tc>
      </w:tr>
      <w:tr w:rsidR="00BF12D5" w:rsidRPr="00BD0223" w14:paraId="749F4A94" w14:textId="77777777" w:rsidTr="0039539B">
        <w:trPr>
          <w:trHeight w:val="314"/>
        </w:trPr>
        <w:tc>
          <w:tcPr>
            <w:tcW w:w="3898" w:type="dxa"/>
            <w:tcBorders>
              <w:top w:val="nil"/>
              <w:left w:val="single" w:sz="4" w:space="0" w:color="auto"/>
              <w:bottom w:val="single" w:sz="4" w:space="0" w:color="auto"/>
              <w:right w:val="single" w:sz="4" w:space="0" w:color="auto"/>
            </w:tcBorders>
            <w:shd w:val="clear" w:color="auto" w:fill="auto"/>
            <w:noWrap/>
            <w:vAlign w:val="center"/>
            <w:hideMark/>
          </w:tcPr>
          <w:p w14:paraId="27DEA5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VISTA ALEGRE DO ALTO</w:t>
            </w:r>
          </w:p>
        </w:tc>
        <w:tc>
          <w:tcPr>
            <w:tcW w:w="1313" w:type="dxa"/>
            <w:tcBorders>
              <w:top w:val="nil"/>
              <w:left w:val="nil"/>
              <w:bottom w:val="single" w:sz="4" w:space="0" w:color="auto"/>
              <w:right w:val="single" w:sz="4" w:space="0" w:color="auto"/>
            </w:tcBorders>
            <w:shd w:val="clear" w:color="auto" w:fill="auto"/>
            <w:noWrap/>
            <w:vAlign w:val="center"/>
            <w:hideMark/>
          </w:tcPr>
          <w:p w14:paraId="2373EA9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14,43</w:t>
            </w:r>
          </w:p>
        </w:tc>
        <w:tc>
          <w:tcPr>
            <w:tcW w:w="1313" w:type="dxa"/>
            <w:tcBorders>
              <w:top w:val="nil"/>
              <w:left w:val="nil"/>
              <w:bottom w:val="single" w:sz="4" w:space="0" w:color="auto"/>
              <w:right w:val="single" w:sz="4" w:space="0" w:color="auto"/>
            </w:tcBorders>
            <w:shd w:val="clear" w:color="auto" w:fill="auto"/>
            <w:noWrap/>
            <w:vAlign w:val="center"/>
            <w:hideMark/>
          </w:tcPr>
          <w:p w14:paraId="30FB9FF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17,52</w:t>
            </w:r>
          </w:p>
        </w:tc>
        <w:tc>
          <w:tcPr>
            <w:tcW w:w="1313" w:type="dxa"/>
            <w:tcBorders>
              <w:top w:val="nil"/>
              <w:left w:val="nil"/>
              <w:bottom w:val="single" w:sz="4" w:space="0" w:color="auto"/>
              <w:right w:val="single" w:sz="4" w:space="0" w:color="auto"/>
            </w:tcBorders>
            <w:shd w:val="clear" w:color="auto" w:fill="auto"/>
            <w:noWrap/>
            <w:vAlign w:val="center"/>
            <w:hideMark/>
          </w:tcPr>
          <w:p w14:paraId="40356D6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19,35</w:t>
            </w:r>
          </w:p>
        </w:tc>
        <w:tc>
          <w:tcPr>
            <w:tcW w:w="1313" w:type="dxa"/>
            <w:tcBorders>
              <w:top w:val="nil"/>
              <w:left w:val="nil"/>
              <w:bottom w:val="single" w:sz="4" w:space="0" w:color="auto"/>
              <w:right w:val="single" w:sz="4" w:space="0" w:color="auto"/>
            </w:tcBorders>
            <w:shd w:val="clear" w:color="auto" w:fill="auto"/>
            <w:noWrap/>
            <w:vAlign w:val="center"/>
            <w:hideMark/>
          </w:tcPr>
          <w:p w14:paraId="5CB3B122" w14:textId="77777777" w:rsidR="00BF12D5" w:rsidRPr="00BD0223" w:rsidRDefault="00BF12D5" w:rsidP="0039539B">
            <w:pPr>
              <w:keepNext/>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18,78</w:t>
            </w:r>
          </w:p>
        </w:tc>
      </w:tr>
    </w:tbl>
    <w:p w14:paraId="1DFCF8D1" w14:textId="77777777" w:rsidR="00BF12D5" w:rsidRPr="008D398D" w:rsidRDefault="00BF12D5" w:rsidP="00BF12D5">
      <w:pPr>
        <w:pStyle w:val="Ttabela-fonte"/>
        <w:rPr>
          <w:color w:val="FF0000"/>
        </w:rPr>
      </w:pPr>
      <w:r w:rsidRPr="00BD0223">
        <w:t>Fonte: ANP</w:t>
      </w:r>
      <w:r>
        <w:t xml:space="preserve">. </w:t>
      </w:r>
      <w:r w:rsidRPr="00906965">
        <w:t>Elaboração do Autor</w:t>
      </w:r>
      <w:r w:rsidRPr="008D398D">
        <w:rPr>
          <w:color w:val="FF0000"/>
        </w:rPr>
        <w:t>.</w:t>
      </w:r>
    </w:p>
    <w:p w14:paraId="0CE236E1" w14:textId="77777777" w:rsidR="00BF12D5" w:rsidRPr="00BD0223" w:rsidRDefault="00BF12D5" w:rsidP="00BF12D5">
      <w:pPr>
        <w:pStyle w:val="Tfigura-titulo"/>
        <w:jc w:val="both"/>
      </w:pPr>
      <w:r w:rsidRPr="00BD0223">
        <w:lastRenderedPageBreak/>
        <w:t xml:space="preserve">Tabela 20 – Vendas de óleo diesel, em milhões de litros, de </w:t>
      </w:r>
      <w:r>
        <w:t>municípios selecionados</w:t>
      </w:r>
      <w:r w:rsidRPr="00BD0223">
        <w:t xml:space="preserve"> do estado de São Paulo das </w:t>
      </w:r>
      <w:r>
        <w:t>M</w:t>
      </w:r>
      <w:r w:rsidRPr="00BD0223">
        <w:t>acrorregiões de Ribeirão Preto e São José do Rio Preto, de 2015 a 2018</w:t>
      </w:r>
    </w:p>
    <w:tbl>
      <w:tblPr>
        <w:tblW w:w="9089" w:type="dxa"/>
        <w:tblCellMar>
          <w:left w:w="70" w:type="dxa"/>
          <w:right w:w="70" w:type="dxa"/>
        </w:tblCellMar>
        <w:tblLook w:val="04A0" w:firstRow="1" w:lastRow="0" w:firstColumn="1" w:lastColumn="0" w:noHBand="0" w:noVBand="1"/>
      </w:tblPr>
      <w:tblGrid>
        <w:gridCol w:w="3873"/>
        <w:gridCol w:w="1304"/>
        <w:gridCol w:w="1304"/>
        <w:gridCol w:w="1304"/>
        <w:gridCol w:w="1304"/>
      </w:tblGrid>
      <w:tr w:rsidR="00BF12D5" w:rsidRPr="001C03A7" w14:paraId="77DDCBF7" w14:textId="77777777" w:rsidTr="0039539B">
        <w:trPr>
          <w:trHeight w:val="317"/>
          <w:tblHeader/>
        </w:trPr>
        <w:tc>
          <w:tcPr>
            <w:tcW w:w="3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01E1E"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 </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4B705092"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2015</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2ECFCB8E"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2016</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74C0CA3E"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2017</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14:paraId="231BAD8D" w14:textId="77777777" w:rsidR="00BF12D5" w:rsidRPr="001C03A7" w:rsidRDefault="00BF12D5" w:rsidP="0039539B">
            <w:pPr>
              <w:spacing w:line="240" w:lineRule="auto"/>
              <w:ind w:firstLine="0"/>
              <w:jc w:val="center"/>
              <w:rPr>
                <w:rFonts w:ascii="Times New Roman" w:eastAsia="Times New Roman" w:hAnsi="Times New Roman" w:cs="Times New Roman"/>
                <w:b/>
                <w:color w:val="000000"/>
                <w:sz w:val="24"/>
                <w:szCs w:val="24"/>
                <w:lang w:eastAsia="pt-BR"/>
              </w:rPr>
            </w:pPr>
            <w:r w:rsidRPr="001C03A7">
              <w:rPr>
                <w:rFonts w:ascii="Times New Roman" w:eastAsia="Times New Roman" w:hAnsi="Times New Roman" w:cs="Times New Roman"/>
                <w:b/>
                <w:color w:val="000000"/>
                <w:sz w:val="24"/>
                <w:szCs w:val="24"/>
                <w:lang w:eastAsia="pt-BR"/>
              </w:rPr>
              <w:t>2018</w:t>
            </w:r>
          </w:p>
        </w:tc>
      </w:tr>
      <w:tr w:rsidR="00BF12D5" w:rsidRPr="00BD0223" w14:paraId="299A5BDE"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2E6C9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ADOLFO</w:t>
            </w:r>
          </w:p>
        </w:tc>
        <w:tc>
          <w:tcPr>
            <w:tcW w:w="1304" w:type="dxa"/>
            <w:tcBorders>
              <w:top w:val="nil"/>
              <w:left w:val="nil"/>
              <w:bottom w:val="single" w:sz="4" w:space="0" w:color="auto"/>
              <w:right w:val="single" w:sz="4" w:space="0" w:color="auto"/>
            </w:tcBorders>
            <w:shd w:val="clear" w:color="auto" w:fill="auto"/>
            <w:noWrap/>
            <w:vAlign w:val="center"/>
            <w:hideMark/>
          </w:tcPr>
          <w:p w14:paraId="3ACB31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304" w:type="dxa"/>
            <w:tcBorders>
              <w:top w:val="nil"/>
              <w:left w:val="nil"/>
              <w:bottom w:val="single" w:sz="4" w:space="0" w:color="auto"/>
              <w:right w:val="single" w:sz="4" w:space="0" w:color="auto"/>
            </w:tcBorders>
            <w:shd w:val="clear" w:color="auto" w:fill="auto"/>
            <w:noWrap/>
            <w:vAlign w:val="center"/>
            <w:hideMark/>
          </w:tcPr>
          <w:p w14:paraId="2032C9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0,32</w:t>
            </w:r>
          </w:p>
        </w:tc>
        <w:tc>
          <w:tcPr>
            <w:tcW w:w="1304" w:type="dxa"/>
            <w:tcBorders>
              <w:top w:val="nil"/>
              <w:left w:val="nil"/>
              <w:bottom w:val="single" w:sz="4" w:space="0" w:color="auto"/>
              <w:right w:val="single" w:sz="4" w:space="0" w:color="auto"/>
            </w:tcBorders>
            <w:shd w:val="clear" w:color="auto" w:fill="auto"/>
            <w:noWrap/>
            <w:vAlign w:val="center"/>
            <w:hideMark/>
          </w:tcPr>
          <w:p w14:paraId="5772D7B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0,26</w:t>
            </w:r>
          </w:p>
        </w:tc>
        <w:tc>
          <w:tcPr>
            <w:tcW w:w="1304" w:type="dxa"/>
            <w:tcBorders>
              <w:top w:val="nil"/>
              <w:left w:val="nil"/>
              <w:bottom w:val="single" w:sz="4" w:space="0" w:color="auto"/>
              <w:right w:val="single" w:sz="4" w:space="0" w:color="auto"/>
            </w:tcBorders>
            <w:shd w:val="clear" w:color="auto" w:fill="auto"/>
            <w:noWrap/>
            <w:vAlign w:val="center"/>
            <w:hideMark/>
          </w:tcPr>
          <w:p w14:paraId="6BC96E5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0,31</w:t>
            </w:r>
          </w:p>
        </w:tc>
      </w:tr>
      <w:tr w:rsidR="00BF12D5" w:rsidRPr="00BD0223" w14:paraId="5965246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1C314E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ALTAIR</w:t>
            </w:r>
          </w:p>
        </w:tc>
        <w:tc>
          <w:tcPr>
            <w:tcW w:w="1304" w:type="dxa"/>
            <w:tcBorders>
              <w:top w:val="nil"/>
              <w:left w:val="nil"/>
              <w:bottom w:val="single" w:sz="4" w:space="0" w:color="auto"/>
              <w:right w:val="single" w:sz="4" w:space="0" w:color="auto"/>
            </w:tcBorders>
            <w:shd w:val="clear" w:color="auto" w:fill="auto"/>
            <w:noWrap/>
            <w:vAlign w:val="center"/>
            <w:hideMark/>
          </w:tcPr>
          <w:p w14:paraId="5406108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3,74</w:t>
            </w:r>
          </w:p>
        </w:tc>
        <w:tc>
          <w:tcPr>
            <w:tcW w:w="1304" w:type="dxa"/>
            <w:tcBorders>
              <w:top w:val="nil"/>
              <w:left w:val="nil"/>
              <w:bottom w:val="single" w:sz="4" w:space="0" w:color="auto"/>
              <w:right w:val="single" w:sz="4" w:space="0" w:color="auto"/>
            </w:tcBorders>
            <w:shd w:val="clear" w:color="auto" w:fill="auto"/>
            <w:noWrap/>
            <w:vAlign w:val="center"/>
            <w:hideMark/>
          </w:tcPr>
          <w:p w14:paraId="07B3E0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3,54</w:t>
            </w:r>
          </w:p>
        </w:tc>
        <w:tc>
          <w:tcPr>
            <w:tcW w:w="1304" w:type="dxa"/>
            <w:tcBorders>
              <w:top w:val="nil"/>
              <w:left w:val="nil"/>
              <w:bottom w:val="single" w:sz="4" w:space="0" w:color="auto"/>
              <w:right w:val="single" w:sz="4" w:space="0" w:color="auto"/>
            </w:tcBorders>
            <w:shd w:val="clear" w:color="auto" w:fill="auto"/>
            <w:noWrap/>
            <w:vAlign w:val="center"/>
            <w:hideMark/>
          </w:tcPr>
          <w:p w14:paraId="1AC704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3,55</w:t>
            </w:r>
          </w:p>
        </w:tc>
        <w:tc>
          <w:tcPr>
            <w:tcW w:w="1304" w:type="dxa"/>
            <w:tcBorders>
              <w:top w:val="nil"/>
              <w:left w:val="nil"/>
              <w:bottom w:val="single" w:sz="4" w:space="0" w:color="auto"/>
              <w:right w:val="single" w:sz="4" w:space="0" w:color="auto"/>
            </w:tcBorders>
            <w:shd w:val="clear" w:color="auto" w:fill="auto"/>
            <w:noWrap/>
            <w:vAlign w:val="center"/>
            <w:hideMark/>
          </w:tcPr>
          <w:p w14:paraId="6005CBB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3,67</w:t>
            </w:r>
          </w:p>
        </w:tc>
      </w:tr>
      <w:tr w:rsidR="00BF12D5" w:rsidRPr="00BD0223" w14:paraId="0B871740"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832D6C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ALTINOPOLIS</w:t>
            </w:r>
          </w:p>
        </w:tc>
        <w:tc>
          <w:tcPr>
            <w:tcW w:w="1304" w:type="dxa"/>
            <w:tcBorders>
              <w:top w:val="nil"/>
              <w:left w:val="nil"/>
              <w:bottom w:val="single" w:sz="4" w:space="0" w:color="auto"/>
              <w:right w:val="single" w:sz="4" w:space="0" w:color="auto"/>
            </w:tcBorders>
            <w:shd w:val="clear" w:color="auto" w:fill="auto"/>
            <w:noWrap/>
            <w:vAlign w:val="center"/>
            <w:hideMark/>
          </w:tcPr>
          <w:p w14:paraId="7166ECE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6,42</w:t>
            </w:r>
          </w:p>
        </w:tc>
        <w:tc>
          <w:tcPr>
            <w:tcW w:w="1304" w:type="dxa"/>
            <w:tcBorders>
              <w:top w:val="nil"/>
              <w:left w:val="nil"/>
              <w:bottom w:val="single" w:sz="4" w:space="0" w:color="auto"/>
              <w:right w:val="single" w:sz="4" w:space="0" w:color="auto"/>
            </w:tcBorders>
            <w:shd w:val="clear" w:color="auto" w:fill="auto"/>
            <w:noWrap/>
            <w:vAlign w:val="center"/>
            <w:hideMark/>
          </w:tcPr>
          <w:p w14:paraId="149A6A5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6,29</w:t>
            </w:r>
          </w:p>
        </w:tc>
        <w:tc>
          <w:tcPr>
            <w:tcW w:w="1304" w:type="dxa"/>
            <w:tcBorders>
              <w:top w:val="nil"/>
              <w:left w:val="nil"/>
              <w:bottom w:val="single" w:sz="4" w:space="0" w:color="auto"/>
              <w:right w:val="single" w:sz="4" w:space="0" w:color="auto"/>
            </w:tcBorders>
            <w:shd w:val="clear" w:color="auto" w:fill="auto"/>
            <w:noWrap/>
            <w:vAlign w:val="center"/>
            <w:hideMark/>
          </w:tcPr>
          <w:p w14:paraId="02EEC6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6,26</w:t>
            </w:r>
          </w:p>
        </w:tc>
        <w:tc>
          <w:tcPr>
            <w:tcW w:w="1304" w:type="dxa"/>
            <w:tcBorders>
              <w:top w:val="nil"/>
              <w:left w:val="nil"/>
              <w:bottom w:val="single" w:sz="4" w:space="0" w:color="auto"/>
              <w:right w:val="single" w:sz="4" w:space="0" w:color="auto"/>
            </w:tcBorders>
            <w:shd w:val="clear" w:color="auto" w:fill="auto"/>
            <w:noWrap/>
            <w:vAlign w:val="center"/>
            <w:hideMark/>
          </w:tcPr>
          <w:p w14:paraId="1D4F6FF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6,42</w:t>
            </w:r>
          </w:p>
        </w:tc>
      </w:tr>
      <w:tr w:rsidR="00BF12D5" w:rsidRPr="00BD0223" w14:paraId="0893EE94"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5893A56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ALVARES FLORENCE</w:t>
            </w:r>
          </w:p>
        </w:tc>
        <w:tc>
          <w:tcPr>
            <w:tcW w:w="1304" w:type="dxa"/>
            <w:tcBorders>
              <w:top w:val="nil"/>
              <w:left w:val="nil"/>
              <w:bottom w:val="single" w:sz="4" w:space="0" w:color="auto"/>
              <w:right w:val="single" w:sz="4" w:space="0" w:color="auto"/>
            </w:tcBorders>
            <w:shd w:val="clear" w:color="auto" w:fill="auto"/>
            <w:noWrap/>
            <w:vAlign w:val="center"/>
            <w:hideMark/>
          </w:tcPr>
          <w:p w14:paraId="333E22C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0,49</w:t>
            </w:r>
          </w:p>
        </w:tc>
        <w:tc>
          <w:tcPr>
            <w:tcW w:w="1304" w:type="dxa"/>
            <w:tcBorders>
              <w:top w:val="nil"/>
              <w:left w:val="nil"/>
              <w:bottom w:val="single" w:sz="4" w:space="0" w:color="auto"/>
              <w:right w:val="single" w:sz="4" w:space="0" w:color="auto"/>
            </w:tcBorders>
            <w:shd w:val="clear" w:color="auto" w:fill="auto"/>
            <w:noWrap/>
            <w:vAlign w:val="center"/>
            <w:hideMark/>
          </w:tcPr>
          <w:p w14:paraId="71C856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0,44</w:t>
            </w:r>
          </w:p>
        </w:tc>
        <w:tc>
          <w:tcPr>
            <w:tcW w:w="1304" w:type="dxa"/>
            <w:tcBorders>
              <w:top w:val="nil"/>
              <w:left w:val="nil"/>
              <w:bottom w:val="single" w:sz="4" w:space="0" w:color="auto"/>
              <w:right w:val="single" w:sz="4" w:space="0" w:color="auto"/>
            </w:tcBorders>
            <w:shd w:val="clear" w:color="auto" w:fill="auto"/>
            <w:noWrap/>
            <w:vAlign w:val="center"/>
            <w:hideMark/>
          </w:tcPr>
          <w:p w14:paraId="2DA5876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0,43</w:t>
            </w:r>
          </w:p>
        </w:tc>
        <w:tc>
          <w:tcPr>
            <w:tcW w:w="1304" w:type="dxa"/>
            <w:tcBorders>
              <w:top w:val="nil"/>
              <w:left w:val="nil"/>
              <w:bottom w:val="single" w:sz="4" w:space="0" w:color="auto"/>
              <w:right w:val="single" w:sz="4" w:space="0" w:color="auto"/>
            </w:tcBorders>
            <w:shd w:val="clear" w:color="auto" w:fill="auto"/>
            <w:noWrap/>
            <w:vAlign w:val="center"/>
            <w:hideMark/>
          </w:tcPr>
          <w:p w14:paraId="4249141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0,42</w:t>
            </w:r>
          </w:p>
        </w:tc>
      </w:tr>
      <w:tr w:rsidR="00BF12D5" w:rsidRPr="00BD0223" w14:paraId="6BA66FB4"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E3456C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AMERICO DE CAMPOS</w:t>
            </w:r>
          </w:p>
        </w:tc>
        <w:tc>
          <w:tcPr>
            <w:tcW w:w="1304" w:type="dxa"/>
            <w:tcBorders>
              <w:top w:val="nil"/>
              <w:left w:val="nil"/>
              <w:bottom w:val="single" w:sz="4" w:space="0" w:color="auto"/>
              <w:right w:val="single" w:sz="4" w:space="0" w:color="auto"/>
            </w:tcBorders>
            <w:shd w:val="clear" w:color="auto" w:fill="auto"/>
            <w:noWrap/>
            <w:vAlign w:val="center"/>
            <w:hideMark/>
          </w:tcPr>
          <w:p w14:paraId="28F277F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0,74</w:t>
            </w:r>
          </w:p>
        </w:tc>
        <w:tc>
          <w:tcPr>
            <w:tcW w:w="1304" w:type="dxa"/>
            <w:tcBorders>
              <w:top w:val="nil"/>
              <w:left w:val="nil"/>
              <w:bottom w:val="single" w:sz="4" w:space="0" w:color="auto"/>
              <w:right w:val="single" w:sz="4" w:space="0" w:color="auto"/>
            </w:tcBorders>
            <w:shd w:val="clear" w:color="auto" w:fill="auto"/>
            <w:noWrap/>
            <w:vAlign w:val="center"/>
            <w:hideMark/>
          </w:tcPr>
          <w:p w14:paraId="78F1573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0,78</w:t>
            </w:r>
          </w:p>
        </w:tc>
        <w:tc>
          <w:tcPr>
            <w:tcW w:w="1304" w:type="dxa"/>
            <w:tcBorders>
              <w:top w:val="nil"/>
              <w:left w:val="nil"/>
              <w:bottom w:val="single" w:sz="4" w:space="0" w:color="auto"/>
              <w:right w:val="single" w:sz="4" w:space="0" w:color="auto"/>
            </w:tcBorders>
            <w:shd w:val="clear" w:color="auto" w:fill="auto"/>
            <w:noWrap/>
            <w:vAlign w:val="center"/>
            <w:hideMark/>
          </w:tcPr>
          <w:p w14:paraId="5DAB7E9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0,73</w:t>
            </w:r>
          </w:p>
        </w:tc>
        <w:tc>
          <w:tcPr>
            <w:tcW w:w="1304" w:type="dxa"/>
            <w:tcBorders>
              <w:top w:val="nil"/>
              <w:left w:val="nil"/>
              <w:bottom w:val="single" w:sz="4" w:space="0" w:color="auto"/>
              <w:right w:val="single" w:sz="4" w:space="0" w:color="auto"/>
            </w:tcBorders>
            <w:shd w:val="clear" w:color="auto" w:fill="auto"/>
            <w:noWrap/>
            <w:vAlign w:val="center"/>
            <w:hideMark/>
          </w:tcPr>
          <w:p w14:paraId="17246E4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0,85</w:t>
            </w:r>
          </w:p>
        </w:tc>
      </w:tr>
      <w:tr w:rsidR="00BF12D5" w:rsidRPr="00BD0223" w14:paraId="1A0842E7"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B18402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APARECIDA D'OESTE</w:t>
            </w:r>
          </w:p>
        </w:tc>
        <w:tc>
          <w:tcPr>
            <w:tcW w:w="1304" w:type="dxa"/>
            <w:tcBorders>
              <w:top w:val="nil"/>
              <w:left w:val="nil"/>
              <w:bottom w:val="single" w:sz="4" w:space="0" w:color="auto"/>
              <w:right w:val="single" w:sz="4" w:space="0" w:color="auto"/>
            </w:tcBorders>
            <w:shd w:val="clear" w:color="auto" w:fill="auto"/>
            <w:noWrap/>
            <w:vAlign w:val="center"/>
            <w:hideMark/>
          </w:tcPr>
          <w:p w14:paraId="1C620A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0,45</w:t>
            </w:r>
          </w:p>
        </w:tc>
        <w:tc>
          <w:tcPr>
            <w:tcW w:w="1304" w:type="dxa"/>
            <w:tcBorders>
              <w:top w:val="nil"/>
              <w:left w:val="nil"/>
              <w:bottom w:val="single" w:sz="4" w:space="0" w:color="auto"/>
              <w:right w:val="single" w:sz="4" w:space="0" w:color="auto"/>
            </w:tcBorders>
            <w:shd w:val="clear" w:color="auto" w:fill="auto"/>
            <w:noWrap/>
            <w:vAlign w:val="center"/>
            <w:hideMark/>
          </w:tcPr>
          <w:p w14:paraId="78371E4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0,46</w:t>
            </w:r>
          </w:p>
        </w:tc>
        <w:tc>
          <w:tcPr>
            <w:tcW w:w="1304" w:type="dxa"/>
            <w:tcBorders>
              <w:top w:val="nil"/>
              <w:left w:val="nil"/>
              <w:bottom w:val="single" w:sz="4" w:space="0" w:color="auto"/>
              <w:right w:val="single" w:sz="4" w:space="0" w:color="auto"/>
            </w:tcBorders>
            <w:shd w:val="clear" w:color="auto" w:fill="auto"/>
            <w:noWrap/>
            <w:vAlign w:val="center"/>
            <w:hideMark/>
          </w:tcPr>
          <w:p w14:paraId="7592C2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0,39</w:t>
            </w:r>
          </w:p>
        </w:tc>
        <w:tc>
          <w:tcPr>
            <w:tcW w:w="1304" w:type="dxa"/>
            <w:tcBorders>
              <w:top w:val="nil"/>
              <w:left w:val="nil"/>
              <w:bottom w:val="single" w:sz="4" w:space="0" w:color="auto"/>
              <w:right w:val="single" w:sz="4" w:space="0" w:color="auto"/>
            </w:tcBorders>
            <w:shd w:val="clear" w:color="auto" w:fill="auto"/>
            <w:noWrap/>
            <w:vAlign w:val="center"/>
            <w:hideMark/>
          </w:tcPr>
          <w:p w14:paraId="1A4311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0,33</w:t>
            </w:r>
          </w:p>
        </w:tc>
      </w:tr>
      <w:tr w:rsidR="00BF12D5" w:rsidRPr="00BD0223" w14:paraId="230B584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9FB639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ARAMINA</w:t>
            </w:r>
          </w:p>
        </w:tc>
        <w:tc>
          <w:tcPr>
            <w:tcW w:w="1304" w:type="dxa"/>
            <w:tcBorders>
              <w:top w:val="nil"/>
              <w:left w:val="nil"/>
              <w:bottom w:val="single" w:sz="4" w:space="0" w:color="auto"/>
              <w:right w:val="single" w:sz="4" w:space="0" w:color="auto"/>
            </w:tcBorders>
            <w:shd w:val="clear" w:color="auto" w:fill="auto"/>
            <w:noWrap/>
            <w:vAlign w:val="center"/>
            <w:hideMark/>
          </w:tcPr>
          <w:p w14:paraId="4C28A9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21,25</w:t>
            </w:r>
          </w:p>
        </w:tc>
        <w:tc>
          <w:tcPr>
            <w:tcW w:w="1304" w:type="dxa"/>
            <w:tcBorders>
              <w:top w:val="nil"/>
              <w:left w:val="nil"/>
              <w:bottom w:val="single" w:sz="4" w:space="0" w:color="auto"/>
              <w:right w:val="single" w:sz="4" w:space="0" w:color="auto"/>
            </w:tcBorders>
            <w:shd w:val="clear" w:color="auto" w:fill="auto"/>
            <w:noWrap/>
            <w:vAlign w:val="center"/>
            <w:hideMark/>
          </w:tcPr>
          <w:p w14:paraId="4EFEEA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20,33</w:t>
            </w:r>
          </w:p>
        </w:tc>
        <w:tc>
          <w:tcPr>
            <w:tcW w:w="1304" w:type="dxa"/>
            <w:tcBorders>
              <w:top w:val="nil"/>
              <w:left w:val="nil"/>
              <w:bottom w:val="single" w:sz="4" w:space="0" w:color="auto"/>
              <w:right w:val="single" w:sz="4" w:space="0" w:color="auto"/>
            </w:tcBorders>
            <w:shd w:val="clear" w:color="auto" w:fill="auto"/>
            <w:noWrap/>
            <w:vAlign w:val="center"/>
            <w:hideMark/>
          </w:tcPr>
          <w:p w14:paraId="2484CE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21,38</w:t>
            </w:r>
          </w:p>
        </w:tc>
        <w:tc>
          <w:tcPr>
            <w:tcW w:w="1304" w:type="dxa"/>
            <w:tcBorders>
              <w:top w:val="nil"/>
              <w:left w:val="nil"/>
              <w:bottom w:val="single" w:sz="4" w:space="0" w:color="auto"/>
              <w:right w:val="single" w:sz="4" w:space="0" w:color="auto"/>
            </w:tcBorders>
            <w:shd w:val="clear" w:color="auto" w:fill="auto"/>
            <w:noWrap/>
            <w:vAlign w:val="center"/>
            <w:hideMark/>
          </w:tcPr>
          <w:p w14:paraId="15E23B5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24,43</w:t>
            </w:r>
          </w:p>
        </w:tc>
      </w:tr>
      <w:tr w:rsidR="00BF12D5" w:rsidRPr="00BD0223" w14:paraId="7877416C"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546E70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ARIRANHA</w:t>
            </w:r>
          </w:p>
        </w:tc>
        <w:tc>
          <w:tcPr>
            <w:tcW w:w="1304" w:type="dxa"/>
            <w:tcBorders>
              <w:top w:val="nil"/>
              <w:left w:val="nil"/>
              <w:bottom w:val="single" w:sz="4" w:space="0" w:color="auto"/>
              <w:right w:val="single" w:sz="4" w:space="0" w:color="auto"/>
            </w:tcBorders>
            <w:shd w:val="clear" w:color="auto" w:fill="auto"/>
            <w:noWrap/>
            <w:vAlign w:val="center"/>
            <w:hideMark/>
          </w:tcPr>
          <w:p w14:paraId="0C18B5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12,17</w:t>
            </w:r>
          </w:p>
        </w:tc>
        <w:tc>
          <w:tcPr>
            <w:tcW w:w="1304" w:type="dxa"/>
            <w:tcBorders>
              <w:top w:val="nil"/>
              <w:left w:val="nil"/>
              <w:bottom w:val="single" w:sz="4" w:space="0" w:color="auto"/>
              <w:right w:val="single" w:sz="4" w:space="0" w:color="auto"/>
            </w:tcBorders>
            <w:shd w:val="clear" w:color="auto" w:fill="auto"/>
            <w:noWrap/>
            <w:vAlign w:val="center"/>
            <w:hideMark/>
          </w:tcPr>
          <w:p w14:paraId="2B0557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12,29</w:t>
            </w:r>
          </w:p>
        </w:tc>
        <w:tc>
          <w:tcPr>
            <w:tcW w:w="1304" w:type="dxa"/>
            <w:tcBorders>
              <w:top w:val="nil"/>
              <w:left w:val="nil"/>
              <w:bottom w:val="single" w:sz="4" w:space="0" w:color="auto"/>
              <w:right w:val="single" w:sz="4" w:space="0" w:color="auto"/>
            </w:tcBorders>
            <w:shd w:val="clear" w:color="auto" w:fill="auto"/>
            <w:noWrap/>
            <w:vAlign w:val="center"/>
            <w:hideMark/>
          </w:tcPr>
          <w:p w14:paraId="07001A8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12,74</w:t>
            </w:r>
          </w:p>
        </w:tc>
        <w:tc>
          <w:tcPr>
            <w:tcW w:w="1304" w:type="dxa"/>
            <w:tcBorders>
              <w:top w:val="nil"/>
              <w:left w:val="nil"/>
              <w:bottom w:val="single" w:sz="4" w:space="0" w:color="auto"/>
              <w:right w:val="single" w:sz="4" w:space="0" w:color="auto"/>
            </w:tcBorders>
            <w:shd w:val="clear" w:color="auto" w:fill="auto"/>
            <w:noWrap/>
            <w:vAlign w:val="center"/>
            <w:hideMark/>
          </w:tcPr>
          <w:p w14:paraId="2A07633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8,44</w:t>
            </w:r>
          </w:p>
        </w:tc>
      </w:tr>
      <w:tr w:rsidR="00BF12D5" w:rsidRPr="00BD0223" w14:paraId="53704187"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215CEC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ASPASIA</w:t>
            </w:r>
          </w:p>
        </w:tc>
        <w:tc>
          <w:tcPr>
            <w:tcW w:w="1304" w:type="dxa"/>
            <w:tcBorders>
              <w:top w:val="nil"/>
              <w:left w:val="nil"/>
              <w:bottom w:val="single" w:sz="4" w:space="0" w:color="auto"/>
              <w:right w:val="single" w:sz="4" w:space="0" w:color="auto"/>
            </w:tcBorders>
            <w:shd w:val="clear" w:color="auto" w:fill="auto"/>
            <w:noWrap/>
            <w:vAlign w:val="center"/>
            <w:hideMark/>
          </w:tcPr>
          <w:p w14:paraId="69A9D27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0,17</w:t>
            </w:r>
          </w:p>
        </w:tc>
        <w:tc>
          <w:tcPr>
            <w:tcW w:w="1304" w:type="dxa"/>
            <w:tcBorders>
              <w:top w:val="nil"/>
              <w:left w:val="nil"/>
              <w:bottom w:val="single" w:sz="4" w:space="0" w:color="auto"/>
              <w:right w:val="single" w:sz="4" w:space="0" w:color="auto"/>
            </w:tcBorders>
            <w:shd w:val="clear" w:color="auto" w:fill="auto"/>
            <w:noWrap/>
            <w:vAlign w:val="center"/>
            <w:hideMark/>
          </w:tcPr>
          <w:p w14:paraId="32FD532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0,16</w:t>
            </w:r>
          </w:p>
        </w:tc>
        <w:tc>
          <w:tcPr>
            <w:tcW w:w="1304" w:type="dxa"/>
            <w:tcBorders>
              <w:top w:val="nil"/>
              <w:left w:val="nil"/>
              <w:bottom w:val="single" w:sz="4" w:space="0" w:color="auto"/>
              <w:right w:val="single" w:sz="4" w:space="0" w:color="auto"/>
            </w:tcBorders>
            <w:shd w:val="clear" w:color="auto" w:fill="auto"/>
            <w:noWrap/>
            <w:vAlign w:val="center"/>
            <w:hideMark/>
          </w:tcPr>
          <w:p w14:paraId="3B6C43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0,14</w:t>
            </w:r>
          </w:p>
        </w:tc>
        <w:tc>
          <w:tcPr>
            <w:tcW w:w="1304" w:type="dxa"/>
            <w:tcBorders>
              <w:top w:val="nil"/>
              <w:left w:val="nil"/>
              <w:bottom w:val="single" w:sz="4" w:space="0" w:color="auto"/>
              <w:right w:val="single" w:sz="4" w:space="0" w:color="auto"/>
            </w:tcBorders>
            <w:shd w:val="clear" w:color="auto" w:fill="auto"/>
            <w:noWrap/>
            <w:vAlign w:val="center"/>
            <w:hideMark/>
          </w:tcPr>
          <w:p w14:paraId="4373FAF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0,13</w:t>
            </w:r>
          </w:p>
        </w:tc>
      </w:tr>
      <w:tr w:rsidR="00BF12D5" w:rsidRPr="00BD0223" w14:paraId="3121FA63"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48EC9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AURIFLAMA</w:t>
            </w:r>
          </w:p>
        </w:tc>
        <w:tc>
          <w:tcPr>
            <w:tcW w:w="1304" w:type="dxa"/>
            <w:tcBorders>
              <w:top w:val="nil"/>
              <w:left w:val="nil"/>
              <w:bottom w:val="single" w:sz="4" w:space="0" w:color="auto"/>
              <w:right w:val="single" w:sz="4" w:space="0" w:color="auto"/>
            </w:tcBorders>
            <w:shd w:val="clear" w:color="auto" w:fill="auto"/>
            <w:noWrap/>
            <w:vAlign w:val="center"/>
            <w:hideMark/>
          </w:tcPr>
          <w:p w14:paraId="44DFF38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2,42</w:t>
            </w:r>
          </w:p>
        </w:tc>
        <w:tc>
          <w:tcPr>
            <w:tcW w:w="1304" w:type="dxa"/>
            <w:tcBorders>
              <w:top w:val="nil"/>
              <w:left w:val="nil"/>
              <w:bottom w:val="single" w:sz="4" w:space="0" w:color="auto"/>
              <w:right w:val="single" w:sz="4" w:space="0" w:color="auto"/>
            </w:tcBorders>
            <w:shd w:val="clear" w:color="auto" w:fill="auto"/>
            <w:noWrap/>
            <w:vAlign w:val="center"/>
            <w:hideMark/>
          </w:tcPr>
          <w:p w14:paraId="5E8E04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2,36</w:t>
            </w:r>
          </w:p>
        </w:tc>
        <w:tc>
          <w:tcPr>
            <w:tcW w:w="1304" w:type="dxa"/>
            <w:tcBorders>
              <w:top w:val="nil"/>
              <w:left w:val="nil"/>
              <w:bottom w:val="single" w:sz="4" w:space="0" w:color="auto"/>
              <w:right w:val="single" w:sz="4" w:space="0" w:color="auto"/>
            </w:tcBorders>
            <w:shd w:val="clear" w:color="auto" w:fill="auto"/>
            <w:noWrap/>
            <w:vAlign w:val="center"/>
            <w:hideMark/>
          </w:tcPr>
          <w:p w14:paraId="094D35B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2,30</w:t>
            </w:r>
          </w:p>
        </w:tc>
        <w:tc>
          <w:tcPr>
            <w:tcW w:w="1304" w:type="dxa"/>
            <w:tcBorders>
              <w:top w:val="nil"/>
              <w:left w:val="nil"/>
              <w:bottom w:val="single" w:sz="4" w:space="0" w:color="auto"/>
              <w:right w:val="single" w:sz="4" w:space="0" w:color="auto"/>
            </w:tcBorders>
            <w:shd w:val="clear" w:color="auto" w:fill="auto"/>
            <w:noWrap/>
            <w:vAlign w:val="center"/>
            <w:hideMark/>
          </w:tcPr>
          <w:p w14:paraId="7211D4E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2,33</w:t>
            </w:r>
          </w:p>
        </w:tc>
      </w:tr>
      <w:tr w:rsidR="00BF12D5" w:rsidRPr="00BD0223" w14:paraId="5FD28621"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F8F78A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BADY BASSITT</w:t>
            </w:r>
          </w:p>
        </w:tc>
        <w:tc>
          <w:tcPr>
            <w:tcW w:w="1304" w:type="dxa"/>
            <w:tcBorders>
              <w:top w:val="nil"/>
              <w:left w:val="nil"/>
              <w:bottom w:val="single" w:sz="4" w:space="0" w:color="auto"/>
              <w:right w:val="single" w:sz="4" w:space="0" w:color="auto"/>
            </w:tcBorders>
            <w:shd w:val="clear" w:color="auto" w:fill="auto"/>
            <w:noWrap/>
            <w:vAlign w:val="center"/>
            <w:hideMark/>
          </w:tcPr>
          <w:p w14:paraId="3E14DD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33,54</w:t>
            </w:r>
          </w:p>
        </w:tc>
        <w:tc>
          <w:tcPr>
            <w:tcW w:w="1304" w:type="dxa"/>
            <w:tcBorders>
              <w:top w:val="nil"/>
              <w:left w:val="nil"/>
              <w:bottom w:val="single" w:sz="4" w:space="0" w:color="auto"/>
              <w:right w:val="single" w:sz="4" w:space="0" w:color="auto"/>
            </w:tcBorders>
            <w:shd w:val="clear" w:color="auto" w:fill="auto"/>
            <w:noWrap/>
            <w:vAlign w:val="center"/>
            <w:hideMark/>
          </w:tcPr>
          <w:p w14:paraId="417A16F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31,84</w:t>
            </w:r>
          </w:p>
        </w:tc>
        <w:tc>
          <w:tcPr>
            <w:tcW w:w="1304" w:type="dxa"/>
            <w:tcBorders>
              <w:top w:val="nil"/>
              <w:left w:val="nil"/>
              <w:bottom w:val="single" w:sz="4" w:space="0" w:color="auto"/>
              <w:right w:val="single" w:sz="4" w:space="0" w:color="auto"/>
            </w:tcBorders>
            <w:shd w:val="clear" w:color="auto" w:fill="auto"/>
            <w:noWrap/>
            <w:vAlign w:val="center"/>
            <w:hideMark/>
          </w:tcPr>
          <w:p w14:paraId="03CF7BE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28,71</w:t>
            </w:r>
          </w:p>
        </w:tc>
        <w:tc>
          <w:tcPr>
            <w:tcW w:w="1304" w:type="dxa"/>
            <w:tcBorders>
              <w:top w:val="nil"/>
              <w:left w:val="nil"/>
              <w:bottom w:val="single" w:sz="4" w:space="0" w:color="auto"/>
              <w:right w:val="single" w:sz="4" w:space="0" w:color="auto"/>
            </w:tcBorders>
            <w:shd w:val="clear" w:color="auto" w:fill="auto"/>
            <w:noWrap/>
            <w:vAlign w:val="center"/>
            <w:hideMark/>
          </w:tcPr>
          <w:p w14:paraId="49D086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34,16</w:t>
            </w:r>
          </w:p>
        </w:tc>
      </w:tr>
      <w:tr w:rsidR="00BF12D5" w:rsidRPr="00BD0223" w14:paraId="3162BF6B"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A70828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BALSAMO</w:t>
            </w:r>
          </w:p>
        </w:tc>
        <w:tc>
          <w:tcPr>
            <w:tcW w:w="1304" w:type="dxa"/>
            <w:tcBorders>
              <w:top w:val="nil"/>
              <w:left w:val="nil"/>
              <w:bottom w:val="single" w:sz="4" w:space="0" w:color="auto"/>
              <w:right w:val="single" w:sz="4" w:space="0" w:color="auto"/>
            </w:tcBorders>
            <w:shd w:val="clear" w:color="auto" w:fill="auto"/>
            <w:noWrap/>
            <w:vAlign w:val="center"/>
            <w:hideMark/>
          </w:tcPr>
          <w:p w14:paraId="394BFCB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1,40</w:t>
            </w:r>
          </w:p>
        </w:tc>
        <w:tc>
          <w:tcPr>
            <w:tcW w:w="1304" w:type="dxa"/>
            <w:tcBorders>
              <w:top w:val="nil"/>
              <w:left w:val="nil"/>
              <w:bottom w:val="single" w:sz="4" w:space="0" w:color="auto"/>
              <w:right w:val="single" w:sz="4" w:space="0" w:color="auto"/>
            </w:tcBorders>
            <w:shd w:val="clear" w:color="auto" w:fill="auto"/>
            <w:noWrap/>
            <w:vAlign w:val="center"/>
            <w:hideMark/>
          </w:tcPr>
          <w:p w14:paraId="3329B3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1,39</w:t>
            </w:r>
          </w:p>
        </w:tc>
        <w:tc>
          <w:tcPr>
            <w:tcW w:w="1304" w:type="dxa"/>
            <w:tcBorders>
              <w:top w:val="nil"/>
              <w:left w:val="nil"/>
              <w:bottom w:val="single" w:sz="4" w:space="0" w:color="auto"/>
              <w:right w:val="single" w:sz="4" w:space="0" w:color="auto"/>
            </w:tcBorders>
            <w:shd w:val="clear" w:color="auto" w:fill="auto"/>
            <w:noWrap/>
            <w:vAlign w:val="center"/>
            <w:hideMark/>
          </w:tcPr>
          <w:p w14:paraId="61DD944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1,13</w:t>
            </w:r>
          </w:p>
        </w:tc>
        <w:tc>
          <w:tcPr>
            <w:tcW w:w="1304" w:type="dxa"/>
            <w:tcBorders>
              <w:top w:val="nil"/>
              <w:left w:val="nil"/>
              <w:bottom w:val="single" w:sz="4" w:space="0" w:color="auto"/>
              <w:right w:val="single" w:sz="4" w:space="0" w:color="auto"/>
            </w:tcBorders>
            <w:shd w:val="clear" w:color="auto" w:fill="auto"/>
            <w:noWrap/>
            <w:vAlign w:val="center"/>
            <w:hideMark/>
          </w:tcPr>
          <w:p w14:paraId="0C8DA79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0,98</w:t>
            </w:r>
          </w:p>
        </w:tc>
      </w:tr>
      <w:tr w:rsidR="00BF12D5" w:rsidRPr="00BD0223" w14:paraId="233E2DB0"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4563FD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BARRETOS</w:t>
            </w:r>
          </w:p>
        </w:tc>
        <w:tc>
          <w:tcPr>
            <w:tcW w:w="1304" w:type="dxa"/>
            <w:tcBorders>
              <w:top w:val="nil"/>
              <w:left w:val="nil"/>
              <w:bottom w:val="single" w:sz="4" w:space="0" w:color="auto"/>
              <w:right w:val="single" w:sz="4" w:space="0" w:color="auto"/>
            </w:tcBorders>
            <w:shd w:val="clear" w:color="auto" w:fill="auto"/>
            <w:noWrap/>
            <w:vAlign w:val="center"/>
            <w:hideMark/>
          </w:tcPr>
          <w:p w14:paraId="6BDCF2E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51,72</w:t>
            </w:r>
          </w:p>
        </w:tc>
        <w:tc>
          <w:tcPr>
            <w:tcW w:w="1304" w:type="dxa"/>
            <w:tcBorders>
              <w:top w:val="nil"/>
              <w:left w:val="nil"/>
              <w:bottom w:val="single" w:sz="4" w:space="0" w:color="auto"/>
              <w:right w:val="single" w:sz="4" w:space="0" w:color="auto"/>
            </w:tcBorders>
            <w:shd w:val="clear" w:color="auto" w:fill="auto"/>
            <w:noWrap/>
            <w:vAlign w:val="center"/>
            <w:hideMark/>
          </w:tcPr>
          <w:p w14:paraId="165E634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50,25</w:t>
            </w:r>
          </w:p>
        </w:tc>
        <w:tc>
          <w:tcPr>
            <w:tcW w:w="1304" w:type="dxa"/>
            <w:tcBorders>
              <w:top w:val="nil"/>
              <w:left w:val="nil"/>
              <w:bottom w:val="single" w:sz="4" w:space="0" w:color="auto"/>
              <w:right w:val="single" w:sz="4" w:space="0" w:color="auto"/>
            </w:tcBorders>
            <w:shd w:val="clear" w:color="auto" w:fill="auto"/>
            <w:noWrap/>
            <w:vAlign w:val="center"/>
            <w:hideMark/>
          </w:tcPr>
          <w:p w14:paraId="3E14586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57,32</w:t>
            </w:r>
          </w:p>
        </w:tc>
        <w:tc>
          <w:tcPr>
            <w:tcW w:w="1304" w:type="dxa"/>
            <w:tcBorders>
              <w:top w:val="nil"/>
              <w:left w:val="nil"/>
              <w:bottom w:val="single" w:sz="4" w:space="0" w:color="auto"/>
              <w:right w:val="single" w:sz="4" w:space="0" w:color="auto"/>
            </w:tcBorders>
            <w:shd w:val="clear" w:color="auto" w:fill="auto"/>
            <w:noWrap/>
            <w:vAlign w:val="center"/>
            <w:hideMark/>
          </w:tcPr>
          <w:p w14:paraId="2D90B36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61,19</w:t>
            </w:r>
          </w:p>
        </w:tc>
      </w:tr>
      <w:tr w:rsidR="00BF12D5" w:rsidRPr="00BD0223" w14:paraId="38B77B7D"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36B7B2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BARRINHA</w:t>
            </w:r>
          </w:p>
        </w:tc>
        <w:tc>
          <w:tcPr>
            <w:tcW w:w="1304" w:type="dxa"/>
            <w:tcBorders>
              <w:top w:val="nil"/>
              <w:left w:val="nil"/>
              <w:bottom w:val="single" w:sz="4" w:space="0" w:color="auto"/>
              <w:right w:val="single" w:sz="4" w:space="0" w:color="auto"/>
            </w:tcBorders>
            <w:shd w:val="clear" w:color="auto" w:fill="auto"/>
            <w:noWrap/>
            <w:vAlign w:val="center"/>
            <w:hideMark/>
          </w:tcPr>
          <w:p w14:paraId="6D6136B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2,76</w:t>
            </w:r>
          </w:p>
        </w:tc>
        <w:tc>
          <w:tcPr>
            <w:tcW w:w="1304" w:type="dxa"/>
            <w:tcBorders>
              <w:top w:val="nil"/>
              <w:left w:val="nil"/>
              <w:bottom w:val="single" w:sz="4" w:space="0" w:color="auto"/>
              <w:right w:val="single" w:sz="4" w:space="0" w:color="auto"/>
            </w:tcBorders>
            <w:shd w:val="clear" w:color="auto" w:fill="auto"/>
            <w:noWrap/>
            <w:vAlign w:val="center"/>
            <w:hideMark/>
          </w:tcPr>
          <w:p w14:paraId="457C6A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2,68</w:t>
            </w:r>
          </w:p>
        </w:tc>
        <w:tc>
          <w:tcPr>
            <w:tcW w:w="1304" w:type="dxa"/>
            <w:tcBorders>
              <w:top w:val="nil"/>
              <w:left w:val="nil"/>
              <w:bottom w:val="single" w:sz="4" w:space="0" w:color="auto"/>
              <w:right w:val="single" w:sz="4" w:space="0" w:color="auto"/>
            </w:tcBorders>
            <w:shd w:val="clear" w:color="auto" w:fill="auto"/>
            <w:noWrap/>
            <w:vAlign w:val="center"/>
            <w:hideMark/>
          </w:tcPr>
          <w:p w14:paraId="5110E1C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2,69</w:t>
            </w:r>
          </w:p>
        </w:tc>
        <w:tc>
          <w:tcPr>
            <w:tcW w:w="1304" w:type="dxa"/>
            <w:tcBorders>
              <w:top w:val="nil"/>
              <w:left w:val="nil"/>
              <w:bottom w:val="single" w:sz="4" w:space="0" w:color="auto"/>
              <w:right w:val="single" w:sz="4" w:space="0" w:color="auto"/>
            </w:tcBorders>
            <w:shd w:val="clear" w:color="auto" w:fill="auto"/>
            <w:noWrap/>
            <w:vAlign w:val="center"/>
            <w:hideMark/>
          </w:tcPr>
          <w:p w14:paraId="0FB1F2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3,08</w:t>
            </w:r>
          </w:p>
        </w:tc>
      </w:tr>
      <w:tr w:rsidR="00BF12D5" w:rsidRPr="00BD0223" w14:paraId="2881ABF9"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2093D6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BATATAIS</w:t>
            </w:r>
          </w:p>
        </w:tc>
        <w:tc>
          <w:tcPr>
            <w:tcW w:w="1304" w:type="dxa"/>
            <w:tcBorders>
              <w:top w:val="nil"/>
              <w:left w:val="nil"/>
              <w:bottom w:val="single" w:sz="4" w:space="0" w:color="auto"/>
              <w:right w:val="single" w:sz="4" w:space="0" w:color="auto"/>
            </w:tcBorders>
            <w:shd w:val="clear" w:color="auto" w:fill="auto"/>
            <w:noWrap/>
            <w:vAlign w:val="center"/>
            <w:hideMark/>
          </w:tcPr>
          <w:p w14:paraId="678688B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27,69</w:t>
            </w:r>
          </w:p>
        </w:tc>
        <w:tc>
          <w:tcPr>
            <w:tcW w:w="1304" w:type="dxa"/>
            <w:tcBorders>
              <w:top w:val="nil"/>
              <w:left w:val="nil"/>
              <w:bottom w:val="single" w:sz="4" w:space="0" w:color="auto"/>
              <w:right w:val="single" w:sz="4" w:space="0" w:color="auto"/>
            </w:tcBorders>
            <w:shd w:val="clear" w:color="auto" w:fill="auto"/>
            <w:noWrap/>
            <w:vAlign w:val="center"/>
            <w:hideMark/>
          </w:tcPr>
          <w:p w14:paraId="2F36BF2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29,10</w:t>
            </w:r>
          </w:p>
        </w:tc>
        <w:tc>
          <w:tcPr>
            <w:tcW w:w="1304" w:type="dxa"/>
            <w:tcBorders>
              <w:top w:val="nil"/>
              <w:left w:val="nil"/>
              <w:bottom w:val="single" w:sz="4" w:space="0" w:color="auto"/>
              <w:right w:val="single" w:sz="4" w:space="0" w:color="auto"/>
            </w:tcBorders>
            <w:shd w:val="clear" w:color="auto" w:fill="auto"/>
            <w:noWrap/>
            <w:vAlign w:val="center"/>
            <w:hideMark/>
          </w:tcPr>
          <w:p w14:paraId="624FEE4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28,66</w:t>
            </w:r>
          </w:p>
        </w:tc>
        <w:tc>
          <w:tcPr>
            <w:tcW w:w="1304" w:type="dxa"/>
            <w:tcBorders>
              <w:top w:val="nil"/>
              <w:left w:val="nil"/>
              <w:bottom w:val="single" w:sz="4" w:space="0" w:color="auto"/>
              <w:right w:val="single" w:sz="4" w:space="0" w:color="auto"/>
            </w:tcBorders>
            <w:shd w:val="clear" w:color="auto" w:fill="auto"/>
            <w:noWrap/>
            <w:vAlign w:val="center"/>
            <w:hideMark/>
          </w:tcPr>
          <w:p w14:paraId="2F74A24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28,32</w:t>
            </w:r>
          </w:p>
        </w:tc>
      </w:tr>
      <w:tr w:rsidR="00BF12D5" w:rsidRPr="00BD0223" w14:paraId="2C379535"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1AF3BD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BEBEDOURO</w:t>
            </w:r>
          </w:p>
        </w:tc>
        <w:tc>
          <w:tcPr>
            <w:tcW w:w="1304" w:type="dxa"/>
            <w:tcBorders>
              <w:top w:val="nil"/>
              <w:left w:val="nil"/>
              <w:bottom w:val="single" w:sz="4" w:space="0" w:color="auto"/>
              <w:right w:val="single" w:sz="4" w:space="0" w:color="auto"/>
            </w:tcBorders>
            <w:shd w:val="clear" w:color="auto" w:fill="auto"/>
            <w:noWrap/>
            <w:vAlign w:val="center"/>
            <w:hideMark/>
          </w:tcPr>
          <w:p w14:paraId="0A9651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58,95</w:t>
            </w:r>
          </w:p>
        </w:tc>
        <w:tc>
          <w:tcPr>
            <w:tcW w:w="1304" w:type="dxa"/>
            <w:tcBorders>
              <w:top w:val="nil"/>
              <w:left w:val="nil"/>
              <w:bottom w:val="single" w:sz="4" w:space="0" w:color="auto"/>
              <w:right w:val="single" w:sz="4" w:space="0" w:color="auto"/>
            </w:tcBorders>
            <w:shd w:val="clear" w:color="auto" w:fill="auto"/>
            <w:noWrap/>
            <w:vAlign w:val="center"/>
            <w:hideMark/>
          </w:tcPr>
          <w:p w14:paraId="43C3C13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68,13</w:t>
            </w:r>
          </w:p>
        </w:tc>
        <w:tc>
          <w:tcPr>
            <w:tcW w:w="1304" w:type="dxa"/>
            <w:tcBorders>
              <w:top w:val="nil"/>
              <w:left w:val="nil"/>
              <w:bottom w:val="single" w:sz="4" w:space="0" w:color="auto"/>
              <w:right w:val="single" w:sz="4" w:space="0" w:color="auto"/>
            </w:tcBorders>
            <w:shd w:val="clear" w:color="auto" w:fill="auto"/>
            <w:noWrap/>
            <w:vAlign w:val="center"/>
            <w:hideMark/>
          </w:tcPr>
          <w:p w14:paraId="47D8A59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73,65</w:t>
            </w:r>
          </w:p>
        </w:tc>
        <w:tc>
          <w:tcPr>
            <w:tcW w:w="1304" w:type="dxa"/>
            <w:tcBorders>
              <w:top w:val="nil"/>
              <w:left w:val="nil"/>
              <w:bottom w:val="single" w:sz="4" w:space="0" w:color="auto"/>
              <w:right w:val="single" w:sz="4" w:space="0" w:color="auto"/>
            </w:tcBorders>
            <w:shd w:val="clear" w:color="auto" w:fill="auto"/>
            <w:noWrap/>
            <w:vAlign w:val="center"/>
            <w:hideMark/>
          </w:tcPr>
          <w:p w14:paraId="5D554B5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65,99</w:t>
            </w:r>
          </w:p>
        </w:tc>
      </w:tr>
      <w:tr w:rsidR="00BF12D5" w:rsidRPr="00BD0223" w14:paraId="7D009794"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B63D4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BRODOWSKI</w:t>
            </w:r>
          </w:p>
        </w:tc>
        <w:tc>
          <w:tcPr>
            <w:tcW w:w="1304" w:type="dxa"/>
            <w:tcBorders>
              <w:top w:val="nil"/>
              <w:left w:val="nil"/>
              <w:bottom w:val="single" w:sz="4" w:space="0" w:color="auto"/>
              <w:right w:val="single" w:sz="4" w:space="0" w:color="auto"/>
            </w:tcBorders>
            <w:shd w:val="clear" w:color="auto" w:fill="auto"/>
            <w:noWrap/>
            <w:vAlign w:val="center"/>
            <w:hideMark/>
          </w:tcPr>
          <w:p w14:paraId="6FEA0E7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4,79</w:t>
            </w:r>
          </w:p>
        </w:tc>
        <w:tc>
          <w:tcPr>
            <w:tcW w:w="1304" w:type="dxa"/>
            <w:tcBorders>
              <w:top w:val="nil"/>
              <w:left w:val="nil"/>
              <w:bottom w:val="single" w:sz="4" w:space="0" w:color="auto"/>
              <w:right w:val="single" w:sz="4" w:space="0" w:color="auto"/>
            </w:tcBorders>
            <w:shd w:val="clear" w:color="auto" w:fill="auto"/>
            <w:noWrap/>
            <w:vAlign w:val="center"/>
            <w:hideMark/>
          </w:tcPr>
          <w:p w14:paraId="013A699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4,94</w:t>
            </w:r>
          </w:p>
        </w:tc>
        <w:tc>
          <w:tcPr>
            <w:tcW w:w="1304" w:type="dxa"/>
            <w:tcBorders>
              <w:top w:val="nil"/>
              <w:left w:val="nil"/>
              <w:bottom w:val="single" w:sz="4" w:space="0" w:color="auto"/>
              <w:right w:val="single" w:sz="4" w:space="0" w:color="auto"/>
            </w:tcBorders>
            <w:shd w:val="clear" w:color="auto" w:fill="auto"/>
            <w:noWrap/>
            <w:vAlign w:val="center"/>
            <w:hideMark/>
          </w:tcPr>
          <w:p w14:paraId="38F279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4,60</w:t>
            </w:r>
          </w:p>
        </w:tc>
        <w:tc>
          <w:tcPr>
            <w:tcW w:w="1304" w:type="dxa"/>
            <w:tcBorders>
              <w:top w:val="nil"/>
              <w:left w:val="nil"/>
              <w:bottom w:val="single" w:sz="4" w:space="0" w:color="auto"/>
              <w:right w:val="single" w:sz="4" w:space="0" w:color="auto"/>
            </w:tcBorders>
            <w:shd w:val="clear" w:color="auto" w:fill="auto"/>
            <w:noWrap/>
            <w:vAlign w:val="center"/>
            <w:hideMark/>
          </w:tcPr>
          <w:p w14:paraId="4923C9C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5,81</w:t>
            </w:r>
          </w:p>
        </w:tc>
      </w:tr>
      <w:tr w:rsidR="00BF12D5" w:rsidRPr="00BD0223" w14:paraId="2376D76B"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AC403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BURITIZAL</w:t>
            </w:r>
          </w:p>
        </w:tc>
        <w:tc>
          <w:tcPr>
            <w:tcW w:w="1304" w:type="dxa"/>
            <w:tcBorders>
              <w:top w:val="nil"/>
              <w:left w:val="nil"/>
              <w:bottom w:val="single" w:sz="4" w:space="0" w:color="auto"/>
              <w:right w:val="single" w:sz="4" w:space="0" w:color="auto"/>
            </w:tcBorders>
            <w:shd w:val="clear" w:color="auto" w:fill="auto"/>
            <w:noWrap/>
            <w:vAlign w:val="center"/>
            <w:hideMark/>
          </w:tcPr>
          <w:p w14:paraId="6CB8AD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9,49</w:t>
            </w:r>
          </w:p>
        </w:tc>
        <w:tc>
          <w:tcPr>
            <w:tcW w:w="1304" w:type="dxa"/>
            <w:tcBorders>
              <w:top w:val="nil"/>
              <w:left w:val="nil"/>
              <w:bottom w:val="single" w:sz="4" w:space="0" w:color="auto"/>
              <w:right w:val="single" w:sz="4" w:space="0" w:color="auto"/>
            </w:tcBorders>
            <w:shd w:val="clear" w:color="auto" w:fill="auto"/>
            <w:noWrap/>
            <w:vAlign w:val="center"/>
            <w:hideMark/>
          </w:tcPr>
          <w:p w14:paraId="03F54BF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8,71</w:t>
            </w:r>
          </w:p>
        </w:tc>
        <w:tc>
          <w:tcPr>
            <w:tcW w:w="1304" w:type="dxa"/>
            <w:tcBorders>
              <w:top w:val="nil"/>
              <w:left w:val="nil"/>
              <w:bottom w:val="single" w:sz="4" w:space="0" w:color="auto"/>
              <w:right w:val="single" w:sz="4" w:space="0" w:color="auto"/>
            </w:tcBorders>
            <w:shd w:val="clear" w:color="auto" w:fill="auto"/>
            <w:noWrap/>
            <w:vAlign w:val="center"/>
            <w:hideMark/>
          </w:tcPr>
          <w:p w14:paraId="747122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8,54</w:t>
            </w:r>
          </w:p>
        </w:tc>
        <w:tc>
          <w:tcPr>
            <w:tcW w:w="1304" w:type="dxa"/>
            <w:tcBorders>
              <w:top w:val="nil"/>
              <w:left w:val="nil"/>
              <w:bottom w:val="single" w:sz="4" w:space="0" w:color="auto"/>
              <w:right w:val="single" w:sz="4" w:space="0" w:color="auto"/>
            </w:tcBorders>
            <w:shd w:val="clear" w:color="auto" w:fill="auto"/>
            <w:noWrap/>
            <w:vAlign w:val="center"/>
            <w:hideMark/>
          </w:tcPr>
          <w:p w14:paraId="33461A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9,13</w:t>
            </w:r>
          </w:p>
        </w:tc>
      </w:tr>
      <w:tr w:rsidR="00BF12D5" w:rsidRPr="00BD0223" w14:paraId="083599C4"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132DF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CAJOBI</w:t>
            </w:r>
          </w:p>
        </w:tc>
        <w:tc>
          <w:tcPr>
            <w:tcW w:w="1304" w:type="dxa"/>
            <w:tcBorders>
              <w:top w:val="nil"/>
              <w:left w:val="nil"/>
              <w:bottom w:val="single" w:sz="4" w:space="0" w:color="auto"/>
              <w:right w:val="single" w:sz="4" w:space="0" w:color="auto"/>
            </w:tcBorders>
            <w:shd w:val="clear" w:color="auto" w:fill="auto"/>
            <w:noWrap/>
            <w:vAlign w:val="center"/>
            <w:hideMark/>
          </w:tcPr>
          <w:p w14:paraId="37A455A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2,11</w:t>
            </w:r>
          </w:p>
        </w:tc>
        <w:tc>
          <w:tcPr>
            <w:tcW w:w="1304" w:type="dxa"/>
            <w:tcBorders>
              <w:top w:val="nil"/>
              <w:left w:val="nil"/>
              <w:bottom w:val="single" w:sz="4" w:space="0" w:color="auto"/>
              <w:right w:val="single" w:sz="4" w:space="0" w:color="auto"/>
            </w:tcBorders>
            <w:shd w:val="clear" w:color="auto" w:fill="auto"/>
            <w:noWrap/>
            <w:vAlign w:val="center"/>
            <w:hideMark/>
          </w:tcPr>
          <w:p w14:paraId="3677F17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2,19</w:t>
            </w:r>
          </w:p>
        </w:tc>
        <w:tc>
          <w:tcPr>
            <w:tcW w:w="1304" w:type="dxa"/>
            <w:tcBorders>
              <w:top w:val="nil"/>
              <w:left w:val="nil"/>
              <w:bottom w:val="single" w:sz="4" w:space="0" w:color="auto"/>
              <w:right w:val="single" w:sz="4" w:space="0" w:color="auto"/>
            </w:tcBorders>
            <w:shd w:val="clear" w:color="auto" w:fill="auto"/>
            <w:noWrap/>
            <w:vAlign w:val="center"/>
            <w:hideMark/>
          </w:tcPr>
          <w:p w14:paraId="32783D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2,05</w:t>
            </w:r>
          </w:p>
        </w:tc>
        <w:tc>
          <w:tcPr>
            <w:tcW w:w="1304" w:type="dxa"/>
            <w:tcBorders>
              <w:top w:val="nil"/>
              <w:left w:val="nil"/>
              <w:bottom w:val="single" w:sz="4" w:space="0" w:color="auto"/>
              <w:right w:val="single" w:sz="4" w:space="0" w:color="auto"/>
            </w:tcBorders>
            <w:shd w:val="clear" w:color="auto" w:fill="auto"/>
            <w:noWrap/>
            <w:vAlign w:val="center"/>
            <w:hideMark/>
          </w:tcPr>
          <w:p w14:paraId="49D1945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1,59</w:t>
            </w:r>
          </w:p>
        </w:tc>
      </w:tr>
      <w:tr w:rsidR="00BF12D5" w:rsidRPr="00BD0223" w14:paraId="736175E4"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B58AFD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CAJURU</w:t>
            </w:r>
          </w:p>
        </w:tc>
        <w:tc>
          <w:tcPr>
            <w:tcW w:w="1304" w:type="dxa"/>
            <w:tcBorders>
              <w:top w:val="nil"/>
              <w:left w:val="nil"/>
              <w:bottom w:val="single" w:sz="4" w:space="0" w:color="auto"/>
              <w:right w:val="single" w:sz="4" w:space="0" w:color="auto"/>
            </w:tcBorders>
            <w:shd w:val="clear" w:color="auto" w:fill="auto"/>
            <w:noWrap/>
            <w:vAlign w:val="center"/>
            <w:hideMark/>
          </w:tcPr>
          <w:p w14:paraId="645EE1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3,84</w:t>
            </w:r>
          </w:p>
        </w:tc>
        <w:tc>
          <w:tcPr>
            <w:tcW w:w="1304" w:type="dxa"/>
            <w:tcBorders>
              <w:top w:val="nil"/>
              <w:left w:val="nil"/>
              <w:bottom w:val="single" w:sz="4" w:space="0" w:color="auto"/>
              <w:right w:val="single" w:sz="4" w:space="0" w:color="auto"/>
            </w:tcBorders>
            <w:shd w:val="clear" w:color="auto" w:fill="auto"/>
            <w:noWrap/>
            <w:vAlign w:val="center"/>
            <w:hideMark/>
          </w:tcPr>
          <w:p w14:paraId="2708C09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3,54</w:t>
            </w:r>
          </w:p>
        </w:tc>
        <w:tc>
          <w:tcPr>
            <w:tcW w:w="1304" w:type="dxa"/>
            <w:tcBorders>
              <w:top w:val="nil"/>
              <w:left w:val="nil"/>
              <w:bottom w:val="single" w:sz="4" w:space="0" w:color="auto"/>
              <w:right w:val="single" w:sz="4" w:space="0" w:color="auto"/>
            </w:tcBorders>
            <w:shd w:val="clear" w:color="auto" w:fill="auto"/>
            <w:noWrap/>
            <w:vAlign w:val="center"/>
            <w:hideMark/>
          </w:tcPr>
          <w:p w14:paraId="15D0981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3,13</w:t>
            </w:r>
          </w:p>
        </w:tc>
        <w:tc>
          <w:tcPr>
            <w:tcW w:w="1304" w:type="dxa"/>
            <w:tcBorders>
              <w:top w:val="nil"/>
              <w:left w:val="nil"/>
              <w:bottom w:val="single" w:sz="4" w:space="0" w:color="auto"/>
              <w:right w:val="single" w:sz="4" w:space="0" w:color="auto"/>
            </w:tcBorders>
            <w:shd w:val="clear" w:color="auto" w:fill="auto"/>
            <w:noWrap/>
            <w:vAlign w:val="center"/>
            <w:hideMark/>
          </w:tcPr>
          <w:p w14:paraId="7E67E8F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3,57</w:t>
            </w:r>
          </w:p>
        </w:tc>
      </w:tr>
      <w:tr w:rsidR="00BF12D5" w:rsidRPr="00BD0223" w14:paraId="74E8638F"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CF4992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CANDIDO RODRIGUES</w:t>
            </w:r>
          </w:p>
        </w:tc>
        <w:tc>
          <w:tcPr>
            <w:tcW w:w="1304" w:type="dxa"/>
            <w:tcBorders>
              <w:top w:val="nil"/>
              <w:left w:val="nil"/>
              <w:bottom w:val="single" w:sz="4" w:space="0" w:color="auto"/>
              <w:right w:val="single" w:sz="4" w:space="0" w:color="auto"/>
            </w:tcBorders>
            <w:shd w:val="clear" w:color="auto" w:fill="auto"/>
            <w:noWrap/>
            <w:vAlign w:val="center"/>
            <w:hideMark/>
          </w:tcPr>
          <w:p w14:paraId="4EA4213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0,44</w:t>
            </w:r>
          </w:p>
        </w:tc>
        <w:tc>
          <w:tcPr>
            <w:tcW w:w="1304" w:type="dxa"/>
            <w:tcBorders>
              <w:top w:val="nil"/>
              <w:left w:val="nil"/>
              <w:bottom w:val="single" w:sz="4" w:space="0" w:color="auto"/>
              <w:right w:val="single" w:sz="4" w:space="0" w:color="auto"/>
            </w:tcBorders>
            <w:shd w:val="clear" w:color="auto" w:fill="auto"/>
            <w:noWrap/>
            <w:vAlign w:val="center"/>
            <w:hideMark/>
          </w:tcPr>
          <w:p w14:paraId="099C2AA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0,41</w:t>
            </w:r>
          </w:p>
        </w:tc>
        <w:tc>
          <w:tcPr>
            <w:tcW w:w="1304" w:type="dxa"/>
            <w:tcBorders>
              <w:top w:val="nil"/>
              <w:left w:val="nil"/>
              <w:bottom w:val="single" w:sz="4" w:space="0" w:color="auto"/>
              <w:right w:val="single" w:sz="4" w:space="0" w:color="auto"/>
            </w:tcBorders>
            <w:shd w:val="clear" w:color="auto" w:fill="auto"/>
            <w:noWrap/>
            <w:vAlign w:val="center"/>
            <w:hideMark/>
          </w:tcPr>
          <w:p w14:paraId="471D2E6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0,31</w:t>
            </w:r>
          </w:p>
        </w:tc>
        <w:tc>
          <w:tcPr>
            <w:tcW w:w="1304" w:type="dxa"/>
            <w:tcBorders>
              <w:top w:val="nil"/>
              <w:left w:val="nil"/>
              <w:bottom w:val="single" w:sz="4" w:space="0" w:color="auto"/>
              <w:right w:val="single" w:sz="4" w:space="0" w:color="auto"/>
            </w:tcBorders>
            <w:shd w:val="clear" w:color="auto" w:fill="auto"/>
            <w:noWrap/>
            <w:vAlign w:val="center"/>
            <w:hideMark/>
          </w:tcPr>
          <w:p w14:paraId="458AB2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0,33</w:t>
            </w:r>
          </w:p>
        </w:tc>
      </w:tr>
      <w:tr w:rsidR="00BF12D5" w:rsidRPr="00BD0223" w14:paraId="2200B968"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24048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CARDOSO</w:t>
            </w:r>
          </w:p>
        </w:tc>
        <w:tc>
          <w:tcPr>
            <w:tcW w:w="1304" w:type="dxa"/>
            <w:tcBorders>
              <w:top w:val="nil"/>
              <w:left w:val="nil"/>
              <w:bottom w:val="single" w:sz="4" w:space="0" w:color="auto"/>
              <w:right w:val="single" w:sz="4" w:space="0" w:color="auto"/>
            </w:tcBorders>
            <w:shd w:val="clear" w:color="auto" w:fill="auto"/>
            <w:noWrap/>
            <w:vAlign w:val="center"/>
            <w:hideMark/>
          </w:tcPr>
          <w:p w14:paraId="47258C9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1,92</w:t>
            </w:r>
          </w:p>
        </w:tc>
        <w:tc>
          <w:tcPr>
            <w:tcW w:w="1304" w:type="dxa"/>
            <w:tcBorders>
              <w:top w:val="nil"/>
              <w:left w:val="nil"/>
              <w:bottom w:val="single" w:sz="4" w:space="0" w:color="auto"/>
              <w:right w:val="single" w:sz="4" w:space="0" w:color="auto"/>
            </w:tcBorders>
            <w:shd w:val="clear" w:color="auto" w:fill="auto"/>
            <w:noWrap/>
            <w:vAlign w:val="center"/>
            <w:hideMark/>
          </w:tcPr>
          <w:p w14:paraId="068ECD5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1,60</w:t>
            </w:r>
          </w:p>
        </w:tc>
        <w:tc>
          <w:tcPr>
            <w:tcW w:w="1304" w:type="dxa"/>
            <w:tcBorders>
              <w:top w:val="nil"/>
              <w:left w:val="nil"/>
              <w:bottom w:val="single" w:sz="4" w:space="0" w:color="auto"/>
              <w:right w:val="single" w:sz="4" w:space="0" w:color="auto"/>
            </w:tcBorders>
            <w:shd w:val="clear" w:color="auto" w:fill="auto"/>
            <w:noWrap/>
            <w:vAlign w:val="center"/>
            <w:hideMark/>
          </w:tcPr>
          <w:p w14:paraId="2F68C96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1,48</w:t>
            </w:r>
          </w:p>
        </w:tc>
        <w:tc>
          <w:tcPr>
            <w:tcW w:w="1304" w:type="dxa"/>
            <w:tcBorders>
              <w:top w:val="nil"/>
              <w:left w:val="nil"/>
              <w:bottom w:val="single" w:sz="4" w:space="0" w:color="auto"/>
              <w:right w:val="single" w:sz="4" w:space="0" w:color="auto"/>
            </w:tcBorders>
            <w:shd w:val="clear" w:color="auto" w:fill="auto"/>
            <w:noWrap/>
            <w:vAlign w:val="center"/>
            <w:hideMark/>
          </w:tcPr>
          <w:p w14:paraId="6202D70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1,18</w:t>
            </w:r>
          </w:p>
        </w:tc>
      </w:tr>
      <w:tr w:rsidR="00BF12D5" w:rsidRPr="00BD0223" w14:paraId="1DF0462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0D5A0A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CASSIA DOS COQUEIROS</w:t>
            </w:r>
          </w:p>
        </w:tc>
        <w:tc>
          <w:tcPr>
            <w:tcW w:w="1304" w:type="dxa"/>
            <w:tcBorders>
              <w:top w:val="nil"/>
              <w:left w:val="nil"/>
              <w:bottom w:val="single" w:sz="4" w:space="0" w:color="auto"/>
              <w:right w:val="single" w:sz="4" w:space="0" w:color="auto"/>
            </w:tcBorders>
            <w:shd w:val="clear" w:color="auto" w:fill="auto"/>
            <w:noWrap/>
            <w:vAlign w:val="center"/>
            <w:hideMark/>
          </w:tcPr>
          <w:p w14:paraId="6E80E0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304" w:type="dxa"/>
            <w:tcBorders>
              <w:top w:val="nil"/>
              <w:left w:val="nil"/>
              <w:bottom w:val="single" w:sz="4" w:space="0" w:color="auto"/>
              <w:right w:val="single" w:sz="4" w:space="0" w:color="auto"/>
            </w:tcBorders>
            <w:shd w:val="clear" w:color="auto" w:fill="auto"/>
            <w:noWrap/>
            <w:vAlign w:val="center"/>
            <w:hideMark/>
          </w:tcPr>
          <w:p w14:paraId="6129448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0,21</w:t>
            </w:r>
          </w:p>
        </w:tc>
        <w:tc>
          <w:tcPr>
            <w:tcW w:w="1304" w:type="dxa"/>
            <w:tcBorders>
              <w:top w:val="nil"/>
              <w:left w:val="nil"/>
              <w:bottom w:val="single" w:sz="4" w:space="0" w:color="auto"/>
              <w:right w:val="single" w:sz="4" w:space="0" w:color="auto"/>
            </w:tcBorders>
            <w:shd w:val="clear" w:color="auto" w:fill="auto"/>
            <w:noWrap/>
            <w:vAlign w:val="center"/>
            <w:hideMark/>
          </w:tcPr>
          <w:p w14:paraId="07360F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0,15</w:t>
            </w:r>
          </w:p>
        </w:tc>
        <w:tc>
          <w:tcPr>
            <w:tcW w:w="1304" w:type="dxa"/>
            <w:tcBorders>
              <w:top w:val="nil"/>
              <w:left w:val="nil"/>
              <w:bottom w:val="single" w:sz="4" w:space="0" w:color="auto"/>
              <w:right w:val="single" w:sz="4" w:space="0" w:color="auto"/>
            </w:tcBorders>
            <w:shd w:val="clear" w:color="auto" w:fill="auto"/>
            <w:noWrap/>
            <w:vAlign w:val="center"/>
            <w:hideMark/>
          </w:tcPr>
          <w:p w14:paraId="400F16F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0,12</w:t>
            </w:r>
          </w:p>
        </w:tc>
      </w:tr>
      <w:tr w:rsidR="00BF12D5" w:rsidRPr="00BD0223" w14:paraId="05F86585"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5C083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CATANDUVA</w:t>
            </w:r>
          </w:p>
        </w:tc>
        <w:tc>
          <w:tcPr>
            <w:tcW w:w="1304" w:type="dxa"/>
            <w:tcBorders>
              <w:top w:val="nil"/>
              <w:left w:val="nil"/>
              <w:bottom w:val="single" w:sz="4" w:space="0" w:color="auto"/>
              <w:right w:val="single" w:sz="4" w:space="0" w:color="auto"/>
            </w:tcBorders>
            <w:shd w:val="clear" w:color="auto" w:fill="auto"/>
            <w:noWrap/>
            <w:vAlign w:val="center"/>
            <w:hideMark/>
          </w:tcPr>
          <w:p w14:paraId="6584F28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74,82</w:t>
            </w:r>
          </w:p>
        </w:tc>
        <w:tc>
          <w:tcPr>
            <w:tcW w:w="1304" w:type="dxa"/>
            <w:tcBorders>
              <w:top w:val="nil"/>
              <w:left w:val="nil"/>
              <w:bottom w:val="single" w:sz="4" w:space="0" w:color="auto"/>
              <w:right w:val="single" w:sz="4" w:space="0" w:color="auto"/>
            </w:tcBorders>
            <w:shd w:val="clear" w:color="auto" w:fill="auto"/>
            <w:noWrap/>
            <w:vAlign w:val="center"/>
            <w:hideMark/>
          </w:tcPr>
          <w:p w14:paraId="3858E12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74,59</w:t>
            </w:r>
          </w:p>
        </w:tc>
        <w:tc>
          <w:tcPr>
            <w:tcW w:w="1304" w:type="dxa"/>
            <w:tcBorders>
              <w:top w:val="nil"/>
              <w:left w:val="nil"/>
              <w:bottom w:val="single" w:sz="4" w:space="0" w:color="auto"/>
              <w:right w:val="single" w:sz="4" w:space="0" w:color="auto"/>
            </w:tcBorders>
            <w:shd w:val="clear" w:color="auto" w:fill="auto"/>
            <w:noWrap/>
            <w:vAlign w:val="center"/>
            <w:hideMark/>
          </w:tcPr>
          <w:p w14:paraId="44C1C91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69,92</w:t>
            </w:r>
          </w:p>
        </w:tc>
        <w:tc>
          <w:tcPr>
            <w:tcW w:w="1304" w:type="dxa"/>
            <w:tcBorders>
              <w:top w:val="nil"/>
              <w:left w:val="nil"/>
              <w:bottom w:val="single" w:sz="4" w:space="0" w:color="auto"/>
              <w:right w:val="single" w:sz="4" w:space="0" w:color="auto"/>
            </w:tcBorders>
            <w:shd w:val="clear" w:color="auto" w:fill="auto"/>
            <w:noWrap/>
            <w:vAlign w:val="center"/>
            <w:hideMark/>
          </w:tcPr>
          <w:p w14:paraId="594D4F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62,75</w:t>
            </w:r>
          </w:p>
        </w:tc>
      </w:tr>
      <w:tr w:rsidR="00BF12D5" w:rsidRPr="00BD0223" w14:paraId="5C42E04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55B55B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CATIGUA</w:t>
            </w:r>
          </w:p>
        </w:tc>
        <w:tc>
          <w:tcPr>
            <w:tcW w:w="1304" w:type="dxa"/>
            <w:tcBorders>
              <w:top w:val="nil"/>
              <w:left w:val="nil"/>
              <w:bottom w:val="single" w:sz="4" w:space="0" w:color="auto"/>
              <w:right w:val="single" w:sz="4" w:space="0" w:color="auto"/>
            </w:tcBorders>
            <w:shd w:val="clear" w:color="auto" w:fill="auto"/>
            <w:noWrap/>
            <w:vAlign w:val="center"/>
            <w:hideMark/>
          </w:tcPr>
          <w:p w14:paraId="3BF4226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12,63</w:t>
            </w:r>
          </w:p>
        </w:tc>
        <w:tc>
          <w:tcPr>
            <w:tcW w:w="1304" w:type="dxa"/>
            <w:tcBorders>
              <w:top w:val="nil"/>
              <w:left w:val="nil"/>
              <w:bottom w:val="single" w:sz="4" w:space="0" w:color="auto"/>
              <w:right w:val="single" w:sz="4" w:space="0" w:color="auto"/>
            </w:tcBorders>
            <w:shd w:val="clear" w:color="auto" w:fill="auto"/>
            <w:noWrap/>
            <w:vAlign w:val="center"/>
            <w:hideMark/>
          </w:tcPr>
          <w:p w14:paraId="1FD78F0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12,41</w:t>
            </w:r>
          </w:p>
        </w:tc>
        <w:tc>
          <w:tcPr>
            <w:tcW w:w="1304" w:type="dxa"/>
            <w:tcBorders>
              <w:top w:val="nil"/>
              <w:left w:val="nil"/>
              <w:bottom w:val="single" w:sz="4" w:space="0" w:color="auto"/>
              <w:right w:val="single" w:sz="4" w:space="0" w:color="auto"/>
            </w:tcBorders>
            <w:shd w:val="clear" w:color="auto" w:fill="auto"/>
            <w:noWrap/>
            <w:vAlign w:val="center"/>
            <w:hideMark/>
          </w:tcPr>
          <w:p w14:paraId="2B95A97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11,61</w:t>
            </w:r>
          </w:p>
        </w:tc>
        <w:tc>
          <w:tcPr>
            <w:tcW w:w="1304" w:type="dxa"/>
            <w:tcBorders>
              <w:top w:val="nil"/>
              <w:left w:val="nil"/>
              <w:bottom w:val="single" w:sz="4" w:space="0" w:color="auto"/>
              <w:right w:val="single" w:sz="4" w:space="0" w:color="auto"/>
            </w:tcBorders>
            <w:shd w:val="clear" w:color="auto" w:fill="auto"/>
            <w:noWrap/>
            <w:vAlign w:val="center"/>
            <w:hideMark/>
          </w:tcPr>
          <w:p w14:paraId="279362D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11,21</w:t>
            </w:r>
          </w:p>
        </w:tc>
      </w:tr>
      <w:tr w:rsidR="00BF12D5" w:rsidRPr="00BD0223" w14:paraId="6D1A22FE"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CA354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CEDRAL</w:t>
            </w:r>
          </w:p>
        </w:tc>
        <w:tc>
          <w:tcPr>
            <w:tcW w:w="1304" w:type="dxa"/>
            <w:tcBorders>
              <w:top w:val="nil"/>
              <w:left w:val="nil"/>
              <w:bottom w:val="single" w:sz="4" w:space="0" w:color="auto"/>
              <w:right w:val="single" w:sz="4" w:space="0" w:color="auto"/>
            </w:tcBorders>
            <w:shd w:val="clear" w:color="auto" w:fill="auto"/>
            <w:noWrap/>
            <w:vAlign w:val="center"/>
            <w:hideMark/>
          </w:tcPr>
          <w:p w14:paraId="70DDF50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2,40</w:t>
            </w:r>
          </w:p>
        </w:tc>
        <w:tc>
          <w:tcPr>
            <w:tcW w:w="1304" w:type="dxa"/>
            <w:tcBorders>
              <w:top w:val="nil"/>
              <w:left w:val="nil"/>
              <w:bottom w:val="single" w:sz="4" w:space="0" w:color="auto"/>
              <w:right w:val="single" w:sz="4" w:space="0" w:color="auto"/>
            </w:tcBorders>
            <w:shd w:val="clear" w:color="auto" w:fill="auto"/>
            <w:noWrap/>
            <w:vAlign w:val="center"/>
            <w:hideMark/>
          </w:tcPr>
          <w:p w14:paraId="0E0F20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2,37</w:t>
            </w:r>
          </w:p>
        </w:tc>
        <w:tc>
          <w:tcPr>
            <w:tcW w:w="1304" w:type="dxa"/>
            <w:tcBorders>
              <w:top w:val="nil"/>
              <w:left w:val="nil"/>
              <w:bottom w:val="single" w:sz="4" w:space="0" w:color="auto"/>
              <w:right w:val="single" w:sz="4" w:space="0" w:color="auto"/>
            </w:tcBorders>
            <w:shd w:val="clear" w:color="auto" w:fill="auto"/>
            <w:noWrap/>
            <w:vAlign w:val="center"/>
            <w:hideMark/>
          </w:tcPr>
          <w:p w14:paraId="7553707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2,29</w:t>
            </w:r>
          </w:p>
        </w:tc>
        <w:tc>
          <w:tcPr>
            <w:tcW w:w="1304" w:type="dxa"/>
            <w:tcBorders>
              <w:top w:val="nil"/>
              <w:left w:val="nil"/>
              <w:bottom w:val="single" w:sz="4" w:space="0" w:color="auto"/>
              <w:right w:val="single" w:sz="4" w:space="0" w:color="auto"/>
            </w:tcBorders>
            <w:shd w:val="clear" w:color="auto" w:fill="auto"/>
            <w:noWrap/>
            <w:vAlign w:val="center"/>
            <w:hideMark/>
          </w:tcPr>
          <w:p w14:paraId="1D0F401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1,80</w:t>
            </w:r>
          </w:p>
        </w:tc>
      </w:tr>
      <w:tr w:rsidR="00BF12D5" w:rsidRPr="00BD0223" w14:paraId="1AC12F03"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EBD61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COLINA</w:t>
            </w:r>
          </w:p>
        </w:tc>
        <w:tc>
          <w:tcPr>
            <w:tcW w:w="1304" w:type="dxa"/>
            <w:tcBorders>
              <w:top w:val="nil"/>
              <w:left w:val="nil"/>
              <w:bottom w:val="single" w:sz="4" w:space="0" w:color="auto"/>
              <w:right w:val="single" w:sz="4" w:space="0" w:color="auto"/>
            </w:tcBorders>
            <w:shd w:val="clear" w:color="auto" w:fill="auto"/>
            <w:noWrap/>
            <w:vAlign w:val="center"/>
            <w:hideMark/>
          </w:tcPr>
          <w:p w14:paraId="624ECB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14,98</w:t>
            </w:r>
          </w:p>
        </w:tc>
        <w:tc>
          <w:tcPr>
            <w:tcW w:w="1304" w:type="dxa"/>
            <w:tcBorders>
              <w:top w:val="nil"/>
              <w:left w:val="nil"/>
              <w:bottom w:val="single" w:sz="4" w:space="0" w:color="auto"/>
              <w:right w:val="single" w:sz="4" w:space="0" w:color="auto"/>
            </w:tcBorders>
            <w:shd w:val="clear" w:color="auto" w:fill="auto"/>
            <w:noWrap/>
            <w:vAlign w:val="center"/>
            <w:hideMark/>
          </w:tcPr>
          <w:p w14:paraId="03ECEB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14,41</w:t>
            </w:r>
          </w:p>
        </w:tc>
        <w:tc>
          <w:tcPr>
            <w:tcW w:w="1304" w:type="dxa"/>
            <w:tcBorders>
              <w:top w:val="nil"/>
              <w:left w:val="nil"/>
              <w:bottom w:val="single" w:sz="4" w:space="0" w:color="auto"/>
              <w:right w:val="single" w:sz="4" w:space="0" w:color="auto"/>
            </w:tcBorders>
            <w:shd w:val="clear" w:color="auto" w:fill="auto"/>
            <w:noWrap/>
            <w:vAlign w:val="center"/>
            <w:hideMark/>
          </w:tcPr>
          <w:p w14:paraId="33188B3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13,67</w:t>
            </w:r>
          </w:p>
        </w:tc>
        <w:tc>
          <w:tcPr>
            <w:tcW w:w="1304" w:type="dxa"/>
            <w:tcBorders>
              <w:top w:val="nil"/>
              <w:left w:val="nil"/>
              <w:bottom w:val="single" w:sz="4" w:space="0" w:color="auto"/>
              <w:right w:val="single" w:sz="4" w:space="0" w:color="auto"/>
            </w:tcBorders>
            <w:shd w:val="clear" w:color="auto" w:fill="auto"/>
            <w:noWrap/>
            <w:vAlign w:val="center"/>
            <w:hideMark/>
          </w:tcPr>
          <w:p w14:paraId="4FA2270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12,16</w:t>
            </w:r>
          </w:p>
        </w:tc>
      </w:tr>
      <w:tr w:rsidR="00BF12D5" w:rsidRPr="00BD0223" w14:paraId="50DA302F"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03541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COLOMBIA</w:t>
            </w:r>
          </w:p>
        </w:tc>
        <w:tc>
          <w:tcPr>
            <w:tcW w:w="1304" w:type="dxa"/>
            <w:tcBorders>
              <w:top w:val="nil"/>
              <w:left w:val="nil"/>
              <w:bottom w:val="single" w:sz="4" w:space="0" w:color="auto"/>
              <w:right w:val="single" w:sz="4" w:space="0" w:color="auto"/>
            </w:tcBorders>
            <w:shd w:val="clear" w:color="auto" w:fill="auto"/>
            <w:noWrap/>
            <w:vAlign w:val="center"/>
            <w:hideMark/>
          </w:tcPr>
          <w:p w14:paraId="1616540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12,17</w:t>
            </w:r>
          </w:p>
        </w:tc>
        <w:tc>
          <w:tcPr>
            <w:tcW w:w="1304" w:type="dxa"/>
            <w:tcBorders>
              <w:top w:val="nil"/>
              <w:left w:val="nil"/>
              <w:bottom w:val="single" w:sz="4" w:space="0" w:color="auto"/>
              <w:right w:val="single" w:sz="4" w:space="0" w:color="auto"/>
            </w:tcBorders>
            <w:shd w:val="clear" w:color="auto" w:fill="auto"/>
            <w:noWrap/>
            <w:vAlign w:val="center"/>
            <w:hideMark/>
          </w:tcPr>
          <w:p w14:paraId="71A2677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12,57</w:t>
            </w:r>
          </w:p>
        </w:tc>
        <w:tc>
          <w:tcPr>
            <w:tcW w:w="1304" w:type="dxa"/>
            <w:tcBorders>
              <w:top w:val="nil"/>
              <w:left w:val="nil"/>
              <w:bottom w:val="single" w:sz="4" w:space="0" w:color="auto"/>
              <w:right w:val="single" w:sz="4" w:space="0" w:color="auto"/>
            </w:tcBorders>
            <w:shd w:val="clear" w:color="auto" w:fill="auto"/>
            <w:noWrap/>
            <w:vAlign w:val="center"/>
            <w:hideMark/>
          </w:tcPr>
          <w:p w14:paraId="7E67F6A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13,22</w:t>
            </w:r>
          </w:p>
        </w:tc>
        <w:tc>
          <w:tcPr>
            <w:tcW w:w="1304" w:type="dxa"/>
            <w:tcBorders>
              <w:top w:val="nil"/>
              <w:left w:val="nil"/>
              <w:bottom w:val="single" w:sz="4" w:space="0" w:color="auto"/>
              <w:right w:val="single" w:sz="4" w:space="0" w:color="auto"/>
            </w:tcBorders>
            <w:shd w:val="clear" w:color="auto" w:fill="auto"/>
            <w:noWrap/>
            <w:vAlign w:val="center"/>
            <w:hideMark/>
          </w:tcPr>
          <w:p w14:paraId="756F7B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12,68</w:t>
            </w:r>
          </w:p>
        </w:tc>
      </w:tr>
      <w:tr w:rsidR="00BF12D5" w:rsidRPr="00BD0223" w14:paraId="06A45E04"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5D77549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COSMORAMA</w:t>
            </w:r>
          </w:p>
        </w:tc>
        <w:tc>
          <w:tcPr>
            <w:tcW w:w="1304" w:type="dxa"/>
            <w:tcBorders>
              <w:top w:val="nil"/>
              <w:left w:val="nil"/>
              <w:bottom w:val="single" w:sz="4" w:space="0" w:color="auto"/>
              <w:right w:val="single" w:sz="4" w:space="0" w:color="auto"/>
            </w:tcBorders>
            <w:shd w:val="clear" w:color="auto" w:fill="auto"/>
            <w:noWrap/>
            <w:vAlign w:val="center"/>
            <w:hideMark/>
          </w:tcPr>
          <w:p w14:paraId="45F5E73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0,93</w:t>
            </w:r>
          </w:p>
        </w:tc>
        <w:tc>
          <w:tcPr>
            <w:tcW w:w="1304" w:type="dxa"/>
            <w:tcBorders>
              <w:top w:val="nil"/>
              <w:left w:val="nil"/>
              <w:bottom w:val="single" w:sz="4" w:space="0" w:color="auto"/>
              <w:right w:val="single" w:sz="4" w:space="0" w:color="auto"/>
            </w:tcBorders>
            <w:shd w:val="clear" w:color="auto" w:fill="auto"/>
            <w:noWrap/>
            <w:vAlign w:val="center"/>
            <w:hideMark/>
          </w:tcPr>
          <w:p w14:paraId="05B3530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0,76</w:t>
            </w:r>
          </w:p>
        </w:tc>
        <w:tc>
          <w:tcPr>
            <w:tcW w:w="1304" w:type="dxa"/>
            <w:tcBorders>
              <w:top w:val="nil"/>
              <w:left w:val="nil"/>
              <w:bottom w:val="single" w:sz="4" w:space="0" w:color="auto"/>
              <w:right w:val="single" w:sz="4" w:space="0" w:color="auto"/>
            </w:tcBorders>
            <w:shd w:val="clear" w:color="auto" w:fill="auto"/>
            <w:noWrap/>
            <w:vAlign w:val="center"/>
            <w:hideMark/>
          </w:tcPr>
          <w:p w14:paraId="4B85735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0,51</w:t>
            </w:r>
          </w:p>
        </w:tc>
        <w:tc>
          <w:tcPr>
            <w:tcW w:w="1304" w:type="dxa"/>
            <w:tcBorders>
              <w:top w:val="nil"/>
              <w:left w:val="nil"/>
              <w:bottom w:val="single" w:sz="4" w:space="0" w:color="auto"/>
              <w:right w:val="single" w:sz="4" w:space="0" w:color="auto"/>
            </w:tcBorders>
            <w:shd w:val="clear" w:color="auto" w:fill="auto"/>
            <w:noWrap/>
            <w:vAlign w:val="center"/>
            <w:hideMark/>
          </w:tcPr>
          <w:p w14:paraId="59A76A4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0,55</w:t>
            </w:r>
          </w:p>
        </w:tc>
      </w:tr>
      <w:tr w:rsidR="00BF12D5" w:rsidRPr="00BD0223" w14:paraId="3AF691E7"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AB7727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CRAVINHOS</w:t>
            </w:r>
          </w:p>
        </w:tc>
        <w:tc>
          <w:tcPr>
            <w:tcW w:w="1304" w:type="dxa"/>
            <w:tcBorders>
              <w:top w:val="nil"/>
              <w:left w:val="nil"/>
              <w:bottom w:val="single" w:sz="4" w:space="0" w:color="auto"/>
              <w:right w:val="single" w:sz="4" w:space="0" w:color="auto"/>
            </w:tcBorders>
            <w:shd w:val="clear" w:color="auto" w:fill="auto"/>
            <w:noWrap/>
            <w:vAlign w:val="center"/>
            <w:hideMark/>
          </w:tcPr>
          <w:p w14:paraId="1AAFA6E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6,83</w:t>
            </w:r>
          </w:p>
        </w:tc>
        <w:tc>
          <w:tcPr>
            <w:tcW w:w="1304" w:type="dxa"/>
            <w:tcBorders>
              <w:top w:val="nil"/>
              <w:left w:val="nil"/>
              <w:bottom w:val="single" w:sz="4" w:space="0" w:color="auto"/>
              <w:right w:val="single" w:sz="4" w:space="0" w:color="auto"/>
            </w:tcBorders>
            <w:shd w:val="clear" w:color="auto" w:fill="auto"/>
            <w:noWrap/>
            <w:vAlign w:val="center"/>
            <w:hideMark/>
          </w:tcPr>
          <w:p w14:paraId="5FA304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6,36</w:t>
            </w:r>
          </w:p>
        </w:tc>
        <w:tc>
          <w:tcPr>
            <w:tcW w:w="1304" w:type="dxa"/>
            <w:tcBorders>
              <w:top w:val="nil"/>
              <w:left w:val="nil"/>
              <w:bottom w:val="single" w:sz="4" w:space="0" w:color="auto"/>
              <w:right w:val="single" w:sz="4" w:space="0" w:color="auto"/>
            </w:tcBorders>
            <w:shd w:val="clear" w:color="auto" w:fill="auto"/>
            <w:noWrap/>
            <w:vAlign w:val="center"/>
            <w:hideMark/>
          </w:tcPr>
          <w:p w14:paraId="0BEC890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9,16</w:t>
            </w:r>
          </w:p>
        </w:tc>
        <w:tc>
          <w:tcPr>
            <w:tcW w:w="1304" w:type="dxa"/>
            <w:tcBorders>
              <w:top w:val="nil"/>
              <w:left w:val="nil"/>
              <w:bottom w:val="single" w:sz="4" w:space="0" w:color="auto"/>
              <w:right w:val="single" w:sz="4" w:space="0" w:color="auto"/>
            </w:tcBorders>
            <w:shd w:val="clear" w:color="auto" w:fill="auto"/>
            <w:noWrap/>
            <w:vAlign w:val="center"/>
            <w:hideMark/>
          </w:tcPr>
          <w:p w14:paraId="0C51D8C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12,36</w:t>
            </w:r>
          </w:p>
        </w:tc>
      </w:tr>
      <w:tr w:rsidR="00BF12D5" w:rsidRPr="00BD0223" w14:paraId="22A1D1EC"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04820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CRISTAIS PAULISTA</w:t>
            </w:r>
          </w:p>
        </w:tc>
        <w:tc>
          <w:tcPr>
            <w:tcW w:w="1304" w:type="dxa"/>
            <w:tcBorders>
              <w:top w:val="nil"/>
              <w:left w:val="nil"/>
              <w:bottom w:val="single" w:sz="4" w:space="0" w:color="auto"/>
              <w:right w:val="single" w:sz="4" w:space="0" w:color="auto"/>
            </w:tcBorders>
            <w:shd w:val="clear" w:color="auto" w:fill="auto"/>
            <w:noWrap/>
            <w:vAlign w:val="center"/>
            <w:hideMark/>
          </w:tcPr>
          <w:p w14:paraId="0A15FF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3,28</w:t>
            </w:r>
          </w:p>
        </w:tc>
        <w:tc>
          <w:tcPr>
            <w:tcW w:w="1304" w:type="dxa"/>
            <w:tcBorders>
              <w:top w:val="nil"/>
              <w:left w:val="nil"/>
              <w:bottom w:val="single" w:sz="4" w:space="0" w:color="auto"/>
              <w:right w:val="single" w:sz="4" w:space="0" w:color="auto"/>
            </w:tcBorders>
            <w:shd w:val="clear" w:color="auto" w:fill="auto"/>
            <w:noWrap/>
            <w:vAlign w:val="center"/>
            <w:hideMark/>
          </w:tcPr>
          <w:p w14:paraId="08F3795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0,66</w:t>
            </w:r>
          </w:p>
        </w:tc>
        <w:tc>
          <w:tcPr>
            <w:tcW w:w="1304" w:type="dxa"/>
            <w:tcBorders>
              <w:top w:val="nil"/>
              <w:left w:val="nil"/>
              <w:bottom w:val="single" w:sz="4" w:space="0" w:color="auto"/>
              <w:right w:val="single" w:sz="4" w:space="0" w:color="auto"/>
            </w:tcBorders>
            <w:shd w:val="clear" w:color="auto" w:fill="auto"/>
            <w:noWrap/>
            <w:vAlign w:val="center"/>
            <w:hideMark/>
          </w:tcPr>
          <w:p w14:paraId="7F81F80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0,65</w:t>
            </w:r>
          </w:p>
        </w:tc>
        <w:tc>
          <w:tcPr>
            <w:tcW w:w="1304" w:type="dxa"/>
            <w:tcBorders>
              <w:top w:val="nil"/>
              <w:left w:val="nil"/>
              <w:bottom w:val="single" w:sz="4" w:space="0" w:color="auto"/>
              <w:right w:val="single" w:sz="4" w:space="0" w:color="auto"/>
            </w:tcBorders>
            <w:shd w:val="clear" w:color="auto" w:fill="auto"/>
            <w:noWrap/>
            <w:vAlign w:val="center"/>
            <w:hideMark/>
          </w:tcPr>
          <w:p w14:paraId="3815426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0,59</w:t>
            </w:r>
          </w:p>
        </w:tc>
      </w:tr>
      <w:tr w:rsidR="00BF12D5" w:rsidRPr="00BD0223" w14:paraId="07D75FC8"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4FF166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DIRCE REIS</w:t>
            </w:r>
          </w:p>
        </w:tc>
        <w:tc>
          <w:tcPr>
            <w:tcW w:w="1304" w:type="dxa"/>
            <w:tcBorders>
              <w:top w:val="nil"/>
              <w:left w:val="nil"/>
              <w:bottom w:val="single" w:sz="4" w:space="0" w:color="auto"/>
              <w:right w:val="single" w:sz="4" w:space="0" w:color="auto"/>
            </w:tcBorders>
            <w:shd w:val="clear" w:color="auto" w:fill="auto"/>
            <w:noWrap/>
            <w:vAlign w:val="center"/>
            <w:hideMark/>
          </w:tcPr>
          <w:p w14:paraId="390BA5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0,20</w:t>
            </w:r>
          </w:p>
        </w:tc>
        <w:tc>
          <w:tcPr>
            <w:tcW w:w="1304" w:type="dxa"/>
            <w:tcBorders>
              <w:top w:val="nil"/>
              <w:left w:val="nil"/>
              <w:bottom w:val="single" w:sz="4" w:space="0" w:color="auto"/>
              <w:right w:val="single" w:sz="4" w:space="0" w:color="auto"/>
            </w:tcBorders>
            <w:shd w:val="clear" w:color="auto" w:fill="auto"/>
            <w:noWrap/>
            <w:vAlign w:val="center"/>
            <w:hideMark/>
          </w:tcPr>
          <w:p w14:paraId="0ED99D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0,23</w:t>
            </w:r>
          </w:p>
        </w:tc>
        <w:tc>
          <w:tcPr>
            <w:tcW w:w="1304" w:type="dxa"/>
            <w:tcBorders>
              <w:top w:val="nil"/>
              <w:left w:val="nil"/>
              <w:bottom w:val="single" w:sz="4" w:space="0" w:color="auto"/>
              <w:right w:val="single" w:sz="4" w:space="0" w:color="auto"/>
            </w:tcBorders>
            <w:shd w:val="clear" w:color="auto" w:fill="auto"/>
            <w:noWrap/>
            <w:vAlign w:val="center"/>
            <w:hideMark/>
          </w:tcPr>
          <w:p w14:paraId="4D8D942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0,26</w:t>
            </w:r>
          </w:p>
        </w:tc>
        <w:tc>
          <w:tcPr>
            <w:tcW w:w="1304" w:type="dxa"/>
            <w:tcBorders>
              <w:top w:val="nil"/>
              <w:left w:val="nil"/>
              <w:bottom w:val="single" w:sz="4" w:space="0" w:color="auto"/>
              <w:right w:val="single" w:sz="4" w:space="0" w:color="auto"/>
            </w:tcBorders>
            <w:shd w:val="clear" w:color="auto" w:fill="auto"/>
            <w:noWrap/>
            <w:vAlign w:val="center"/>
            <w:hideMark/>
          </w:tcPr>
          <w:p w14:paraId="4B794EF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0,23</w:t>
            </w:r>
          </w:p>
        </w:tc>
      </w:tr>
      <w:tr w:rsidR="00BF12D5" w:rsidRPr="00BD0223" w14:paraId="19B6DCD7"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C822D6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DOLCINOPOLIS</w:t>
            </w:r>
          </w:p>
        </w:tc>
        <w:tc>
          <w:tcPr>
            <w:tcW w:w="1304" w:type="dxa"/>
            <w:tcBorders>
              <w:top w:val="nil"/>
              <w:left w:val="nil"/>
              <w:bottom w:val="single" w:sz="4" w:space="0" w:color="auto"/>
              <w:right w:val="single" w:sz="4" w:space="0" w:color="auto"/>
            </w:tcBorders>
            <w:shd w:val="clear" w:color="auto" w:fill="auto"/>
            <w:noWrap/>
            <w:vAlign w:val="center"/>
            <w:hideMark/>
          </w:tcPr>
          <w:p w14:paraId="5914DFF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0,47</w:t>
            </w:r>
          </w:p>
        </w:tc>
        <w:tc>
          <w:tcPr>
            <w:tcW w:w="1304" w:type="dxa"/>
            <w:tcBorders>
              <w:top w:val="nil"/>
              <w:left w:val="nil"/>
              <w:bottom w:val="single" w:sz="4" w:space="0" w:color="auto"/>
              <w:right w:val="single" w:sz="4" w:space="0" w:color="auto"/>
            </w:tcBorders>
            <w:shd w:val="clear" w:color="auto" w:fill="auto"/>
            <w:noWrap/>
            <w:vAlign w:val="center"/>
            <w:hideMark/>
          </w:tcPr>
          <w:p w14:paraId="10E2252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0,47</w:t>
            </w:r>
          </w:p>
        </w:tc>
        <w:tc>
          <w:tcPr>
            <w:tcW w:w="1304" w:type="dxa"/>
            <w:tcBorders>
              <w:top w:val="nil"/>
              <w:left w:val="nil"/>
              <w:bottom w:val="single" w:sz="4" w:space="0" w:color="auto"/>
              <w:right w:val="single" w:sz="4" w:space="0" w:color="auto"/>
            </w:tcBorders>
            <w:shd w:val="clear" w:color="auto" w:fill="auto"/>
            <w:noWrap/>
            <w:vAlign w:val="center"/>
            <w:hideMark/>
          </w:tcPr>
          <w:p w14:paraId="4EB8627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0,48</w:t>
            </w:r>
          </w:p>
        </w:tc>
        <w:tc>
          <w:tcPr>
            <w:tcW w:w="1304" w:type="dxa"/>
            <w:tcBorders>
              <w:top w:val="nil"/>
              <w:left w:val="nil"/>
              <w:bottom w:val="single" w:sz="4" w:space="0" w:color="auto"/>
              <w:right w:val="single" w:sz="4" w:space="0" w:color="auto"/>
            </w:tcBorders>
            <w:shd w:val="clear" w:color="auto" w:fill="auto"/>
            <w:noWrap/>
            <w:vAlign w:val="center"/>
            <w:hideMark/>
          </w:tcPr>
          <w:p w14:paraId="12A687D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0,68</w:t>
            </w:r>
          </w:p>
        </w:tc>
      </w:tr>
      <w:tr w:rsidR="00BF12D5" w:rsidRPr="00BD0223" w14:paraId="40B73155"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742D66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DUMONT</w:t>
            </w:r>
          </w:p>
        </w:tc>
        <w:tc>
          <w:tcPr>
            <w:tcW w:w="1304" w:type="dxa"/>
            <w:tcBorders>
              <w:top w:val="nil"/>
              <w:left w:val="nil"/>
              <w:bottom w:val="single" w:sz="4" w:space="0" w:color="auto"/>
              <w:right w:val="single" w:sz="4" w:space="0" w:color="auto"/>
            </w:tcBorders>
            <w:shd w:val="clear" w:color="auto" w:fill="auto"/>
            <w:noWrap/>
            <w:vAlign w:val="center"/>
            <w:hideMark/>
          </w:tcPr>
          <w:p w14:paraId="7A2742D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1,67</w:t>
            </w:r>
          </w:p>
        </w:tc>
        <w:tc>
          <w:tcPr>
            <w:tcW w:w="1304" w:type="dxa"/>
            <w:tcBorders>
              <w:top w:val="nil"/>
              <w:left w:val="nil"/>
              <w:bottom w:val="single" w:sz="4" w:space="0" w:color="auto"/>
              <w:right w:val="single" w:sz="4" w:space="0" w:color="auto"/>
            </w:tcBorders>
            <w:shd w:val="clear" w:color="auto" w:fill="auto"/>
            <w:noWrap/>
            <w:vAlign w:val="center"/>
            <w:hideMark/>
          </w:tcPr>
          <w:p w14:paraId="4F3D339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1,65</w:t>
            </w:r>
          </w:p>
        </w:tc>
        <w:tc>
          <w:tcPr>
            <w:tcW w:w="1304" w:type="dxa"/>
            <w:tcBorders>
              <w:top w:val="nil"/>
              <w:left w:val="nil"/>
              <w:bottom w:val="single" w:sz="4" w:space="0" w:color="auto"/>
              <w:right w:val="single" w:sz="4" w:space="0" w:color="auto"/>
            </w:tcBorders>
            <w:shd w:val="clear" w:color="auto" w:fill="auto"/>
            <w:noWrap/>
            <w:vAlign w:val="center"/>
            <w:hideMark/>
          </w:tcPr>
          <w:p w14:paraId="79F1D6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1,53</w:t>
            </w:r>
          </w:p>
        </w:tc>
        <w:tc>
          <w:tcPr>
            <w:tcW w:w="1304" w:type="dxa"/>
            <w:tcBorders>
              <w:top w:val="nil"/>
              <w:left w:val="nil"/>
              <w:bottom w:val="single" w:sz="4" w:space="0" w:color="auto"/>
              <w:right w:val="single" w:sz="4" w:space="0" w:color="auto"/>
            </w:tcBorders>
            <w:shd w:val="clear" w:color="auto" w:fill="auto"/>
            <w:noWrap/>
            <w:vAlign w:val="center"/>
            <w:hideMark/>
          </w:tcPr>
          <w:p w14:paraId="4DB8AC4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1,49</w:t>
            </w:r>
          </w:p>
        </w:tc>
      </w:tr>
      <w:tr w:rsidR="00BF12D5" w:rsidRPr="00BD0223" w14:paraId="32C88B9C"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EEC738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ELISIARIO</w:t>
            </w:r>
          </w:p>
        </w:tc>
        <w:tc>
          <w:tcPr>
            <w:tcW w:w="1304" w:type="dxa"/>
            <w:tcBorders>
              <w:top w:val="nil"/>
              <w:left w:val="nil"/>
              <w:bottom w:val="single" w:sz="4" w:space="0" w:color="auto"/>
              <w:right w:val="single" w:sz="4" w:space="0" w:color="auto"/>
            </w:tcBorders>
            <w:shd w:val="clear" w:color="auto" w:fill="auto"/>
            <w:noWrap/>
            <w:vAlign w:val="center"/>
            <w:hideMark/>
          </w:tcPr>
          <w:p w14:paraId="6018E03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1,76</w:t>
            </w:r>
          </w:p>
        </w:tc>
        <w:tc>
          <w:tcPr>
            <w:tcW w:w="1304" w:type="dxa"/>
            <w:tcBorders>
              <w:top w:val="nil"/>
              <w:left w:val="nil"/>
              <w:bottom w:val="single" w:sz="4" w:space="0" w:color="auto"/>
              <w:right w:val="single" w:sz="4" w:space="0" w:color="auto"/>
            </w:tcBorders>
            <w:shd w:val="clear" w:color="auto" w:fill="auto"/>
            <w:noWrap/>
            <w:vAlign w:val="center"/>
            <w:hideMark/>
          </w:tcPr>
          <w:p w14:paraId="355EF74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1,25</w:t>
            </w:r>
          </w:p>
        </w:tc>
        <w:tc>
          <w:tcPr>
            <w:tcW w:w="1304" w:type="dxa"/>
            <w:tcBorders>
              <w:top w:val="nil"/>
              <w:left w:val="nil"/>
              <w:bottom w:val="single" w:sz="4" w:space="0" w:color="auto"/>
              <w:right w:val="single" w:sz="4" w:space="0" w:color="auto"/>
            </w:tcBorders>
            <w:shd w:val="clear" w:color="auto" w:fill="auto"/>
            <w:noWrap/>
            <w:vAlign w:val="center"/>
            <w:hideMark/>
          </w:tcPr>
          <w:p w14:paraId="174108F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2,32</w:t>
            </w:r>
          </w:p>
        </w:tc>
        <w:tc>
          <w:tcPr>
            <w:tcW w:w="1304" w:type="dxa"/>
            <w:tcBorders>
              <w:top w:val="nil"/>
              <w:left w:val="nil"/>
              <w:bottom w:val="single" w:sz="4" w:space="0" w:color="auto"/>
              <w:right w:val="single" w:sz="4" w:space="0" w:color="auto"/>
            </w:tcBorders>
            <w:shd w:val="clear" w:color="auto" w:fill="auto"/>
            <w:noWrap/>
            <w:vAlign w:val="center"/>
            <w:hideMark/>
          </w:tcPr>
          <w:p w14:paraId="350242C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3,03</w:t>
            </w:r>
          </w:p>
        </w:tc>
      </w:tr>
      <w:tr w:rsidR="00BF12D5" w:rsidRPr="00BD0223" w14:paraId="39EBFEAC"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52A0A5C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EMBAUBA</w:t>
            </w:r>
          </w:p>
        </w:tc>
        <w:tc>
          <w:tcPr>
            <w:tcW w:w="1304" w:type="dxa"/>
            <w:tcBorders>
              <w:top w:val="nil"/>
              <w:left w:val="nil"/>
              <w:bottom w:val="single" w:sz="4" w:space="0" w:color="auto"/>
              <w:right w:val="single" w:sz="4" w:space="0" w:color="auto"/>
            </w:tcBorders>
            <w:shd w:val="clear" w:color="auto" w:fill="auto"/>
            <w:noWrap/>
            <w:vAlign w:val="center"/>
            <w:hideMark/>
          </w:tcPr>
          <w:p w14:paraId="7805AA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1,14</w:t>
            </w:r>
          </w:p>
        </w:tc>
        <w:tc>
          <w:tcPr>
            <w:tcW w:w="1304" w:type="dxa"/>
            <w:tcBorders>
              <w:top w:val="nil"/>
              <w:left w:val="nil"/>
              <w:bottom w:val="single" w:sz="4" w:space="0" w:color="auto"/>
              <w:right w:val="single" w:sz="4" w:space="0" w:color="auto"/>
            </w:tcBorders>
            <w:shd w:val="clear" w:color="auto" w:fill="auto"/>
            <w:noWrap/>
            <w:vAlign w:val="center"/>
            <w:hideMark/>
          </w:tcPr>
          <w:p w14:paraId="0C62227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0,87</w:t>
            </w:r>
          </w:p>
        </w:tc>
        <w:tc>
          <w:tcPr>
            <w:tcW w:w="1304" w:type="dxa"/>
            <w:tcBorders>
              <w:top w:val="nil"/>
              <w:left w:val="nil"/>
              <w:bottom w:val="single" w:sz="4" w:space="0" w:color="auto"/>
              <w:right w:val="single" w:sz="4" w:space="0" w:color="auto"/>
            </w:tcBorders>
            <w:shd w:val="clear" w:color="auto" w:fill="auto"/>
            <w:noWrap/>
            <w:vAlign w:val="center"/>
            <w:hideMark/>
          </w:tcPr>
          <w:p w14:paraId="2BD1CDF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1,21</w:t>
            </w:r>
          </w:p>
        </w:tc>
        <w:tc>
          <w:tcPr>
            <w:tcW w:w="1304" w:type="dxa"/>
            <w:tcBorders>
              <w:top w:val="nil"/>
              <w:left w:val="nil"/>
              <w:bottom w:val="single" w:sz="4" w:space="0" w:color="auto"/>
              <w:right w:val="single" w:sz="4" w:space="0" w:color="auto"/>
            </w:tcBorders>
            <w:shd w:val="clear" w:color="auto" w:fill="auto"/>
            <w:noWrap/>
            <w:vAlign w:val="center"/>
            <w:hideMark/>
          </w:tcPr>
          <w:p w14:paraId="2AD7F55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0,90</w:t>
            </w:r>
          </w:p>
        </w:tc>
      </w:tr>
      <w:tr w:rsidR="00BF12D5" w:rsidRPr="00BD0223" w14:paraId="4B11AD70"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D95CDD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ESTRELA D'OESTE</w:t>
            </w:r>
          </w:p>
        </w:tc>
        <w:tc>
          <w:tcPr>
            <w:tcW w:w="1304" w:type="dxa"/>
            <w:tcBorders>
              <w:top w:val="nil"/>
              <w:left w:val="nil"/>
              <w:bottom w:val="single" w:sz="4" w:space="0" w:color="auto"/>
              <w:right w:val="single" w:sz="4" w:space="0" w:color="auto"/>
            </w:tcBorders>
            <w:shd w:val="clear" w:color="auto" w:fill="auto"/>
            <w:noWrap/>
            <w:vAlign w:val="center"/>
            <w:hideMark/>
          </w:tcPr>
          <w:p w14:paraId="6705DA1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3,92</w:t>
            </w:r>
          </w:p>
        </w:tc>
        <w:tc>
          <w:tcPr>
            <w:tcW w:w="1304" w:type="dxa"/>
            <w:tcBorders>
              <w:top w:val="nil"/>
              <w:left w:val="nil"/>
              <w:bottom w:val="single" w:sz="4" w:space="0" w:color="auto"/>
              <w:right w:val="single" w:sz="4" w:space="0" w:color="auto"/>
            </w:tcBorders>
            <w:shd w:val="clear" w:color="auto" w:fill="auto"/>
            <w:noWrap/>
            <w:vAlign w:val="center"/>
            <w:hideMark/>
          </w:tcPr>
          <w:p w14:paraId="668D68C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4,16</w:t>
            </w:r>
          </w:p>
        </w:tc>
        <w:tc>
          <w:tcPr>
            <w:tcW w:w="1304" w:type="dxa"/>
            <w:tcBorders>
              <w:top w:val="nil"/>
              <w:left w:val="nil"/>
              <w:bottom w:val="single" w:sz="4" w:space="0" w:color="auto"/>
              <w:right w:val="single" w:sz="4" w:space="0" w:color="auto"/>
            </w:tcBorders>
            <w:shd w:val="clear" w:color="auto" w:fill="auto"/>
            <w:noWrap/>
            <w:vAlign w:val="center"/>
            <w:hideMark/>
          </w:tcPr>
          <w:p w14:paraId="59FA20E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4,11</w:t>
            </w:r>
          </w:p>
        </w:tc>
        <w:tc>
          <w:tcPr>
            <w:tcW w:w="1304" w:type="dxa"/>
            <w:tcBorders>
              <w:top w:val="nil"/>
              <w:left w:val="nil"/>
              <w:bottom w:val="single" w:sz="4" w:space="0" w:color="auto"/>
              <w:right w:val="single" w:sz="4" w:space="0" w:color="auto"/>
            </w:tcBorders>
            <w:shd w:val="clear" w:color="auto" w:fill="auto"/>
            <w:noWrap/>
            <w:vAlign w:val="center"/>
            <w:hideMark/>
          </w:tcPr>
          <w:p w14:paraId="6BCDA3C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3,64</w:t>
            </w:r>
          </w:p>
        </w:tc>
      </w:tr>
      <w:tr w:rsidR="00BF12D5" w:rsidRPr="00BD0223" w14:paraId="5C05A668"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03783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FERNANDO PRESTES</w:t>
            </w:r>
          </w:p>
        </w:tc>
        <w:tc>
          <w:tcPr>
            <w:tcW w:w="1304" w:type="dxa"/>
            <w:tcBorders>
              <w:top w:val="nil"/>
              <w:left w:val="nil"/>
              <w:bottom w:val="single" w:sz="4" w:space="0" w:color="auto"/>
              <w:right w:val="single" w:sz="4" w:space="0" w:color="auto"/>
            </w:tcBorders>
            <w:shd w:val="clear" w:color="auto" w:fill="auto"/>
            <w:noWrap/>
            <w:vAlign w:val="center"/>
            <w:hideMark/>
          </w:tcPr>
          <w:p w14:paraId="6CCCAD3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2,64</w:t>
            </w:r>
          </w:p>
        </w:tc>
        <w:tc>
          <w:tcPr>
            <w:tcW w:w="1304" w:type="dxa"/>
            <w:tcBorders>
              <w:top w:val="nil"/>
              <w:left w:val="nil"/>
              <w:bottom w:val="single" w:sz="4" w:space="0" w:color="auto"/>
              <w:right w:val="single" w:sz="4" w:space="0" w:color="auto"/>
            </w:tcBorders>
            <w:shd w:val="clear" w:color="auto" w:fill="auto"/>
            <w:noWrap/>
            <w:vAlign w:val="center"/>
            <w:hideMark/>
          </w:tcPr>
          <w:p w14:paraId="031E88A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3,60</w:t>
            </w:r>
          </w:p>
        </w:tc>
        <w:tc>
          <w:tcPr>
            <w:tcW w:w="1304" w:type="dxa"/>
            <w:tcBorders>
              <w:top w:val="nil"/>
              <w:left w:val="nil"/>
              <w:bottom w:val="single" w:sz="4" w:space="0" w:color="auto"/>
              <w:right w:val="single" w:sz="4" w:space="0" w:color="auto"/>
            </w:tcBorders>
            <w:shd w:val="clear" w:color="auto" w:fill="auto"/>
            <w:noWrap/>
            <w:vAlign w:val="center"/>
            <w:hideMark/>
          </w:tcPr>
          <w:p w14:paraId="456C426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3,45</w:t>
            </w:r>
          </w:p>
        </w:tc>
        <w:tc>
          <w:tcPr>
            <w:tcW w:w="1304" w:type="dxa"/>
            <w:tcBorders>
              <w:top w:val="nil"/>
              <w:left w:val="nil"/>
              <w:bottom w:val="single" w:sz="4" w:space="0" w:color="auto"/>
              <w:right w:val="single" w:sz="4" w:space="0" w:color="auto"/>
            </w:tcBorders>
            <w:shd w:val="clear" w:color="auto" w:fill="auto"/>
            <w:noWrap/>
            <w:vAlign w:val="center"/>
            <w:hideMark/>
          </w:tcPr>
          <w:p w14:paraId="653C794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3,23</w:t>
            </w:r>
          </w:p>
        </w:tc>
      </w:tr>
      <w:tr w:rsidR="00BF12D5" w:rsidRPr="00BD0223" w14:paraId="62F1EEAF"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5FCDC9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FERNANDOPOLIS</w:t>
            </w:r>
          </w:p>
        </w:tc>
        <w:tc>
          <w:tcPr>
            <w:tcW w:w="1304" w:type="dxa"/>
            <w:tcBorders>
              <w:top w:val="nil"/>
              <w:left w:val="nil"/>
              <w:bottom w:val="single" w:sz="4" w:space="0" w:color="auto"/>
              <w:right w:val="single" w:sz="4" w:space="0" w:color="auto"/>
            </w:tcBorders>
            <w:shd w:val="clear" w:color="auto" w:fill="auto"/>
            <w:noWrap/>
            <w:vAlign w:val="center"/>
            <w:hideMark/>
          </w:tcPr>
          <w:p w14:paraId="74AAFA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30,35</w:t>
            </w:r>
          </w:p>
        </w:tc>
        <w:tc>
          <w:tcPr>
            <w:tcW w:w="1304" w:type="dxa"/>
            <w:tcBorders>
              <w:top w:val="nil"/>
              <w:left w:val="nil"/>
              <w:bottom w:val="single" w:sz="4" w:space="0" w:color="auto"/>
              <w:right w:val="single" w:sz="4" w:space="0" w:color="auto"/>
            </w:tcBorders>
            <w:shd w:val="clear" w:color="auto" w:fill="auto"/>
            <w:noWrap/>
            <w:vAlign w:val="center"/>
            <w:hideMark/>
          </w:tcPr>
          <w:p w14:paraId="5E5984E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27,08</w:t>
            </w:r>
          </w:p>
        </w:tc>
        <w:tc>
          <w:tcPr>
            <w:tcW w:w="1304" w:type="dxa"/>
            <w:tcBorders>
              <w:top w:val="nil"/>
              <w:left w:val="nil"/>
              <w:bottom w:val="single" w:sz="4" w:space="0" w:color="auto"/>
              <w:right w:val="single" w:sz="4" w:space="0" w:color="auto"/>
            </w:tcBorders>
            <w:shd w:val="clear" w:color="auto" w:fill="auto"/>
            <w:noWrap/>
            <w:vAlign w:val="center"/>
            <w:hideMark/>
          </w:tcPr>
          <w:p w14:paraId="2B4B67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27,63</w:t>
            </w:r>
          </w:p>
        </w:tc>
        <w:tc>
          <w:tcPr>
            <w:tcW w:w="1304" w:type="dxa"/>
            <w:tcBorders>
              <w:top w:val="nil"/>
              <w:left w:val="nil"/>
              <w:bottom w:val="single" w:sz="4" w:space="0" w:color="auto"/>
              <w:right w:val="single" w:sz="4" w:space="0" w:color="auto"/>
            </w:tcBorders>
            <w:shd w:val="clear" w:color="auto" w:fill="auto"/>
            <w:noWrap/>
            <w:vAlign w:val="center"/>
            <w:hideMark/>
          </w:tcPr>
          <w:p w14:paraId="06BB853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26,10</w:t>
            </w:r>
          </w:p>
        </w:tc>
      </w:tr>
      <w:tr w:rsidR="00BF12D5" w:rsidRPr="00BD0223" w14:paraId="6CF0B943"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65EA4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lastRenderedPageBreak/>
              <w:t>FLOREAL</w:t>
            </w:r>
          </w:p>
        </w:tc>
        <w:tc>
          <w:tcPr>
            <w:tcW w:w="1304" w:type="dxa"/>
            <w:tcBorders>
              <w:top w:val="nil"/>
              <w:left w:val="nil"/>
              <w:bottom w:val="single" w:sz="4" w:space="0" w:color="auto"/>
              <w:right w:val="single" w:sz="4" w:space="0" w:color="auto"/>
            </w:tcBorders>
            <w:shd w:val="clear" w:color="auto" w:fill="auto"/>
            <w:noWrap/>
            <w:vAlign w:val="center"/>
            <w:hideMark/>
          </w:tcPr>
          <w:p w14:paraId="27E3A9F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0,76</w:t>
            </w:r>
          </w:p>
        </w:tc>
        <w:tc>
          <w:tcPr>
            <w:tcW w:w="1304" w:type="dxa"/>
            <w:tcBorders>
              <w:top w:val="nil"/>
              <w:left w:val="nil"/>
              <w:bottom w:val="single" w:sz="4" w:space="0" w:color="auto"/>
              <w:right w:val="single" w:sz="4" w:space="0" w:color="auto"/>
            </w:tcBorders>
            <w:shd w:val="clear" w:color="auto" w:fill="auto"/>
            <w:noWrap/>
            <w:vAlign w:val="center"/>
            <w:hideMark/>
          </w:tcPr>
          <w:p w14:paraId="63FCAD4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0,62</w:t>
            </w:r>
          </w:p>
        </w:tc>
        <w:tc>
          <w:tcPr>
            <w:tcW w:w="1304" w:type="dxa"/>
            <w:tcBorders>
              <w:top w:val="nil"/>
              <w:left w:val="nil"/>
              <w:bottom w:val="single" w:sz="4" w:space="0" w:color="auto"/>
              <w:right w:val="single" w:sz="4" w:space="0" w:color="auto"/>
            </w:tcBorders>
            <w:shd w:val="clear" w:color="auto" w:fill="auto"/>
            <w:noWrap/>
            <w:vAlign w:val="center"/>
            <w:hideMark/>
          </w:tcPr>
          <w:p w14:paraId="6F8FF48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0,57</w:t>
            </w:r>
          </w:p>
        </w:tc>
        <w:tc>
          <w:tcPr>
            <w:tcW w:w="1304" w:type="dxa"/>
            <w:tcBorders>
              <w:top w:val="nil"/>
              <w:left w:val="nil"/>
              <w:bottom w:val="single" w:sz="4" w:space="0" w:color="auto"/>
              <w:right w:val="single" w:sz="4" w:space="0" w:color="auto"/>
            </w:tcBorders>
            <w:shd w:val="clear" w:color="auto" w:fill="auto"/>
            <w:noWrap/>
            <w:vAlign w:val="center"/>
            <w:hideMark/>
          </w:tcPr>
          <w:p w14:paraId="00A59FD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0,87</w:t>
            </w:r>
          </w:p>
        </w:tc>
      </w:tr>
      <w:tr w:rsidR="00BF12D5" w:rsidRPr="00BD0223" w14:paraId="021219E1"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A0043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FRANCA</w:t>
            </w:r>
          </w:p>
        </w:tc>
        <w:tc>
          <w:tcPr>
            <w:tcW w:w="1304" w:type="dxa"/>
            <w:tcBorders>
              <w:top w:val="nil"/>
              <w:left w:val="nil"/>
              <w:bottom w:val="single" w:sz="4" w:space="0" w:color="auto"/>
              <w:right w:val="single" w:sz="4" w:space="0" w:color="auto"/>
            </w:tcBorders>
            <w:shd w:val="clear" w:color="auto" w:fill="auto"/>
            <w:noWrap/>
            <w:vAlign w:val="center"/>
            <w:hideMark/>
          </w:tcPr>
          <w:p w14:paraId="271F6E5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46,28</w:t>
            </w:r>
          </w:p>
        </w:tc>
        <w:tc>
          <w:tcPr>
            <w:tcW w:w="1304" w:type="dxa"/>
            <w:tcBorders>
              <w:top w:val="nil"/>
              <w:left w:val="nil"/>
              <w:bottom w:val="single" w:sz="4" w:space="0" w:color="auto"/>
              <w:right w:val="single" w:sz="4" w:space="0" w:color="auto"/>
            </w:tcBorders>
            <w:shd w:val="clear" w:color="auto" w:fill="auto"/>
            <w:noWrap/>
            <w:vAlign w:val="center"/>
            <w:hideMark/>
          </w:tcPr>
          <w:p w14:paraId="7BDA00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48,48</w:t>
            </w:r>
          </w:p>
        </w:tc>
        <w:tc>
          <w:tcPr>
            <w:tcW w:w="1304" w:type="dxa"/>
            <w:tcBorders>
              <w:top w:val="nil"/>
              <w:left w:val="nil"/>
              <w:bottom w:val="single" w:sz="4" w:space="0" w:color="auto"/>
              <w:right w:val="single" w:sz="4" w:space="0" w:color="auto"/>
            </w:tcBorders>
            <w:shd w:val="clear" w:color="auto" w:fill="auto"/>
            <w:noWrap/>
            <w:vAlign w:val="center"/>
            <w:hideMark/>
          </w:tcPr>
          <w:p w14:paraId="755B1E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51,44</w:t>
            </w:r>
          </w:p>
        </w:tc>
        <w:tc>
          <w:tcPr>
            <w:tcW w:w="1304" w:type="dxa"/>
            <w:tcBorders>
              <w:top w:val="nil"/>
              <w:left w:val="nil"/>
              <w:bottom w:val="single" w:sz="4" w:space="0" w:color="auto"/>
              <w:right w:val="single" w:sz="4" w:space="0" w:color="auto"/>
            </w:tcBorders>
            <w:shd w:val="clear" w:color="auto" w:fill="auto"/>
            <w:noWrap/>
            <w:vAlign w:val="center"/>
            <w:hideMark/>
          </w:tcPr>
          <w:p w14:paraId="43AA948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53,99</w:t>
            </w:r>
          </w:p>
        </w:tc>
      </w:tr>
      <w:tr w:rsidR="00BF12D5" w:rsidRPr="00BD0223" w14:paraId="2BE62C91"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B777DB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GASTAO VIDIGAL</w:t>
            </w:r>
          </w:p>
        </w:tc>
        <w:tc>
          <w:tcPr>
            <w:tcW w:w="1304" w:type="dxa"/>
            <w:tcBorders>
              <w:top w:val="nil"/>
              <w:left w:val="nil"/>
              <w:bottom w:val="single" w:sz="4" w:space="0" w:color="auto"/>
              <w:right w:val="single" w:sz="4" w:space="0" w:color="auto"/>
            </w:tcBorders>
            <w:shd w:val="clear" w:color="auto" w:fill="auto"/>
            <w:noWrap/>
            <w:vAlign w:val="center"/>
            <w:hideMark/>
          </w:tcPr>
          <w:p w14:paraId="021FB3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0,32</w:t>
            </w:r>
          </w:p>
        </w:tc>
        <w:tc>
          <w:tcPr>
            <w:tcW w:w="1304" w:type="dxa"/>
            <w:tcBorders>
              <w:top w:val="nil"/>
              <w:left w:val="nil"/>
              <w:bottom w:val="single" w:sz="4" w:space="0" w:color="auto"/>
              <w:right w:val="single" w:sz="4" w:space="0" w:color="auto"/>
            </w:tcBorders>
            <w:shd w:val="clear" w:color="auto" w:fill="auto"/>
            <w:noWrap/>
            <w:vAlign w:val="center"/>
            <w:hideMark/>
          </w:tcPr>
          <w:p w14:paraId="154643A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0,27</w:t>
            </w:r>
          </w:p>
        </w:tc>
        <w:tc>
          <w:tcPr>
            <w:tcW w:w="1304" w:type="dxa"/>
            <w:tcBorders>
              <w:top w:val="nil"/>
              <w:left w:val="nil"/>
              <w:bottom w:val="single" w:sz="4" w:space="0" w:color="auto"/>
              <w:right w:val="single" w:sz="4" w:space="0" w:color="auto"/>
            </w:tcBorders>
            <w:shd w:val="clear" w:color="auto" w:fill="auto"/>
            <w:noWrap/>
            <w:vAlign w:val="center"/>
            <w:hideMark/>
          </w:tcPr>
          <w:p w14:paraId="439E7A4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0,32</w:t>
            </w:r>
          </w:p>
        </w:tc>
        <w:tc>
          <w:tcPr>
            <w:tcW w:w="1304" w:type="dxa"/>
            <w:tcBorders>
              <w:top w:val="nil"/>
              <w:left w:val="nil"/>
              <w:bottom w:val="single" w:sz="4" w:space="0" w:color="auto"/>
              <w:right w:val="single" w:sz="4" w:space="0" w:color="auto"/>
            </w:tcBorders>
            <w:shd w:val="clear" w:color="auto" w:fill="auto"/>
            <w:noWrap/>
            <w:vAlign w:val="center"/>
            <w:hideMark/>
          </w:tcPr>
          <w:p w14:paraId="31C69F9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0,32</w:t>
            </w:r>
          </w:p>
        </w:tc>
      </w:tr>
      <w:tr w:rsidR="00BF12D5" w:rsidRPr="00BD0223" w14:paraId="5B399B30"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8488B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GENERAL SALGADO</w:t>
            </w:r>
          </w:p>
        </w:tc>
        <w:tc>
          <w:tcPr>
            <w:tcW w:w="1304" w:type="dxa"/>
            <w:tcBorders>
              <w:top w:val="nil"/>
              <w:left w:val="nil"/>
              <w:bottom w:val="single" w:sz="4" w:space="0" w:color="auto"/>
              <w:right w:val="single" w:sz="4" w:space="0" w:color="auto"/>
            </w:tcBorders>
            <w:shd w:val="clear" w:color="auto" w:fill="auto"/>
            <w:noWrap/>
            <w:vAlign w:val="center"/>
            <w:hideMark/>
          </w:tcPr>
          <w:p w14:paraId="520B13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5,58</w:t>
            </w:r>
          </w:p>
        </w:tc>
        <w:tc>
          <w:tcPr>
            <w:tcW w:w="1304" w:type="dxa"/>
            <w:tcBorders>
              <w:top w:val="nil"/>
              <w:left w:val="nil"/>
              <w:bottom w:val="single" w:sz="4" w:space="0" w:color="auto"/>
              <w:right w:val="single" w:sz="4" w:space="0" w:color="auto"/>
            </w:tcBorders>
            <w:shd w:val="clear" w:color="auto" w:fill="auto"/>
            <w:noWrap/>
            <w:vAlign w:val="center"/>
            <w:hideMark/>
          </w:tcPr>
          <w:p w14:paraId="0DE7468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7,83</w:t>
            </w:r>
          </w:p>
        </w:tc>
        <w:tc>
          <w:tcPr>
            <w:tcW w:w="1304" w:type="dxa"/>
            <w:tcBorders>
              <w:top w:val="nil"/>
              <w:left w:val="nil"/>
              <w:bottom w:val="single" w:sz="4" w:space="0" w:color="auto"/>
              <w:right w:val="single" w:sz="4" w:space="0" w:color="auto"/>
            </w:tcBorders>
            <w:shd w:val="clear" w:color="auto" w:fill="auto"/>
            <w:noWrap/>
            <w:vAlign w:val="center"/>
            <w:hideMark/>
          </w:tcPr>
          <w:p w14:paraId="7C884F5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5,08</w:t>
            </w:r>
          </w:p>
        </w:tc>
        <w:tc>
          <w:tcPr>
            <w:tcW w:w="1304" w:type="dxa"/>
            <w:tcBorders>
              <w:top w:val="nil"/>
              <w:left w:val="nil"/>
              <w:bottom w:val="single" w:sz="4" w:space="0" w:color="auto"/>
              <w:right w:val="single" w:sz="4" w:space="0" w:color="auto"/>
            </w:tcBorders>
            <w:shd w:val="clear" w:color="auto" w:fill="auto"/>
            <w:noWrap/>
            <w:vAlign w:val="center"/>
            <w:hideMark/>
          </w:tcPr>
          <w:p w14:paraId="1459FC8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6,06</w:t>
            </w:r>
          </w:p>
        </w:tc>
      </w:tr>
      <w:tr w:rsidR="00BF12D5" w:rsidRPr="00BD0223" w14:paraId="0A6C5295"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C0359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GUAIRA</w:t>
            </w:r>
          </w:p>
        </w:tc>
        <w:tc>
          <w:tcPr>
            <w:tcW w:w="1304" w:type="dxa"/>
            <w:tcBorders>
              <w:top w:val="nil"/>
              <w:left w:val="nil"/>
              <w:bottom w:val="single" w:sz="4" w:space="0" w:color="auto"/>
              <w:right w:val="single" w:sz="4" w:space="0" w:color="auto"/>
            </w:tcBorders>
            <w:shd w:val="clear" w:color="auto" w:fill="auto"/>
            <w:noWrap/>
            <w:vAlign w:val="center"/>
            <w:hideMark/>
          </w:tcPr>
          <w:p w14:paraId="379148A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58,79</w:t>
            </w:r>
          </w:p>
        </w:tc>
        <w:tc>
          <w:tcPr>
            <w:tcW w:w="1304" w:type="dxa"/>
            <w:tcBorders>
              <w:top w:val="nil"/>
              <w:left w:val="nil"/>
              <w:bottom w:val="single" w:sz="4" w:space="0" w:color="auto"/>
              <w:right w:val="single" w:sz="4" w:space="0" w:color="auto"/>
            </w:tcBorders>
            <w:shd w:val="clear" w:color="auto" w:fill="auto"/>
            <w:noWrap/>
            <w:vAlign w:val="center"/>
            <w:hideMark/>
          </w:tcPr>
          <w:p w14:paraId="5B9C20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58,49</w:t>
            </w:r>
          </w:p>
        </w:tc>
        <w:tc>
          <w:tcPr>
            <w:tcW w:w="1304" w:type="dxa"/>
            <w:tcBorders>
              <w:top w:val="nil"/>
              <w:left w:val="nil"/>
              <w:bottom w:val="single" w:sz="4" w:space="0" w:color="auto"/>
              <w:right w:val="single" w:sz="4" w:space="0" w:color="auto"/>
            </w:tcBorders>
            <w:shd w:val="clear" w:color="auto" w:fill="auto"/>
            <w:noWrap/>
            <w:vAlign w:val="center"/>
            <w:hideMark/>
          </w:tcPr>
          <w:p w14:paraId="0F9BA52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56,84</w:t>
            </w:r>
          </w:p>
        </w:tc>
        <w:tc>
          <w:tcPr>
            <w:tcW w:w="1304" w:type="dxa"/>
            <w:tcBorders>
              <w:top w:val="nil"/>
              <w:left w:val="nil"/>
              <w:bottom w:val="single" w:sz="4" w:space="0" w:color="auto"/>
              <w:right w:val="single" w:sz="4" w:space="0" w:color="auto"/>
            </w:tcBorders>
            <w:shd w:val="clear" w:color="auto" w:fill="auto"/>
            <w:noWrap/>
            <w:vAlign w:val="center"/>
            <w:hideMark/>
          </w:tcPr>
          <w:p w14:paraId="611C015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57,13</w:t>
            </w:r>
          </w:p>
        </w:tc>
      </w:tr>
      <w:tr w:rsidR="00BF12D5" w:rsidRPr="00BD0223" w14:paraId="432C5300"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8A8C7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GUAPIACU</w:t>
            </w:r>
          </w:p>
        </w:tc>
        <w:tc>
          <w:tcPr>
            <w:tcW w:w="1304" w:type="dxa"/>
            <w:tcBorders>
              <w:top w:val="nil"/>
              <w:left w:val="nil"/>
              <w:bottom w:val="single" w:sz="4" w:space="0" w:color="auto"/>
              <w:right w:val="single" w:sz="4" w:space="0" w:color="auto"/>
            </w:tcBorders>
            <w:shd w:val="clear" w:color="auto" w:fill="auto"/>
            <w:noWrap/>
            <w:vAlign w:val="center"/>
            <w:hideMark/>
          </w:tcPr>
          <w:p w14:paraId="7E0569E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1,63</w:t>
            </w:r>
          </w:p>
        </w:tc>
        <w:tc>
          <w:tcPr>
            <w:tcW w:w="1304" w:type="dxa"/>
            <w:tcBorders>
              <w:top w:val="nil"/>
              <w:left w:val="nil"/>
              <w:bottom w:val="single" w:sz="4" w:space="0" w:color="auto"/>
              <w:right w:val="single" w:sz="4" w:space="0" w:color="auto"/>
            </w:tcBorders>
            <w:shd w:val="clear" w:color="auto" w:fill="auto"/>
            <w:noWrap/>
            <w:vAlign w:val="center"/>
            <w:hideMark/>
          </w:tcPr>
          <w:p w14:paraId="30BD5EF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1,66</w:t>
            </w:r>
          </w:p>
        </w:tc>
        <w:tc>
          <w:tcPr>
            <w:tcW w:w="1304" w:type="dxa"/>
            <w:tcBorders>
              <w:top w:val="nil"/>
              <w:left w:val="nil"/>
              <w:bottom w:val="single" w:sz="4" w:space="0" w:color="auto"/>
              <w:right w:val="single" w:sz="4" w:space="0" w:color="auto"/>
            </w:tcBorders>
            <w:shd w:val="clear" w:color="auto" w:fill="auto"/>
            <w:noWrap/>
            <w:vAlign w:val="center"/>
            <w:hideMark/>
          </w:tcPr>
          <w:p w14:paraId="6BF141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1,73</w:t>
            </w:r>
          </w:p>
        </w:tc>
        <w:tc>
          <w:tcPr>
            <w:tcW w:w="1304" w:type="dxa"/>
            <w:tcBorders>
              <w:top w:val="nil"/>
              <w:left w:val="nil"/>
              <w:bottom w:val="single" w:sz="4" w:space="0" w:color="auto"/>
              <w:right w:val="single" w:sz="4" w:space="0" w:color="auto"/>
            </w:tcBorders>
            <w:shd w:val="clear" w:color="auto" w:fill="auto"/>
            <w:noWrap/>
            <w:vAlign w:val="center"/>
            <w:hideMark/>
          </w:tcPr>
          <w:p w14:paraId="2157DFA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1,63</w:t>
            </w:r>
          </w:p>
        </w:tc>
      </w:tr>
      <w:tr w:rsidR="00BF12D5" w:rsidRPr="00BD0223" w14:paraId="171CC5C7"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679037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GUARA</w:t>
            </w:r>
          </w:p>
        </w:tc>
        <w:tc>
          <w:tcPr>
            <w:tcW w:w="1304" w:type="dxa"/>
            <w:tcBorders>
              <w:top w:val="nil"/>
              <w:left w:val="nil"/>
              <w:bottom w:val="single" w:sz="4" w:space="0" w:color="auto"/>
              <w:right w:val="single" w:sz="4" w:space="0" w:color="auto"/>
            </w:tcBorders>
            <w:shd w:val="clear" w:color="auto" w:fill="auto"/>
            <w:noWrap/>
            <w:vAlign w:val="center"/>
            <w:hideMark/>
          </w:tcPr>
          <w:p w14:paraId="3B86A54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11,65</w:t>
            </w:r>
          </w:p>
        </w:tc>
        <w:tc>
          <w:tcPr>
            <w:tcW w:w="1304" w:type="dxa"/>
            <w:tcBorders>
              <w:top w:val="nil"/>
              <w:left w:val="nil"/>
              <w:bottom w:val="single" w:sz="4" w:space="0" w:color="auto"/>
              <w:right w:val="single" w:sz="4" w:space="0" w:color="auto"/>
            </w:tcBorders>
            <w:shd w:val="clear" w:color="auto" w:fill="auto"/>
            <w:noWrap/>
            <w:vAlign w:val="center"/>
            <w:hideMark/>
          </w:tcPr>
          <w:p w14:paraId="377E6A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11,81</w:t>
            </w:r>
          </w:p>
        </w:tc>
        <w:tc>
          <w:tcPr>
            <w:tcW w:w="1304" w:type="dxa"/>
            <w:tcBorders>
              <w:top w:val="nil"/>
              <w:left w:val="nil"/>
              <w:bottom w:val="single" w:sz="4" w:space="0" w:color="auto"/>
              <w:right w:val="single" w:sz="4" w:space="0" w:color="auto"/>
            </w:tcBorders>
            <w:shd w:val="clear" w:color="auto" w:fill="auto"/>
            <w:noWrap/>
            <w:vAlign w:val="center"/>
            <w:hideMark/>
          </w:tcPr>
          <w:p w14:paraId="07D62EE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17,42</w:t>
            </w:r>
          </w:p>
        </w:tc>
        <w:tc>
          <w:tcPr>
            <w:tcW w:w="1304" w:type="dxa"/>
            <w:tcBorders>
              <w:top w:val="nil"/>
              <w:left w:val="nil"/>
              <w:bottom w:val="single" w:sz="4" w:space="0" w:color="auto"/>
              <w:right w:val="single" w:sz="4" w:space="0" w:color="auto"/>
            </w:tcBorders>
            <w:shd w:val="clear" w:color="auto" w:fill="auto"/>
            <w:noWrap/>
            <w:vAlign w:val="center"/>
            <w:hideMark/>
          </w:tcPr>
          <w:p w14:paraId="3ED1F12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23,38</w:t>
            </w:r>
          </w:p>
        </w:tc>
      </w:tr>
      <w:tr w:rsidR="00BF12D5" w:rsidRPr="00BD0223" w14:paraId="1BC35588"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5DC12A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GUARIBA</w:t>
            </w:r>
          </w:p>
        </w:tc>
        <w:tc>
          <w:tcPr>
            <w:tcW w:w="1304" w:type="dxa"/>
            <w:tcBorders>
              <w:top w:val="nil"/>
              <w:left w:val="nil"/>
              <w:bottom w:val="single" w:sz="4" w:space="0" w:color="auto"/>
              <w:right w:val="single" w:sz="4" w:space="0" w:color="auto"/>
            </w:tcBorders>
            <w:shd w:val="clear" w:color="auto" w:fill="auto"/>
            <w:noWrap/>
            <w:vAlign w:val="center"/>
            <w:hideMark/>
          </w:tcPr>
          <w:p w14:paraId="26C43C5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21,00</w:t>
            </w:r>
          </w:p>
        </w:tc>
        <w:tc>
          <w:tcPr>
            <w:tcW w:w="1304" w:type="dxa"/>
            <w:tcBorders>
              <w:top w:val="nil"/>
              <w:left w:val="nil"/>
              <w:bottom w:val="single" w:sz="4" w:space="0" w:color="auto"/>
              <w:right w:val="single" w:sz="4" w:space="0" w:color="auto"/>
            </w:tcBorders>
            <w:shd w:val="clear" w:color="auto" w:fill="auto"/>
            <w:noWrap/>
            <w:vAlign w:val="center"/>
            <w:hideMark/>
          </w:tcPr>
          <w:p w14:paraId="514C1E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20,25</w:t>
            </w:r>
          </w:p>
        </w:tc>
        <w:tc>
          <w:tcPr>
            <w:tcW w:w="1304" w:type="dxa"/>
            <w:tcBorders>
              <w:top w:val="nil"/>
              <w:left w:val="nil"/>
              <w:bottom w:val="single" w:sz="4" w:space="0" w:color="auto"/>
              <w:right w:val="single" w:sz="4" w:space="0" w:color="auto"/>
            </w:tcBorders>
            <w:shd w:val="clear" w:color="auto" w:fill="auto"/>
            <w:noWrap/>
            <w:vAlign w:val="center"/>
            <w:hideMark/>
          </w:tcPr>
          <w:p w14:paraId="703D5A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17,96</w:t>
            </w:r>
          </w:p>
        </w:tc>
        <w:tc>
          <w:tcPr>
            <w:tcW w:w="1304" w:type="dxa"/>
            <w:tcBorders>
              <w:top w:val="nil"/>
              <w:left w:val="nil"/>
              <w:bottom w:val="single" w:sz="4" w:space="0" w:color="auto"/>
              <w:right w:val="single" w:sz="4" w:space="0" w:color="auto"/>
            </w:tcBorders>
            <w:shd w:val="clear" w:color="auto" w:fill="auto"/>
            <w:noWrap/>
            <w:vAlign w:val="center"/>
            <w:hideMark/>
          </w:tcPr>
          <w:p w14:paraId="7CBDE33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19,31</w:t>
            </w:r>
          </w:p>
        </w:tc>
      </w:tr>
      <w:tr w:rsidR="00BF12D5" w:rsidRPr="00BD0223" w14:paraId="54547747"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FB509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GUATAPARA</w:t>
            </w:r>
          </w:p>
        </w:tc>
        <w:tc>
          <w:tcPr>
            <w:tcW w:w="1304" w:type="dxa"/>
            <w:tcBorders>
              <w:top w:val="nil"/>
              <w:left w:val="nil"/>
              <w:bottom w:val="single" w:sz="4" w:space="0" w:color="auto"/>
              <w:right w:val="single" w:sz="4" w:space="0" w:color="auto"/>
            </w:tcBorders>
            <w:shd w:val="clear" w:color="auto" w:fill="auto"/>
            <w:noWrap/>
            <w:vAlign w:val="center"/>
            <w:hideMark/>
          </w:tcPr>
          <w:p w14:paraId="4F298FA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6,03</w:t>
            </w:r>
          </w:p>
        </w:tc>
        <w:tc>
          <w:tcPr>
            <w:tcW w:w="1304" w:type="dxa"/>
            <w:tcBorders>
              <w:top w:val="nil"/>
              <w:left w:val="nil"/>
              <w:bottom w:val="single" w:sz="4" w:space="0" w:color="auto"/>
              <w:right w:val="single" w:sz="4" w:space="0" w:color="auto"/>
            </w:tcBorders>
            <w:shd w:val="clear" w:color="auto" w:fill="auto"/>
            <w:noWrap/>
            <w:vAlign w:val="center"/>
            <w:hideMark/>
          </w:tcPr>
          <w:p w14:paraId="087959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6,51</w:t>
            </w:r>
          </w:p>
        </w:tc>
        <w:tc>
          <w:tcPr>
            <w:tcW w:w="1304" w:type="dxa"/>
            <w:tcBorders>
              <w:top w:val="nil"/>
              <w:left w:val="nil"/>
              <w:bottom w:val="single" w:sz="4" w:space="0" w:color="auto"/>
              <w:right w:val="single" w:sz="4" w:space="0" w:color="auto"/>
            </w:tcBorders>
            <w:shd w:val="clear" w:color="auto" w:fill="auto"/>
            <w:noWrap/>
            <w:vAlign w:val="center"/>
            <w:hideMark/>
          </w:tcPr>
          <w:p w14:paraId="3264CC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8,43</w:t>
            </w:r>
          </w:p>
        </w:tc>
        <w:tc>
          <w:tcPr>
            <w:tcW w:w="1304" w:type="dxa"/>
            <w:tcBorders>
              <w:top w:val="nil"/>
              <w:left w:val="nil"/>
              <w:bottom w:val="single" w:sz="4" w:space="0" w:color="auto"/>
              <w:right w:val="single" w:sz="4" w:space="0" w:color="auto"/>
            </w:tcBorders>
            <w:shd w:val="clear" w:color="auto" w:fill="auto"/>
            <w:noWrap/>
            <w:vAlign w:val="center"/>
            <w:hideMark/>
          </w:tcPr>
          <w:p w14:paraId="601658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8,42</w:t>
            </w:r>
          </w:p>
        </w:tc>
      </w:tr>
      <w:tr w:rsidR="00BF12D5" w:rsidRPr="00BD0223" w14:paraId="6439543C"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770D2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GUZOLANDIA</w:t>
            </w:r>
          </w:p>
        </w:tc>
        <w:tc>
          <w:tcPr>
            <w:tcW w:w="1304" w:type="dxa"/>
            <w:tcBorders>
              <w:top w:val="nil"/>
              <w:left w:val="nil"/>
              <w:bottom w:val="single" w:sz="4" w:space="0" w:color="auto"/>
              <w:right w:val="single" w:sz="4" w:space="0" w:color="auto"/>
            </w:tcBorders>
            <w:shd w:val="clear" w:color="auto" w:fill="auto"/>
            <w:noWrap/>
            <w:vAlign w:val="center"/>
            <w:hideMark/>
          </w:tcPr>
          <w:p w14:paraId="4E56034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1,56</w:t>
            </w:r>
          </w:p>
        </w:tc>
        <w:tc>
          <w:tcPr>
            <w:tcW w:w="1304" w:type="dxa"/>
            <w:tcBorders>
              <w:top w:val="nil"/>
              <w:left w:val="nil"/>
              <w:bottom w:val="single" w:sz="4" w:space="0" w:color="auto"/>
              <w:right w:val="single" w:sz="4" w:space="0" w:color="auto"/>
            </w:tcBorders>
            <w:shd w:val="clear" w:color="auto" w:fill="auto"/>
            <w:noWrap/>
            <w:vAlign w:val="center"/>
            <w:hideMark/>
          </w:tcPr>
          <w:p w14:paraId="54C7E3C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1,36</w:t>
            </w:r>
          </w:p>
        </w:tc>
        <w:tc>
          <w:tcPr>
            <w:tcW w:w="1304" w:type="dxa"/>
            <w:tcBorders>
              <w:top w:val="nil"/>
              <w:left w:val="nil"/>
              <w:bottom w:val="single" w:sz="4" w:space="0" w:color="auto"/>
              <w:right w:val="single" w:sz="4" w:space="0" w:color="auto"/>
            </w:tcBorders>
            <w:shd w:val="clear" w:color="auto" w:fill="auto"/>
            <w:noWrap/>
            <w:vAlign w:val="center"/>
            <w:hideMark/>
          </w:tcPr>
          <w:p w14:paraId="137B0D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1,05</w:t>
            </w:r>
          </w:p>
        </w:tc>
        <w:tc>
          <w:tcPr>
            <w:tcW w:w="1304" w:type="dxa"/>
            <w:tcBorders>
              <w:top w:val="nil"/>
              <w:left w:val="nil"/>
              <w:bottom w:val="single" w:sz="4" w:space="0" w:color="auto"/>
              <w:right w:val="single" w:sz="4" w:space="0" w:color="auto"/>
            </w:tcBorders>
            <w:shd w:val="clear" w:color="auto" w:fill="auto"/>
            <w:noWrap/>
            <w:vAlign w:val="center"/>
            <w:hideMark/>
          </w:tcPr>
          <w:p w14:paraId="72CAAC1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0,83</w:t>
            </w:r>
          </w:p>
        </w:tc>
      </w:tr>
      <w:tr w:rsidR="00BF12D5" w:rsidRPr="00BD0223" w14:paraId="088015E3"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661662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IBIRA</w:t>
            </w:r>
          </w:p>
        </w:tc>
        <w:tc>
          <w:tcPr>
            <w:tcW w:w="1304" w:type="dxa"/>
            <w:tcBorders>
              <w:top w:val="nil"/>
              <w:left w:val="nil"/>
              <w:bottom w:val="single" w:sz="4" w:space="0" w:color="auto"/>
              <w:right w:val="single" w:sz="4" w:space="0" w:color="auto"/>
            </w:tcBorders>
            <w:shd w:val="clear" w:color="auto" w:fill="auto"/>
            <w:noWrap/>
            <w:vAlign w:val="center"/>
            <w:hideMark/>
          </w:tcPr>
          <w:p w14:paraId="6197BB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1,02</w:t>
            </w:r>
          </w:p>
        </w:tc>
        <w:tc>
          <w:tcPr>
            <w:tcW w:w="1304" w:type="dxa"/>
            <w:tcBorders>
              <w:top w:val="nil"/>
              <w:left w:val="nil"/>
              <w:bottom w:val="single" w:sz="4" w:space="0" w:color="auto"/>
              <w:right w:val="single" w:sz="4" w:space="0" w:color="auto"/>
            </w:tcBorders>
            <w:shd w:val="clear" w:color="auto" w:fill="auto"/>
            <w:noWrap/>
            <w:vAlign w:val="center"/>
            <w:hideMark/>
          </w:tcPr>
          <w:p w14:paraId="150BBF8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0,93</w:t>
            </w:r>
          </w:p>
        </w:tc>
        <w:tc>
          <w:tcPr>
            <w:tcW w:w="1304" w:type="dxa"/>
            <w:tcBorders>
              <w:top w:val="nil"/>
              <w:left w:val="nil"/>
              <w:bottom w:val="single" w:sz="4" w:space="0" w:color="auto"/>
              <w:right w:val="single" w:sz="4" w:space="0" w:color="auto"/>
            </w:tcBorders>
            <w:shd w:val="clear" w:color="auto" w:fill="auto"/>
            <w:noWrap/>
            <w:vAlign w:val="center"/>
            <w:hideMark/>
          </w:tcPr>
          <w:p w14:paraId="7EC03A2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1,00</w:t>
            </w:r>
          </w:p>
        </w:tc>
        <w:tc>
          <w:tcPr>
            <w:tcW w:w="1304" w:type="dxa"/>
            <w:tcBorders>
              <w:top w:val="nil"/>
              <w:left w:val="nil"/>
              <w:bottom w:val="single" w:sz="4" w:space="0" w:color="auto"/>
              <w:right w:val="single" w:sz="4" w:space="0" w:color="auto"/>
            </w:tcBorders>
            <w:shd w:val="clear" w:color="auto" w:fill="auto"/>
            <w:noWrap/>
            <w:vAlign w:val="center"/>
            <w:hideMark/>
          </w:tcPr>
          <w:p w14:paraId="2F847B6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1,14</w:t>
            </w:r>
          </w:p>
        </w:tc>
      </w:tr>
      <w:tr w:rsidR="00BF12D5" w:rsidRPr="00BD0223" w14:paraId="7D36337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4D460A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ICEM</w:t>
            </w:r>
          </w:p>
        </w:tc>
        <w:tc>
          <w:tcPr>
            <w:tcW w:w="1304" w:type="dxa"/>
            <w:tcBorders>
              <w:top w:val="nil"/>
              <w:left w:val="nil"/>
              <w:bottom w:val="single" w:sz="4" w:space="0" w:color="auto"/>
              <w:right w:val="single" w:sz="4" w:space="0" w:color="auto"/>
            </w:tcBorders>
            <w:shd w:val="clear" w:color="auto" w:fill="auto"/>
            <w:noWrap/>
            <w:vAlign w:val="center"/>
            <w:hideMark/>
          </w:tcPr>
          <w:p w14:paraId="528CF9E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2,96</w:t>
            </w:r>
          </w:p>
        </w:tc>
        <w:tc>
          <w:tcPr>
            <w:tcW w:w="1304" w:type="dxa"/>
            <w:tcBorders>
              <w:top w:val="nil"/>
              <w:left w:val="nil"/>
              <w:bottom w:val="single" w:sz="4" w:space="0" w:color="auto"/>
              <w:right w:val="single" w:sz="4" w:space="0" w:color="auto"/>
            </w:tcBorders>
            <w:shd w:val="clear" w:color="auto" w:fill="auto"/>
            <w:noWrap/>
            <w:vAlign w:val="center"/>
            <w:hideMark/>
          </w:tcPr>
          <w:p w14:paraId="055BE9D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2,86</w:t>
            </w:r>
          </w:p>
        </w:tc>
        <w:tc>
          <w:tcPr>
            <w:tcW w:w="1304" w:type="dxa"/>
            <w:tcBorders>
              <w:top w:val="nil"/>
              <w:left w:val="nil"/>
              <w:bottom w:val="single" w:sz="4" w:space="0" w:color="auto"/>
              <w:right w:val="single" w:sz="4" w:space="0" w:color="auto"/>
            </w:tcBorders>
            <w:shd w:val="clear" w:color="auto" w:fill="auto"/>
            <w:noWrap/>
            <w:vAlign w:val="center"/>
            <w:hideMark/>
          </w:tcPr>
          <w:p w14:paraId="3226853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1,82</w:t>
            </w:r>
          </w:p>
        </w:tc>
        <w:tc>
          <w:tcPr>
            <w:tcW w:w="1304" w:type="dxa"/>
            <w:tcBorders>
              <w:top w:val="nil"/>
              <w:left w:val="nil"/>
              <w:bottom w:val="single" w:sz="4" w:space="0" w:color="auto"/>
              <w:right w:val="single" w:sz="4" w:space="0" w:color="auto"/>
            </w:tcBorders>
            <w:shd w:val="clear" w:color="auto" w:fill="auto"/>
            <w:noWrap/>
            <w:vAlign w:val="center"/>
            <w:hideMark/>
          </w:tcPr>
          <w:p w14:paraId="0AD0897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1,33</w:t>
            </w:r>
          </w:p>
        </w:tc>
      </w:tr>
      <w:tr w:rsidR="00BF12D5" w:rsidRPr="00BD0223" w14:paraId="367ACCA5"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361D7B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IGARAPAVA</w:t>
            </w:r>
          </w:p>
        </w:tc>
        <w:tc>
          <w:tcPr>
            <w:tcW w:w="1304" w:type="dxa"/>
            <w:tcBorders>
              <w:top w:val="nil"/>
              <w:left w:val="nil"/>
              <w:bottom w:val="single" w:sz="4" w:space="0" w:color="auto"/>
              <w:right w:val="single" w:sz="4" w:space="0" w:color="auto"/>
            </w:tcBorders>
            <w:shd w:val="clear" w:color="auto" w:fill="auto"/>
            <w:noWrap/>
            <w:vAlign w:val="center"/>
            <w:hideMark/>
          </w:tcPr>
          <w:p w14:paraId="7B9C6B4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14,40</w:t>
            </w:r>
          </w:p>
        </w:tc>
        <w:tc>
          <w:tcPr>
            <w:tcW w:w="1304" w:type="dxa"/>
            <w:tcBorders>
              <w:top w:val="nil"/>
              <w:left w:val="nil"/>
              <w:bottom w:val="single" w:sz="4" w:space="0" w:color="auto"/>
              <w:right w:val="single" w:sz="4" w:space="0" w:color="auto"/>
            </w:tcBorders>
            <w:shd w:val="clear" w:color="auto" w:fill="auto"/>
            <w:noWrap/>
            <w:vAlign w:val="center"/>
            <w:hideMark/>
          </w:tcPr>
          <w:p w14:paraId="3ACB812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15,64</w:t>
            </w:r>
          </w:p>
        </w:tc>
        <w:tc>
          <w:tcPr>
            <w:tcW w:w="1304" w:type="dxa"/>
            <w:tcBorders>
              <w:top w:val="nil"/>
              <w:left w:val="nil"/>
              <w:bottom w:val="single" w:sz="4" w:space="0" w:color="auto"/>
              <w:right w:val="single" w:sz="4" w:space="0" w:color="auto"/>
            </w:tcBorders>
            <w:shd w:val="clear" w:color="auto" w:fill="auto"/>
            <w:noWrap/>
            <w:vAlign w:val="center"/>
            <w:hideMark/>
          </w:tcPr>
          <w:p w14:paraId="2C271F7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15,56</w:t>
            </w:r>
          </w:p>
        </w:tc>
        <w:tc>
          <w:tcPr>
            <w:tcW w:w="1304" w:type="dxa"/>
            <w:tcBorders>
              <w:top w:val="nil"/>
              <w:left w:val="nil"/>
              <w:bottom w:val="single" w:sz="4" w:space="0" w:color="auto"/>
              <w:right w:val="single" w:sz="4" w:space="0" w:color="auto"/>
            </w:tcBorders>
            <w:shd w:val="clear" w:color="auto" w:fill="auto"/>
            <w:noWrap/>
            <w:vAlign w:val="center"/>
            <w:hideMark/>
          </w:tcPr>
          <w:p w14:paraId="73EF180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17,87</w:t>
            </w:r>
          </w:p>
        </w:tc>
      </w:tr>
      <w:tr w:rsidR="00BF12D5" w:rsidRPr="00BD0223" w14:paraId="74B5118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0099DA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INDIAPORA</w:t>
            </w:r>
          </w:p>
        </w:tc>
        <w:tc>
          <w:tcPr>
            <w:tcW w:w="1304" w:type="dxa"/>
            <w:tcBorders>
              <w:top w:val="nil"/>
              <w:left w:val="nil"/>
              <w:bottom w:val="single" w:sz="4" w:space="0" w:color="auto"/>
              <w:right w:val="single" w:sz="4" w:space="0" w:color="auto"/>
            </w:tcBorders>
            <w:shd w:val="clear" w:color="auto" w:fill="auto"/>
            <w:noWrap/>
            <w:vAlign w:val="center"/>
            <w:hideMark/>
          </w:tcPr>
          <w:p w14:paraId="2BF1BCA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0,42</w:t>
            </w:r>
          </w:p>
        </w:tc>
        <w:tc>
          <w:tcPr>
            <w:tcW w:w="1304" w:type="dxa"/>
            <w:tcBorders>
              <w:top w:val="nil"/>
              <w:left w:val="nil"/>
              <w:bottom w:val="single" w:sz="4" w:space="0" w:color="auto"/>
              <w:right w:val="single" w:sz="4" w:space="0" w:color="auto"/>
            </w:tcBorders>
            <w:shd w:val="clear" w:color="auto" w:fill="auto"/>
            <w:noWrap/>
            <w:vAlign w:val="center"/>
            <w:hideMark/>
          </w:tcPr>
          <w:p w14:paraId="73DE1F5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0,53</w:t>
            </w:r>
          </w:p>
        </w:tc>
        <w:tc>
          <w:tcPr>
            <w:tcW w:w="1304" w:type="dxa"/>
            <w:tcBorders>
              <w:top w:val="nil"/>
              <w:left w:val="nil"/>
              <w:bottom w:val="single" w:sz="4" w:space="0" w:color="auto"/>
              <w:right w:val="single" w:sz="4" w:space="0" w:color="auto"/>
            </w:tcBorders>
            <w:shd w:val="clear" w:color="auto" w:fill="auto"/>
            <w:noWrap/>
            <w:vAlign w:val="center"/>
            <w:hideMark/>
          </w:tcPr>
          <w:p w14:paraId="2B6619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0,50</w:t>
            </w:r>
          </w:p>
        </w:tc>
        <w:tc>
          <w:tcPr>
            <w:tcW w:w="1304" w:type="dxa"/>
            <w:tcBorders>
              <w:top w:val="nil"/>
              <w:left w:val="nil"/>
              <w:bottom w:val="single" w:sz="4" w:space="0" w:color="auto"/>
              <w:right w:val="single" w:sz="4" w:space="0" w:color="auto"/>
            </w:tcBorders>
            <w:shd w:val="clear" w:color="auto" w:fill="auto"/>
            <w:noWrap/>
            <w:vAlign w:val="center"/>
            <w:hideMark/>
          </w:tcPr>
          <w:p w14:paraId="06EAB1D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0,51</w:t>
            </w:r>
          </w:p>
        </w:tc>
      </w:tr>
      <w:tr w:rsidR="00BF12D5" w:rsidRPr="00BD0223" w14:paraId="7A4D65B1"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16EE1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IPIGUA</w:t>
            </w:r>
          </w:p>
        </w:tc>
        <w:tc>
          <w:tcPr>
            <w:tcW w:w="1304" w:type="dxa"/>
            <w:tcBorders>
              <w:top w:val="nil"/>
              <w:left w:val="nil"/>
              <w:bottom w:val="single" w:sz="4" w:space="0" w:color="auto"/>
              <w:right w:val="single" w:sz="4" w:space="0" w:color="auto"/>
            </w:tcBorders>
            <w:shd w:val="clear" w:color="auto" w:fill="auto"/>
            <w:noWrap/>
            <w:vAlign w:val="center"/>
            <w:hideMark/>
          </w:tcPr>
          <w:p w14:paraId="75C179E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304" w:type="dxa"/>
            <w:tcBorders>
              <w:top w:val="nil"/>
              <w:left w:val="nil"/>
              <w:bottom w:val="single" w:sz="4" w:space="0" w:color="auto"/>
              <w:right w:val="single" w:sz="4" w:space="0" w:color="auto"/>
            </w:tcBorders>
            <w:shd w:val="clear" w:color="auto" w:fill="auto"/>
            <w:noWrap/>
            <w:vAlign w:val="center"/>
            <w:hideMark/>
          </w:tcPr>
          <w:p w14:paraId="1A6E64B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0,26</w:t>
            </w:r>
          </w:p>
        </w:tc>
        <w:tc>
          <w:tcPr>
            <w:tcW w:w="1304" w:type="dxa"/>
            <w:tcBorders>
              <w:top w:val="nil"/>
              <w:left w:val="nil"/>
              <w:bottom w:val="single" w:sz="4" w:space="0" w:color="auto"/>
              <w:right w:val="single" w:sz="4" w:space="0" w:color="auto"/>
            </w:tcBorders>
            <w:shd w:val="clear" w:color="auto" w:fill="auto"/>
            <w:noWrap/>
            <w:vAlign w:val="center"/>
            <w:hideMark/>
          </w:tcPr>
          <w:p w14:paraId="181B8DF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0,24</w:t>
            </w:r>
          </w:p>
        </w:tc>
        <w:tc>
          <w:tcPr>
            <w:tcW w:w="1304" w:type="dxa"/>
            <w:tcBorders>
              <w:top w:val="nil"/>
              <w:left w:val="nil"/>
              <w:bottom w:val="single" w:sz="4" w:space="0" w:color="auto"/>
              <w:right w:val="single" w:sz="4" w:space="0" w:color="auto"/>
            </w:tcBorders>
            <w:shd w:val="clear" w:color="auto" w:fill="auto"/>
            <w:noWrap/>
            <w:vAlign w:val="center"/>
            <w:hideMark/>
          </w:tcPr>
          <w:p w14:paraId="7422E8E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0,23</w:t>
            </w:r>
          </w:p>
        </w:tc>
      </w:tr>
      <w:tr w:rsidR="00BF12D5" w:rsidRPr="00BD0223" w14:paraId="689B42CF"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64322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IPUA</w:t>
            </w:r>
          </w:p>
        </w:tc>
        <w:tc>
          <w:tcPr>
            <w:tcW w:w="1304" w:type="dxa"/>
            <w:tcBorders>
              <w:top w:val="nil"/>
              <w:left w:val="nil"/>
              <w:bottom w:val="single" w:sz="4" w:space="0" w:color="auto"/>
              <w:right w:val="single" w:sz="4" w:space="0" w:color="auto"/>
            </w:tcBorders>
            <w:shd w:val="clear" w:color="auto" w:fill="auto"/>
            <w:noWrap/>
            <w:vAlign w:val="center"/>
            <w:hideMark/>
          </w:tcPr>
          <w:p w14:paraId="589605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4,31</w:t>
            </w:r>
          </w:p>
        </w:tc>
        <w:tc>
          <w:tcPr>
            <w:tcW w:w="1304" w:type="dxa"/>
            <w:tcBorders>
              <w:top w:val="nil"/>
              <w:left w:val="nil"/>
              <w:bottom w:val="single" w:sz="4" w:space="0" w:color="auto"/>
              <w:right w:val="single" w:sz="4" w:space="0" w:color="auto"/>
            </w:tcBorders>
            <w:shd w:val="clear" w:color="auto" w:fill="auto"/>
            <w:noWrap/>
            <w:vAlign w:val="center"/>
            <w:hideMark/>
          </w:tcPr>
          <w:p w14:paraId="0E60406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4,08</w:t>
            </w:r>
          </w:p>
        </w:tc>
        <w:tc>
          <w:tcPr>
            <w:tcW w:w="1304" w:type="dxa"/>
            <w:tcBorders>
              <w:top w:val="nil"/>
              <w:left w:val="nil"/>
              <w:bottom w:val="single" w:sz="4" w:space="0" w:color="auto"/>
              <w:right w:val="single" w:sz="4" w:space="0" w:color="auto"/>
            </w:tcBorders>
            <w:shd w:val="clear" w:color="auto" w:fill="auto"/>
            <w:noWrap/>
            <w:vAlign w:val="center"/>
            <w:hideMark/>
          </w:tcPr>
          <w:p w14:paraId="1D946A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3,96</w:t>
            </w:r>
          </w:p>
        </w:tc>
        <w:tc>
          <w:tcPr>
            <w:tcW w:w="1304" w:type="dxa"/>
            <w:tcBorders>
              <w:top w:val="nil"/>
              <w:left w:val="nil"/>
              <w:bottom w:val="single" w:sz="4" w:space="0" w:color="auto"/>
              <w:right w:val="single" w:sz="4" w:space="0" w:color="auto"/>
            </w:tcBorders>
            <w:shd w:val="clear" w:color="auto" w:fill="auto"/>
            <w:noWrap/>
            <w:vAlign w:val="center"/>
            <w:hideMark/>
          </w:tcPr>
          <w:p w14:paraId="61CBF5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3,05</w:t>
            </w:r>
          </w:p>
        </w:tc>
      </w:tr>
      <w:tr w:rsidR="00BF12D5" w:rsidRPr="00BD0223" w14:paraId="59AEBA95"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75EDBD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IRAPUA</w:t>
            </w:r>
          </w:p>
        </w:tc>
        <w:tc>
          <w:tcPr>
            <w:tcW w:w="1304" w:type="dxa"/>
            <w:tcBorders>
              <w:top w:val="nil"/>
              <w:left w:val="nil"/>
              <w:bottom w:val="single" w:sz="4" w:space="0" w:color="auto"/>
              <w:right w:val="single" w:sz="4" w:space="0" w:color="auto"/>
            </w:tcBorders>
            <w:shd w:val="clear" w:color="auto" w:fill="auto"/>
            <w:noWrap/>
            <w:vAlign w:val="center"/>
            <w:hideMark/>
          </w:tcPr>
          <w:p w14:paraId="7D2381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2,26</w:t>
            </w:r>
          </w:p>
        </w:tc>
        <w:tc>
          <w:tcPr>
            <w:tcW w:w="1304" w:type="dxa"/>
            <w:tcBorders>
              <w:top w:val="nil"/>
              <w:left w:val="nil"/>
              <w:bottom w:val="single" w:sz="4" w:space="0" w:color="auto"/>
              <w:right w:val="single" w:sz="4" w:space="0" w:color="auto"/>
            </w:tcBorders>
            <w:shd w:val="clear" w:color="auto" w:fill="auto"/>
            <w:noWrap/>
            <w:vAlign w:val="center"/>
            <w:hideMark/>
          </w:tcPr>
          <w:p w14:paraId="562CA5A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2,76</w:t>
            </w:r>
          </w:p>
        </w:tc>
        <w:tc>
          <w:tcPr>
            <w:tcW w:w="1304" w:type="dxa"/>
            <w:tcBorders>
              <w:top w:val="nil"/>
              <w:left w:val="nil"/>
              <w:bottom w:val="single" w:sz="4" w:space="0" w:color="auto"/>
              <w:right w:val="single" w:sz="4" w:space="0" w:color="auto"/>
            </w:tcBorders>
            <w:shd w:val="clear" w:color="auto" w:fill="auto"/>
            <w:noWrap/>
            <w:vAlign w:val="center"/>
            <w:hideMark/>
          </w:tcPr>
          <w:p w14:paraId="09DCE0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2,55</w:t>
            </w:r>
          </w:p>
        </w:tc>
        <w:tc>
          <w:tcPr>
            <w:tcW w:w="1304" w:type="dxa"/>
            <w:tcBorders>
              <w:top w:val="nil"/>
              <w:left w:val="nil"/>
              <w:bottom w:val="single" w:sz="4" w:space="0" w:color="auto"/>
              <w:right w:val="single" w:sz="4" w:space="0" w:color="auto"/>
            </w:tcBorders>
            <w:shd w:val="clear" w:color="auto" w:fill="auto"/>
            <w:noWrap/>
            <w:vAlign w:val="center"/>
            <w:hideMark/>
          </w:tcPr>
          <w:p w14:paraId="799B664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2,57</w:t>
            </w:r>
          </w:p>
        </w:tc>
      </w:tr>
      <w:tr w:rsidR="00BF12D5" w:rsidRPr="00BD0223" w14:paraId="16D55F0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F38C06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ITAJOBI</w:t>
            </w:r>
          </w:p>
        </w:tc>
        <w:tc>
          <w:tcPr>
            <w:tcW w:w="1304" w:type="dxa"/>
            <w:tcBorders>
              <w:top w:val="nil"/>
              <w:left w:val="nil"/>
              <w:bottom w:val="single" w:sz="4" w:space="0" w:color="auto"/>
              <w:right w:val="single" w:sz="4" w:space="0" w:color="auto"/>
            </w:tcBorders>
            <w:shd w:val="clear" w:color="auto" w:fill="auto"/>
            <w:noWrap/>
            <w:vAlign w:val="center"/>
            <w:hideMark/>
          </w:tcPr>
          <w:p w14:paraId="5F3A9DF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5,02</w:t>
            </w:r>
          </w:p>
        </w:tc>
        <w:tc>
          <w:tcPr>
            <w:tcW w:w="1304" w:type="dxa"/>
            <w:tcBorders>
              <w:top w:val="nil"/>
              <w:left w:val="nil"/>
              <w:bottom w:val="single" w:sz="4" w:space="0" w:color="auto"/>
              <w:right w:val="single" w:sz="4" w:space="0" w:color="auto"/>
            </w:tcBorders>
            <w:shd w:val="clear" w:color="auto" w:fill="auto"/>
            <w:noWrap/>
            <w:vAlign w:val="center"/>
            <w:hideMark/>
          </w:tcPr>
          <w:p w14:paraId="66CBD9E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5,14</w:t>
            </w:r>
          </w:p>
        </w:tc>
        <w:tc>
          <w:tcPr>
            <w:tcW w:w="1304" w:type="dxa"/>
            <w:tcBorders>
              <w:top w:val="nil"/>
              <w:left w:val="nil"/>
              <w:bottom w:val="single" w:sz="4" w:space="0" w:color="auto"/>
              <w:right w:val="single" w:sz="4" w:space="0" w:color="auto"/>
            </w:tcBorders>
            <w:shd w:val="clear" w:color="auto" w:fill="auto"/>
            <w:noWrap/>
            <w:vAlign w:val="center"/>
            <w:hideMark/>
          </w:tcPr>
          <w:p w14:paraId="35749CA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5,79</w:t>
            </w:r>
          </w:p>
        </w:tc>
        <w:tc>
          <w:tcPr>
            <w:tcW w:w="1304" w:type="dxa"/>
            <w:tcBorders>
              <w:top w:val="nil"/>
              <w:left w:val="nil"/>
              <w:bottom w:val="single" w:sz="4" w:space="0" w:color="auto"/>
              <w:right w:val="single" w:sz="4" w:space="0" w:color="auto"/>
            </w:tcBorders>
            <w:shd w:val="clear" w:color="auto" w:fill="auto"/>
            <w:noWrap/>
            <w:vAlign w:val="center"/>
            <w:hideMark/>
          </w:tcPr>
          <w:p w14:paraId="55AADC6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5,73</w:t>
            </w:r>
          </w:p>
        </w:tc>
      </w:tr>
      <w:tr w:rsidR="00BF12D5" w:rsidRPr="00BD0223" w14:paraId="248FE21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2ABC8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ITIRAPUA</w:t>
            </w:r>
          </w:p>
        </w:tc>
        <w:tc>
          <w:tcPr>
            <w:tcW w:w="1304" w:type="dxa"/>
            <w:tcBorders>
              <w:top w:val="nil"/>
              <w:left w:val="nil"/>
              <w:bottom w:val="single" w:sz="4" w:space="0" w:color="auto"/>
              <w:right w:val="single" w:sz="4" w:space="0" w:color="auto"/>
            </w:tcBorders>
            <w:shd w:val="clear" w:color="auto" w:fill="auto"/>
            <w:noWrap/>
            <w:vAlign w:val="center"/>
            <w:hideMark/>
          </w:tcPr>
          <w:p w14:paraId="6333824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0,84</w:t>
            </w:r>
          </w:p>
        </w:tc>
        <w:tc>
          <w:tcPr>
            <w:tcW w:w="1304" w:type="dxa"/>
            <w:tcBorders>
              <w:top w:val="nil"/>
              <w:left w:val="nil"/>
              <w:bottom w:val="single" w:sz="4" w:space="0" w:color="auto"/>
              <w:right w:val="single" w:sz="4" w:space="0" w:color="auto"/>
            </w:tcBorders>
            <w:shd w:val="clear" w:color="auto" w:fill="auto"/>
            <w:noWrap/>
            <w:vAlign w:val="center"/>
            <w:hideMark/>
          </w:tcPr>
          <w:p w14:paraId="4A1A22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1,35</w:t>
            </w:r>
          </w:p>
        </w:tc>
        <w:tc>
          <w:tcPr>
            <w:tcW w:w="1304" w:type="dxa"/>
            <w:tcBorders>
              <w:top w:val="nil"/>
              <w:left w:val="nil"/>
              <w:bottom w:val="single" w:sz="4" w:space="0" w:color="auto"/>
              <w:right w:val="single" w:sz="4" w:space="0" w:color="auto"/>
            </w:tcBorders>
            <w:shd w:val="clear" w:color="auto" w:fill="auto"/>
            <w:noWrap/>
            <w:vAlign w:val="center"/>
            <w:hideMark/>
          </w:tcPr>
          <w:p w14:paraId="679E1B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1,43</w:t>
            </w:r>
          </w:p>
        </w:tc>
        <w:tc>
          <w:tcPr>
            <w:tcW w:w="1304" w:type="dxa"/>
            <w:tcBorders>
              <w:top w:val="nil"/>
              <w:left w:val="nil"/>
              <w:bottom w:val="single" w:sz="4" w:space="0" w:color="auto"/>
              <w:right w:val="single" w:sz="4" w:space="0" w:color="auto"/>
            </w:tcBorders>
            <w:shd w:val="clear" w:color="auto" w:fill="auto"/>
            <w:noWrap/>
            <w:vAlign w:val="center"/>
            <w:hideMark/>
          </w:tcPr>
          <w:p w14:paraId="3796859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1,84</w:t>
            </w:r>
          </w:p>
        </w:tc>
      </w:tr>
      <w:tr w:rsidR="00BF12D5" w:rsidRPr="00BD0223" w14:paraId="6E5E4492"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EE1B6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ITUVERAVA</w:t>
            </w:r>
          </w:p>
        </w:tc>
        <w:tc>
          <w:tcPr>
            <w:tcW w:w="1304" w:type="dxa"/>
            <w:tcBorders>
              <w:top w:val="nil"/>
              <w:left w:val="nil"/>
              <w:bottom w:val="single" w:sz="4" w:space="0" w:color="auto"/>
              <w:right w:val="single" w:sz="4" w:space="0" w:color="auto"/>
            </w:tcBorders>
            <w:shd w:val="clear" w:color="auto" w:fill="auto"/>
            <w:noWrap/>
            <w:vAlign w:val="center"/>
            <w:hideMark/>
          </w:tcPr>
          <w:p w14:paraId="742992F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8,78</w:t>
            </w:r>
          </w:p>
        </w:tc>
        <w:tc>
          <w:tcPr>
            <w:tcW w:w="1304" w:type="dxa"/>
            <w:tcBorders>
              <w:top w:val="nil"/>
              <w:left w:val="nil"/>
              <w:bottom w:val="single" w:sz="4" w:space="0" w:color="auto"/>
              <w:right w:val="single" w:sz="4" w:space="0" w:color="auto"/>
            </w:tcBorders>
            <w:shd w:val="clear" w:color="auto" w:fill="auto"/>
            <w:noWrap/>
            <w:vAlign w:val="center"/>
            <w:hideMark/>
          </w:tcPr>
          <w:p w14:paraId="79F6F2B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9,03</w:t>
            </w:r>
          </w:p>
        </w:tc>
        <w:tc>
          <w:tcPr>
            <w:tcW w:w="1304" w:type="dxa"/>
            <w:tcBorders>
              <w:top w:val="nil"/>
              <w:left w:val="nil"/>
              <w:bottom w:val="single" w:sz="4" w:space="0" w:color="auto"/>
              <w:right w:val="single" w:sz="4" w:space="0" w:color="auto"/>
            </w:tcBorders>
            <w:shd w:val="clear" w:color="auto" w:fill="auto"/>
            <w:noWrap/>
            <w:vAlign w:val="center"/>
            <w:hideMark/>
          </w:tcPr>
          <w:p w14:paraId="11C9C46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8,26</w:t>
            </w:r>
          </w:p>
        </w:tc>
        <w:tc>
          <w:tcPr>
            <w:tcW w:w="1304" w:type="dxa"/>
            <w:tcBorders>
              <w:top w:val="nil"/>
              <w:left w:val="nil"/>
              <w:bottom w:val="single" w:sz="4" w:space="0" w:color="auto"/>
              <w:right w:val="single" w:sz="4" w:space="0" w:color="auto"/>
            </w:tcBorders>
            <w:shd w:val="clear" w:color="auto" w:fill="auto"/>
            <w:noWrap/>
            <w:vAlign w:val="center"/>
            <w:hideMark/>
          </w:tcPr>
          <w:p w14:paraId="048145C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9,18</w:t>
            </w:r>
          </w:p>
        </w:tc>
      </w:tr>
      <w:tr w:rsidR="00BF12D5" w:rsidRPr="00BD0223" w14:paraId="389E3F6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179831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JABORANDI</w:t>
            </w:r>
          </w:p>
        </w:tc>
        <w:tc>
          <w:tcPr>
            <w:tcW w:w="1304" w:type="dxa"/>
            <w:tcBorders>
              <w:top w:val="nil"/>
              <w:left w:val="nil"/>
              <w:bottom w:val="single" w:sz="4" w:space="0" w:color="auto"/>
              <w:right w:val="single" w:sz="4" w:space="0" w:color="auto"/>
            </w:tcBorders>
            <w:shd w:val="clear" w:color="auto" w:fill="auto"/>
            <w:noWrap/>
            <w:vAlign w:val="center"/>
            <w:hideMark/>
          </w:tcPr>
          <w:p w14:paraId="1DA79C9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0,91</w:t>
            </w:r>
          </w:p>
        </w:tc>
        <w:tc>
          <w:tcPr>
            <w:tcW w:w="1304" w:type="dxa"/>
            <w:tcBorders>
              <w:top w:val="nil"/>
              <w:left w:val="nil"/>
              <w:bottom w:val="single" w:sz="4" w:space="0" w:color="auto"/>
              <w:right w:val="single" w:sz="4" w:space="0" w:color="auto"/>
            </w:tcBorders>
            <w:shd w:val="clear" w:color="auto" w:fill="auto"/>
            <w:noWrap/>
            <w:vAlign w:val="center"/>
            <w:hideMark/>
          </w:tcPr>
          <w:p w14:paraId="422E46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0,83</w:t>
            </w:r>
          </w:p>
        </w:tc>
        <w:tc>
          <w:tcPr>
            <w:tcW w:w="1304" w:type="dxa"/>
            <w:tcBorders>
              <w:top w:val="nil"/>
              <w:left w:val="nil"/>
              <w:bottom w:val="single" w:sz="4" w:space="0" w:color="auto"/>
              <w:right w:val="single" w:sz="4" w:space="0" w:color="auto"/>
            </w:tcBorders>
            <w:shd w:val="clear" w:color="auto" w:fill="auto"/>
            <w:noWrap/>
            <w:vAlign w:val="center"/>
            <w:hideMark/>
          </w:tcPr>
          <w:p w14:paraId="04622E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0,61</w:t>
            </w:r>
          </w:p>
        </w:tc>
        <w:tc>
          <w:tcPr>
            <w:tcW w:w="1304" w:type="dxa"/>
            <w:tcBorders>
              <w:top w:val="nil"/>
              <w:left w:val="nil"/>
              <w:bottom w:val="single" w:sz="4" w:space="0" w:color="auto"/>
              <w:right w:val="single" w:sz="4" w:space="0" w:color="auto"/>
            </w:tcBorders>
            <w:shd w:val="clear" w:color="auto" w:fill="auto"/>
            <w:noWrap/>
            <w:vAlign w:val="center"/>
            <w:hideMark/>
          </w:tcPr>
          <w:p w14:paraId="45A3D1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0,53</w:t>
            </w:r>
          </w:p>
        </w:tc>
      </w:tr>
      <w:tr w:rsidR="00BF12D5" w:rsidRPr="00BD0223" w14:paraId="6B60E5C0"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9F398D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JABOTICABAL</w:t>
            </w:r>
          </w:p>
        </w:tc>
        <w:tc>
          <w:tcPr>
            <w:tcW w:w="1304" w:type="dxa"/>
            <w:tcBorders>
              <w:top w:val="nil"/>
              <w:left w:val="nil"/>
              <w:bottom w:val="single" w:sz="4" w:space="0" w:color="auto"/>
              <w:right w:val="single" w:sz="4" w:space="0" w:color="auto"/>
            </w:tcBorders>
            <w:shd w:val="clear" w:color="auto" w:fill="auto"/>
            <w:noWrap/>
            <w:vAlign w:val="center"/>
            <w:hideMark/>
          </w:tcPr>
          <w:p w14:paraId="013AD64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24,80</w:t>
            </w:r>
          </w:p>
        </w:tc>
        <w:tc>
          <w:tcPr>
            <w:tcW w:w="1304" w:type="dxa"/>
            <w:tcBorders>
              <w:top w:val="nil"/>
              <w:left w:val="nil"/>
              <w:bottom w:val="single" w:sz="4" w:space="0" w:color="auto"/>
              <w:right w:val="single" w:sz="4" w:space="0" w:color="auto"/>
            </w:tcBorders>
            <w:shd w:val="clear" w:color="auto" w:fill="auto"/>
            <w:noWrap/>
            <w:vAlign w:val="center"/>
            <w:hideMark/>
          </w:tcPr>
          <w:p w14:paraId="493A624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28,52</w:t>
            </w:r>
          </w:p>
        </w:tc>
        <w:tc>
          <w:tcPr>
            <w:tcW w:w="1304" w:type="dxa"/>
            <w:tcBorders>
              <w:top w:val="nil"/>
              <w:left w:val="nil"/>
              <w:bottom w:val="single" w:sz="4" w:space="0" w:color="auto"/>
              <w:right w:val="single" w:sz="4" w:space="0" w:color="auto"/>
            </w:tcBorders>
            <w:shd w:val="clear" w:color="auto" w:fill="auto"/>
            <w:noWrap/>
            <w:vAlign w:val="center"/>
            <w:hideMark/>
          </w:tcPr>
          <w:p w14:paraId="5FD89EB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35,56</w:t>
            </w:r>
          </w:p>
        </w:tc>
        <w:tc>
          <w:tcPr>
            <w:tcW w:w="1304" w:type="dxa"/>
            <w:tcBorders>
              <w:top w:val="nil"/>
              <w:left w:val="nil"/>
              <w:bottom w:val="single" w:sz="4" w:space="0" w:color="auto"/>
              <w:right w:val="single" w:sz="4" w:space="0" w:color="auto"/>
            </w:tcBorders>
            <w:shd w:val="clear" w:color="auto" w:fill="auto"/>
            <w:noWrap/>
            <w:vAlign w:val="center"/>
            <w:hideMark/>
          </w:tcPr>
          <w:p w14:paraId="144D0FB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39,37</w:t>
            </w:r>
          </w:p>
        </w:tc>
      </w:tr>
      <w:tr w:rsidR="00BF12D5" w:rsidRPr="00BD0223" w14:paraId="0370046C"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F5AE3C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JACI</w:t>
            </w:r>
          </w:p>
        </w:tc>
        <w:tc>
          <w:tcPr>
            <w:tcW w:w="1304" w:type="dxa"/>
            <w:tcBorders>
              <w:top w:val="nil"/>
              <w:left w:val="nil"/>
              <w:bottom w:val="single" w:sz="4" w:space="0" w:color="auto"/>
              <w:right w:val="single" w:sz="4" w:space="0" w:color="auto"/>
            </w:tcBorders>
            <w:shd w:val="clear" w:color="auto" w:fill="auto"/>
            <w:noWrap/>
            <w:vAlign w:val="center"/>
            <w:hideMark/>
          </w:tcPr>
          <w:p w14:paraId="5CE0E17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7,09</w:t>
            </w:r>
          </w:p>
        </w:tc>
        <w:tc>
          <w:tcPr>
            <w:tcW w:w="1304" w:type="dxa"/>
            <w:tcBorders>
              <w:top w:val="nil"/>
              <w:left w:val="nil"/>
              <w:bottom w:val="single" w:sz="4" w:space="0" w:color="auto"/>
              <w:right w:val="single" w:sz="4" w:space="0" w:color="auto"/>
            </w:tcBorders>
            <w:shd w:val="clear" w:color="auto" w:fill="auto"/>
            <w:noWrap/>
            <w:vAlign w:val="center"/>
            <w:hideMark/>
          </w:tcPr>
          <w:p w14:paraId="3A37926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6,42</w:t>
            </w:r>
          </w:p>
        </w:tc>
        <w:tc>
          <w:tcPr>
            <w:tcW w:w="1304" w:type="dxa"/>
            <w:tcBorders>
              <w:top w:val="nil"/>
              <w:left w:val="nil"/>
              <w:bottom w:val="single" w:sz="4" w:space="0" w:color="auto"/>
              <w:right w:val="single" w:sz="4" w:space="0" w:color="auto"/>
            </w:tcBorders>
            <w:shd w:val="clear" w:color="auto" w:fill="auto"/>
            <w:noWrap/>
            <w:vAlign w:val="center"/>
            <w:hideMark/>
          </w:tcPr>
          <w:p w14:paraId="00F7C4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6,26</w:t>
            </w:r>
          </w:p>
        </w:tc>
        <w:tc>
          <w:tcPr>
            <w:tcW w:w="1304" w:type="dxa"/>
            <w:tcBorders>
              <w:top w:val="nil"/>
              <w:left w:val="nil"/>
              <w:bottom w:val="single" w:sz="4" w:space="0" w:color="auto"/>
              <w:right w:val="single" w:sz="4" w:space="0" w:color="auto"/>
            </w:tcBorders>
            <w:shd w:val="clear" w:color="auto" w:fill="auto"/>
            <w:noWrap/>
            <w:vAlign w:val="center"/>
            <w:hideMark/>
          </w:tcPr>
          <w:p w14:paraId="3C2F738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5,91</w:t>
            </w:r>
          </w:p>
        </w:tc>
      </w:tr>
      <w:tr w:rsidR="00BF12D5" w:rsidRPr="00BD0223" w14:paraId="1C1B4182"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B6664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JALES</w:t>
            </w:r>
          </w:p>
        </w:tc>
        <w:tc>
          <w:tcPr>
            <w:tcW w:w="1304" w:type="dxa"/>
            <w:tcBorders>
              <w:top w:val="nil"/>
              <w:left w:val="nil"/>
              <w:bottom w:val="single" w:sz="4" w:space="0" w:color="auto"/>
              <w:right w:val="single" w:sz="4" w:space="0" w:color="auto"/>
            </w:tcBorders>
            <w:shd w:val="clear" w:color="auto" w:fill="auto"/>
            <w:noWrap/>
            <w:vAlign w:val="center"/>
            <w:hideMark/>
          </w:tcPr>
          <w:p w14:paraId="22219E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62,84</w:t>
            </w:r>
          </w:p>
        </w:tc>
        <w:tc>
          <w:tcPr>
            <w:tcW w:w="1304" w:type="dxa"/>
            <w:tcBorders>
              <w:top w:val="nil"/>
              <w:left w:val="nil"/>
              <w:bottom w:val="single" w:sz="4" w:space="0" w:color="auto"/>
              <w:right w:val="single" w:sz="4" w:space="0" w:color="auto"/>
            </w:tcBorders>
            <w:shd w:val="clear" w:color="auto" w:fill="auto"/>
            <w:noWrap/>
            <w:vAlign w:val="center"/>
            <w:hideMark/>
          </w:tcPr>
          <w:p w14:paraId="7EC5DE0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59,55</w:t>
            </w:r>
          </w:p>
        </w:tc>
        <w:tc>
          <w:tcPr>
            <w:tcW w:w="1304" w:type="dxa"/>
            <w:tcBorders>
              <w:top w:val="nil"/>
              <w:left w:val="nil"/>
              <w:bottom w:val="single" w:sz="4" w:space="0" w:color="auto"/>
              <w:right w:val="single" w:sz="4" w:space="0" w:color="auto"/>
            </w:tcBorders>
            <w:shd w:val="clear" w:color="auto" w:fill="auto"/>
            <w:noWrap/>
            <w:vAlign w:val="center"/>
            <w:hideMark/>
          </w:tcPr>
          <w:p w14:paraId="07E4B1B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60,58</w:t>
            </w:r>
          </w:p>
        </w:tc>
        <w:tc>
          <w:tcPr>
            <w:tcW w:w="1304" w:type="dxa"/>
            <w:tcBorders>
              <w:top w:val="nil"/>
              <w:left w:val="nil"/>
              <w:bottom w:val="single" w:sz="4" w:space="0" w:color="auto"/>
              <w:right w:val="single" w:sz="4" w:space="0" w:color="auto"/>
            </w:tcBorders>
            <w:shd w:val="clear" w:color="auto" w:fill="auto"/>
            <w:noWrap/>
            <w:vAlign w:val="center"/>
            <w:hideMark/>
          </w:tcPr>
          <w:p w14:paraId="6B83031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65,82</w:t>
            </w:r>
          </w:p>
        </w:tc>
      </w:tr>
      <w:tr w:rsidR="00BF12D5" w:rsidRPr="00BD0223" w14:paraId="388B521B"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5CACE74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JARDINOPOLIS</w:t>
            </w:r>
          </w:p>
        </w:tc>
        <w:tc>
          <w:tcPr>
            <w:tcW w:w="1304" w:type="dxa"/>
            <w:tcBorders>
              <w:top w:val="nil"/>
              <w:left w:val="nil"/>
              <w:bottom w:val="single" w:sz="4" w:space="0" w:color="auto"/>
              <w:right w:val="single" w:sz="4" w:space="0" w:color="auto"/>
            </w:tcBorders>
            <w:shd w:val="clear" w:color="auto" w:fill="auto"/>
            <w:noWrap/>
            <w:vAlign w:val="center"/>
            <w:hideMark/>
          </w:tcPr>
          <w:p w14:paraId="70315A7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18,02</w:t>
            </w:r>
          </w:p>
        </w:tc>
        <w:tc>
          <w:tcPr>
            <w:tcW w:w="1304" w:type="dxa"/>
            <w:tcBorders>
              <w:top w:val="nil"/>
              <w:left w:val="nil"/>
              <w:bottom w:val="single" w:sz="4" w:space="0" w:color="auto"/>
              <w:right w:val="single" w:sz="4" w:space="0" w:color="auto"/>
            </w:tcBorders>
            <w:shd w:val="clear" w:color="auto" w:fill="auto"/>
            <w:noWrap/>
            <w:vAlign w:val="center"/>
            <w:hideMark/>
          </w:tcPr>
          <w:p w14:paraId="306898F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21,10</w:t>
            </w:r>
          </w:p>
        </w:tc>
        <w:tc>
          <w:tcPr>
            <w:tcW w:w="1304" w:type="dxa"/>
            <w:tcBorders>
              <w:top w:val="nil"/>
              <w:left w:val="nil"/>
              <w:bottom w:val="single" w:sz="4" w:space="0" w:color="auto"/>
              <w:right w:val="single" w:sz="4" w:space="0" w:color="auto"/>
            </w:tcBorders>
            <w:shd w:val="clear" w:color="auto" w:fill="auto"/>
            <w:noWrap/>
            <w:vAlign w:val="center"/>
            <w:hideMark/>
          </w:tcPr>
          <w:p w14:paraId="37C120C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25,23</w:t>
            </w:r>
          </w:p>
        </w:tc>
        <w:tc>
          <w:tcPr>
            <w:tcW w:w="1304" w:type="dxa"/>
            <w:tcBorders>
              <w:top w:val="nil"/>
              <w:left w:val="nil"/>
              <w:bottom w:val="single" w:sz="4" w:space="0" w:color="auto"/>
              <w:right w:val="single" w:sz="4" w:space="0" w:color="auto"/>
            </w:tcBorders>
            <w:shd w:val="clear" w:color="auto" w:fill="auto"/>
            <w:noWrap/>
            <w:vAlign w:val="center"/>
            <w:hideMark/>
          </w:tcPr>
          <w:p w14:paraId="0714805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29,04</w:t>
            </w:r>
          </w:p>
        </w:tc>
      </w:tr>
      <w:tr w:rsidR="00BF12D5" w:rsidRPr="00BD0223" w14:paraId="5CE00AC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53D9B5D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JERIQUARA</w:t>
            </w:r>
          </w:p>
        </w:tc>
        <w:tc>
          <w:tcPr>
            <w:tcW w:w="1304" w:type="dxa"/>
            <w:tcBorders>
              <w:top w:val="nil"/>
              <w:left w:val="nil"/>
              <w:bottom w:val="single" w:sz="4" w:space="0" w:color="auto"/>
              <w:right w:val="single" w:sz="4" w:space="0" w:color="auto"/>
            </w:tcBorders>
            <w:shd w:val="clear" w:color="auto" w:fill="auto"/>
            <w:noWrap/>
            <w:vAlign w:val="center"/>
            <w:hideMark/>
          </w:tcPr>
          <w:p w14:paraId="6222DA3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2,44</w:t>
            </w:r>
          </w:p>
        </w:tc>
        <w:tc>
          <w:tcPr>
            <w:tcW w:w="1304" w:type="dxa"/>
            <w:tcBorders>
              <w:top w:val="nil"/>
              <w:left w:val="nil"/>
              <w:bottom w:val="single" w:sz="4" w:space="0" w:color="auto"/>
              <w:right w:val="single" w:sz="4" w:space="0" w:color="auto"/>
            </w:tcBorders>
            <w:shd w:val="clear" w:color="auto" w:fill="auto"/>
            <w:noWrap/>
            <w:vAlign w:val="center"/>
            <w:hideMark/>
          </w:tcPr>
          <w:p w14:paraId="6E1B592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3,13</w:t>
            </w:r>
          </w:p>
        </w:tc>
        <w:tc>
          <w:tcPr>
            <w:tcW w:w="1304" w:type="dxa"/>
            <w:tcBorders>
              <w:top w:val="nil"/>
              <w:left w:val="nil"/>
              <w:bottom w:val="single" w:sz="4" w:space="0" w:color="auto"/>
              <w:right w:val="single" w:sz="4" w:space="0" w:color="auto"/>
            </w:tcBorders>
            <w:shd w:val="clear" w:color="auto" w:fill="auto"/>
            <w:noWrap/>
            <w:vAlign w:val="center"/>
            <w:hideMark/>
          </w:tcPr>
          <w:p w14:paraId="2A375A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2,88</w:t>
            </w:r>
          </w:p>
        </w:tc>
        <w:tc>
          <w:tcPr>
            <w:tcW w:w="1304" w:type="dxa"/>
            <w:tcBorders>
              <w:top w:val="nil"/>
              <w:left w:val="nil"/>
              <w:bottom w:val="single" w:sz="4" w:space="0" w:color="auto"/>
              <w:right w:val="single" w:sz="4" w:space="0" w:color="auto"/>
            </w:tcBorders>
            <w:shd w:val="clear" w:color="auto" w:fill="auto"/>
            <w:noWrap/>
            <w:vAlign w:val="center"/>
            <w:hideMark/>
          </w:tcPr>
          <w:p w14:paraId="289E52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2,84</w:t>
            </w:r>
          </w:p>
        </w:tc>
      </w:tr>
      <w:tr w:rsidR="00BF12D5" w:rsidRPr="00BD0223" w14:paraId="5757B257"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A0AC62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JOSE BONIFACIO</w:t>
            </w:r>
          </w:p>
        </w:tc>
        <w:tc>
          <w:tcPr>
            <w:tcW w:w="1304" w:type="dxa"/>
            <w:tcBorders>
              <w:top w:val="nil"/>
              <w:left w:val="nil"/>
              <w:bottom w:val="single" w:sz="4" w:space="0" w:color="auto"/>
              <w:right w:val="single" w:sz="4" w:space="0" w:color="auto"/>
            </w:tcBorders>
            <w:shd w:val="clear" w:color="auto" w:fill="auto"/>
            <w:noWrap/>
            <w:vAlign w:val="center"/>
            <w:hideMark/>
          </w:tcPr>
          <w:p w14:paraId="2A6130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27,76</w:t>
            </w:r>
          </w:p>
        </w:tc>
        <w:tc>
          <w:tcPr>
            <w:tcW w:w="1304" w:type="dxa"/>
            <w:tcBorders>
              <w:top w:val="nil"/>
              <w:left w:val="nil"/>
              <w:bottom w:val="single" w:sz="4" w:space="0" w:color="auto"/>
              <w:right w:val="single" w:sz="4" w:space="0" w:color="auto"/>
            </w:tcBorders>
            <w:shd w:val="clear" w:color="auto" w:fill="auto"/>
            <w:noWrap/>
            <w:vAlign w:val="center"/>
            <w:hideMark/>
          </w:tcPr>
          <w:p w14:paraId="6D9BA4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32,04</w:t>
            </w:r>
          </w:p>
        </w:tc>
        <w:tc>
          <w:tcPr>
            <w:tcW w:w="1304" w:type="dxa"/>
            <w:tcBorders>
              <w:top w:val="nil"/>
              <w:left w:val="nil"/>
              <w:bottom w:val="single" w:sz="4" w:space="0" w:color="auto"/>
              <w:right w:val="single" w:sz="4" w:space="0" w:color="auto"/>
            </w:tcBorders>
            <w:shd w:val="clear" w:color="auto" w:fill="auto"/>
            <w:noWrap/>
            <w:vAlign w:val="center"/>
            <w:hideMark/>
          </w:tcPr>
          <w:p w14:paraId="06FF371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31,92</w:t>
            </w:r>
          </w:p>
        </w:tc>
        <w:tc>
          <w:tcPr>
            <w:tcW w:w="1304" w:type="dxa"/>
            <w:tcBorders>
              <w:top w:val="nil"/>
              <w:left w:val="nil"/>
              <w:bottom w:val="single" w:sz="4" w:space="0" w:color="auto"/>
              <w:right w:val="single" w:sz="4" w:space="0" w:color="auto"/>
            </w:tcBorders>
            <w:shd w:val="clear" w:color="auto" w:fill="auto"/>
            <w:noWrap/>
            <w:vAlign w:val="center"/>
            <w:hideMark/>
          </w:tcPr>
          <w:p w14:paraId="07F183B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28,59</w:t>
            </w:r>
          </w:p>
        </w:tc>
      </w:tr>
      <w:tr w:rsidR="00BF12D5" w:rsidRPr="00BD0223" w14:paraId="6873A644"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5A6194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LUIS ANTONIO</w:t>
            </w:r>
          </w:p>
        </w:tc>
        <w:tc>
          <w:tcPr>
            <w:tcW w:w="1304" w:type="dxa"/>
            <w:tcBorders>
              <w:top w:val="nil"/>
              <w:left w:val="nil"/>
              <w:bottom w:val="single" w:sz="4" w:space="0" w:color="auto"/>
              <w:right w:val="single" w:sz="4" w:space="0" w:color="auto"/>
            </w:tcBorders>
            <w:shd w:val="clear" w:color="auto" w:fill="auto"/>
            <w:noWrap/>
            <w:vAlign w:val="center"/>
            <w:hideMark/>
          </w:tcPr>
          <w:p w14:paraId="6C95D3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21,89</w:t>
            </w:r>
          </w:p>
        </w:tc>
        <w:tc>
          <w:tcPr>
            <w:tcW w:w="1304" w:type="dxa"/>
            <w:tcBorders>
              <w:top w:val="nil"/>
              <w:left w:val="nil"/>
              <w:bottom w:val="single" w:sz="4" w:space="0" w:color="auto"/>
              <w:right w:val="single" w:sz="4" w:space="0" w:color="auto"/>
            </w:tcBorders>
            <w:shd w:val="clear" w:color="auto" w:fill="auto"/>
            <w:noWrap/>
            <w:vAlign w:val="center"/>
            <w:hideMark/>
          </w:tcPr>
          <w:p w14:paraId="4ADC4E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20,76</w:t>
            </w:r>
          </w:p>
        </w:tc>
        <w:tc>
          <w:tcPr>
            <w:tcW w:w="1304" w:type="dxa"/>
            <w:tcBorders>
              <w:top w:val="nil"/>
              <w:left w:val="nil"/>
              <w:bottom w:val="single" w:sz="4" w:space="0" w:color="auto"/>
              <w:right w:val="single" w:sz="4" w:space="0" w:color="auto"/>
            </w:tcBorders>
            <w:shd w:val="clear" w:color="auto" w:fill="auto"/>
            <w:noWrap/>
            <w:vAlign w:val="center"/>
            <w:hideMark/>
          </w:tcPr>
          <w:p w14:paraId="00C2C2C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19,49</w:t>
            </w:r>
          </w:p>
        </w:tc>
        <w:tc>
          <w:tcPr>
            <w:tcW w:w="1304" w:type="dxa"/>
            <w:tcBorders>
              <w:top w:val="nil"/>
              <w:left w:val="nil"/>
              <w:bottom w:val="single" w:sz="4" w:space="0" w:color="auto"/>
              <w:right w:val="single" w:sz="4" w:space="0" w:color="auto"/>
            </w:tcBorders>
            <w:shd w:val="clear" w:color="auto" w:fill="auto"/>
            <w:noWrap/>
            <w:vAlign w:val="center"/>
            <w:hideMark/>
          </w:tcPr>
          <w:p w14:paraId="4AB6F8C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18,06</w:t>
            </w:r>
          </w:p>
        </w:tc>
      </w:tr>
      <w:tr w:rsidR="00BF12D5" w:rsidRPr="00BD0223" w14:paraId="63CD1E7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7BE632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MACAUBAL</w:t>
            </w:r>
          </w:p>
        </w:tc>
        <w:tc>
          <w:tcPr>
            <w:tcW w:w="1304" w:type="dxa"/>
            <w:tcBorders>
              <w:top w:val="nil"/>
              <w:left w:val="nil"/>
              <w:bottom w:val="single" w:sz="4" w:space="0" w:color="auto"/>
              <w:right w:val="single" w:sz="4" w:space="0" w:color="auto"/>
            </w:tcBorders>
            <w:shd w:val="clear" w:color="auto" w:fill="auto"/>
            <w:noWrap/>
            <w:vAlign w:val="center"/>
            <w:hideMark/>
          </w:tcPr>
          <w:p w14:paraId="1DEFCBC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0,96</w:t>
            </w:r>
          </w:p>
        </w:tc>
        <w:tc>
          <w:tcPr>
            <w:tcW w:w="1304" w:type="dxa"/>
            <w:tcBorders>
              <w:top w:val="nil"/>
              <w:left w:val="nil"/>
              <w:bottom w:val="single" w:sz="4" w:space="0" w:color="auto"/>
              <w:right w:val="single" w:sz="4" w:space="0" w:color="auto"/>
            </w:tcBorders>
            <w:shd w:val="clear" w:color="auto" w:fill="auto"/>
            <w:noWrap/>
            <w:vAlign w:val="center"/>
            <w:hideMark/>
          </w:tcPr>
          <w:p w14:paraId="136A6D7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0,93</w:t>
            </w:r>
          </w:p>
        </w:tc>
        <w:tc>
          <w:tcPr>
            <w:tcW w:w="1304" w:type="dxa"/>
            <w:tcBorders>
              <w:top w:val="nil"/>
              <w:left w:val="nil"/>
              <w:bottom w:val="single" w:sz="4" w:space="0" w:color="auto"/>
              <w:right w:val="single" w:sz="4" w:space="0" w:color="auto"/>
            </w:tcBorders>
            <w:shd w:val="clear" w:color="auto" w:fill="auto"/>
            <w:noWrap/>
            <w:vAlign w:val="center"/>
            <w:hideMark/>
          </w:tcPr>
          <w:p w14:paraId="74F70B1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0,90</w:t>
            </w:r>
          </w:p>
        </w:tc>
        <w:tc>
          <w:tcPr>
            <w:tcW w:w="1304" w:type="dxa"/>
            <w:tcBorders>
              <w:top w:val="nil"/>
              <w:left w:val="nil"/>
              <w:bottom w:val="single" w:sz="4" w:space="0" w:color="auto"/>
              <w:right w:val="single" w:sz="4" w:space="0" w:color="auto"/>
            </w:tcBorders>
            <w:shd w:val="clear" w:color="auto" w:fill="auto"/>
            <w:noWrap/>
            <w:vAlign w:val="center"/>
            <w:hideMark/>
          </w:tcPr>
          <w:p w14:paraId="4471FB9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0,90</w:t>
            </w:r>
          </w:p>
        </w:tc>
      </w:tr>
      <w:tr w:rsidR="00BF12D5" w:rsidRPr="00BD0223" w14:paraId="39A89BA6"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F1713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MACEDONIA</w:t>
            </w:r>
          </w:p>
        </w:tc>
        <w:tc>
          <w:tcPr>
            <w:tcW w:w="1304" w:type="dxa"/>
            <w:tcBorders>
              <w:top w:val="nil"/>
              <w:left w:val="nil"/>
              <w:bottom w:val="single" w:sz="4" w:space="0" w:color="auto"/>
              <w:right w:val="single" w:sz="4" w:space="0" w:color="auto"/>
            </w:tcBorders>
            <w:shd w:val="clear" w:color="auto" w:fill="auto"/>
            <w:noWrap/>
            <w:vAlign w:val="center"/>
            <w:hideMark/>
          </w:tcPr>
          <w:p w14:paraId="4358AA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0,65</w:t>
            </w:r>
          </w:p>
        </w:tc>
        <w:tc>
          <w:tcPr>
            <w:tcW w:w="1304" w:type="dxa"/>
            <w:tcBorders>
              <w:top w:val="nil"/>
              <w:left w:val="nil"/>
              <w:bottom w:val="single" w:sz="4" w:space="0" w:color="auto"/>
              <w:right w:val="single" w:sz="4" w:space="0" w:color="auto"/>
            </w:tcBorders>
            <w:shd w:val="clear" w:color="auto" w:fill="auto"/>
            <w:noWrap/>
            <w:vAlign w:val="center"/>
            <w:hideMark/>
          </w:tcPr>
          <w:p w14:paraId="3B9C83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0,69</w:t>
            </w:r>
          </w:p>
        </w:tc>
        <w:tc>
          <w:tcPr>
            <w:tcW w:w="1304" w:type="dxa"/>
            <w:tcBorders>
              <w:top w:val="nil"/>
              <w:left w:val="nil"/>
              <w:bottom w:val="single" w:sz="4" w:space="0" w:color="auto"/>
              <w:right w:val="single" w:sz="4" w:space="0" w:color="auto"/>
            </w:tcBorders>
            <w:shd w:val="clear" w:color="auto" w:fill="auto"/>
            <w:noWrap/>
            <w:vAlign w:val="center"/>
            <w:hideMark/>
          </w:tcPr>
          <w:p w14:paraId="7E675B6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0,59</w:t>
            </w:r>
          </w:p>
        </w:tc>
        <w:tc>
          <w:tcPr>
            <w:tcW w:w="1304" w:type="dxa"/>
            <w:tcBorders>
              <w:top w:val="nil"/>
              <w:left w:val="nil"/>
              <w:bottom w:val="single" w:sz="4" w:space="0" w:color="auto"/>
              <w:right w:val="single" w:sz="4" w:space="0" w:color="auto"/>
            </w:tcBorders>
            <w:shd w:val="clear" w:color="auto" w:fill="auto"/>
            <w:noWrap/>
            <w:vAlign w:val="center"/>
            <w:hideMark/>
          </w:tcPr>
          <w:p w14:paraId="5E2B2EA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0,63</w:t>
            </w:r>
          </w:p>
        </w:tc>
      </w:tr>
      <w:tr w:rsidR="00BF12D5" w:rsidRPr="00BD0223" w14:paraId="35D835B1"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467FB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MAGDA</w:t>
            </w:r>
          </w:p>
        </w:tc>
        <w:tc>
          <w:tcPr>
            <w:tcW w:w="1304" w:type="dxa"/>
            <w:tcBorders>
              <w:top w:val="nil"/>
              <w:left w:val="nil"/>
              <w:bottom w:val="single" w:sz="4" w:space="0" w:color="auto"/>
              <w:right w:val="single" w:sz="4" w:space="0" w:color="auto"/>
            </w:tcBorders>
            <w:shd w:val="clear" w:color="auto" w:fill="auto"/>
            <w:noWrap/>
            <w:vAlign w:val="center"/>
            <w:hideMark/>
          </w:tcPr>
          <w:p w14:paraId="7436D90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2,42</w:t>
            </w:r>
          </w:p>
        </w:tc>
        <w:tc>
          <w:tcPr>
            <w:tcW w:w="1304" w:type="dxa"/>
            <w:tcBorders>
              <w:top w:val="nil"/>
              <w:left w:val="nil"/>
              <w:bottom w:val="single" w:sz="4" w:space="0" w:color="auto"/>
              <w:right w:val="single" w:sz="4" w:space="0" w:color="auto"/>
            </w:tcBorders>
            <w:shd w:val="clear" w:color="auto" w:fill="auto"/>
            <w:noWrap/>
            <w:vAlign w:val="center"/>
            <w:hideMark/>
          </w:tcPr>
          <w:p w14:paraId="772FD54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2,09</w:t>
            </w:r>
          </w:p>
        </w:tc>
        <w:tc>
          <w:tcPr>
            <w:tcW w:w="1304" w:type="dxa"/>
            <w:tcBorders>
              <w:top w:val="nil"/>
              <w:left w:val="nil"/>
              <w:bottom w:val="single" w:sz="4" w:space="0" w:color="auto"/>
              <w:right w:val="single" w:sz="4" w:space="0" w:color="auto"/>
            </w:tcBorders>
            <w:shd w:val="clear" w:color="auto" w:fill="auto"/>
            <w:noWrap/>
            <w:vAlign w:val="center"/>
            <w:hideMark/>
          </w:tcPr>
          <w:p w14:paraId="0115DD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2,32</w:t>
            </w:r>
          </w:p>
        </w:tc>
        <w:tc>
          <w:tcPr>
            <w:tcW w:w="1304" w:type="dxa"/>
            <w:tcBorders>
              <w:top w:val="nil"/>
              <w:left w:val="nil"/>
              <w:bottom w:val="single" w:sz="4" w:space="0" w:color="auto"/>
              <w:right w:val="single" w:sz="4" w:space="0" w:color="auto"/>
            </w:tcBorders>
            <w:shd w:val="clear" w:color="auto" w:fill="auto"/>
            <w:noWrap/>
            <w:vAlign w:val="center"/>
            <w:hideMark/>
          </w:tcPr>
          <w:p w14:paraId="3EDCC0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2,61</w:t>
            </w:r>
          </w:p>
        </w:tc>
      </w:tr>
      <w:tr w:rsidR="00BF12D5" w:rsidRPr="00BD0223" w14:paraId="1F55C527"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29096E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MARAPOAMA</w:t>
            </w:r>
          </w:p>
        </w:tc>
        <w:tc>
          <w:tcPr>
            <w:tcW w:w="1304" w:type="dxa"/>
            <w:tcBorders>
              <w:top w:val="nil"/>
              <w:left w:val="nil"/>
              <w:bottom w:val="single" w:sz="4" w:space="0" w:color="auto"/>
              <w:right w:val="single" w:sz="4" w:space="0" w:color="auto"/>
            </w:tcBorders>
            <w:shd w:val="clear" w:color="auto" w:fill="auto"/>
            <w:noWrap/>
            <w:vAlign w:val="center"/>
            <w:hideMark/>
          </w:tcPr>
          <w:p w14:paraId="3FF8E57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9,55</w:t>
            </w:r>
          </w:p>
        </w:tc>
        <w:tc>
          <w:tcPr>
            <w:tcW w:w="1304" w:type="dxa"/>
            <w:tcBorders>
              <w:top w:val="nil"/>
              <w:left w:val="nil"/>
              <w:bottom w:val="single" w:sz="4" w:space="0" w:color="auto"/>
              <w:right w:val="single" w:sz="4" w:space="0" w:color="auto"/>
            </w:tcBorders>
            <w:shd w:val="clear" w:color="auto" w:fill="auto"/>
            <w:noWrap/>
            <w:vAlign w:val="center"/>
            <w:hideMark/>
          </w:tcPr>
          <w:p w14:paraId="4A87FB1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8,97</w:t>
            </w:r>
          </w:p>
        </w:tc>
        <w:tc>
          <w:tcPr>
            <w:tcW w:w="1304" w:type="dxa"/>
            <w:tcBorders>
              <w:top w:val="nil"/>
              <w:left w:val="nil"/>
              <w:bottom w:val="single" w:sz="4" w:space="0" w:color="auto"/>
              <w:right w:val="single" w:sz="4" w:space="0" w:color="auto"/>
            </w:tcBorders>
            <w:shd w:val="clear" w:color="auto" w:fill="auto"/>
            <w:noWrap/>
            <w:vAlign w:val="center"/>
            <w:hideMark/>
          </w:tcPr>
          <w:p w14:paraId="5DB9958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9,37</w:t>
            </w:r>
          </w:p>
        </w:tc>
        <w:tc>
          <w:tcPr>
            <w:tcW w:w="1304" w:type="dxa"/>
            <w:tcBorders>
              <w:top w:val="nil"/>
              <w:left w:val="nil"/>
              <w:bottom w:val="single" w:sz="4" w:space="0" w:color="auto"/>
              <w:right w:val="single" w:sz="4" w:space="0" w:color="auto"/>
            </w:tcBorders>
            <w:shd w:val="clear" w:color="auto" w:fill="auto"/>
            <w:noWrap/>
            <w:vAlign w:val="center"/>
            <w:hideMark/>
          </w:tcPr>
          <w:p w14:paraId="33AA178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8,77</w:t>
            </w:r>
          </w:p>
        </w:tc>
      </w:tr>
      <w:tr w:rsidR="00BF12D5" w:rsidRPr="00BD0223" w14:paraId="00BAC518"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8792F9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MARIAPOLIS</w:t>
            </w:r>
          </w:p>
        </w:tc>
        <w:tc>
          <w:tcPr>
            <w:tcW w:w="1304" w:type="dxa"/>
            <w:tcBorders>
              <w:top w:val="nil"/>
              <w:left w:val="nil"/>
              <w:bottom w:val="single" w:sz="4" w:space="0" w:color="auto"/>
              <w:right w:val="single" w:sz="4" w:space="0" w:color="auto"/>
            </w:tcBorders>
            <w:shd w:val="clear" w:color="auto" w:fill="auto"/>
            <w:noWrap/>
            <w:vAlign w:val="center"/>
            <w:hideMark/>
          </w:tcPr>
          <w:p w14:paraId="1C23F6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0,30</w:t>
            </w:r>
          </w:p>
        </w:tc>
        <w:tc>
          <w:tcPr>
            <w:tcW w:w="1304" w:type="dxa"/>
            <w:tcBorders>
              <w:top w:val="nil"/>
              <w:left w:val="nil"/>
              <w:bottom w:val="single" w:sz="4" w:space="0" w:color="auto"/>
              <w:right w:val="single" w:sz="4" w:space="0" w:color="auto"/>
            </w:tcBorders>
            <w:shd w:val="clear" w:color="auto" w:fill="auto"/>
            <w:noWrap/>
            <w:vAlign w:val="center"/>
            <w:hideMark/>
          </w:tcPr>
          <w:p w14:paraId="2AC381C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304" w:type="dxa"/>
            <w:tcBorders>
              <w:top w:val="nil"/>
              <w:left w:val="nil"/>
              <w:bottom w:val="single" w:sz="4" w:space="0" w:color="auto"/>
              <w:right w:val="single" w:sz="4" w:space="0" w:color="auto"/>
            </w:tcBorders>
            <w:shd w:val="clear" w:color="auto" w:fill="auto"/>
            <w:noWrap/>
            <w:vAlign w:val="center"/>
            <w:hideMark/>
          </w:tcPr>
          <w:p w14:paraId="2955F6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0,27</w:t>
            </w:r>
          </w:p>
        </w:tc>
        <w:tc>
          <w:tcPr>
            <w:tcW w:w="1304" w:type="dxa"/>
            <w:tcBorders>
              <w:top w:val="nil"/>
              <w:left w:val="nil"/>
              <w:bottom w:val="single" w:sz="4" w:space="0" w:color="auto"/>
              <w:right w:val="single" w:sz="4" w:space="0" w:color="auto"/>
            </w:tcBorders>
            <w:shd w:val="clear" w:color="auto" w:fill="auto"/>
            <w:noWrap/>
            <w:vAlign w:val="center"/>
            <w:hideMark/>
          </w:tcPr>
          <w:p w14:paraId="61CFEC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0,24</w:t>
            </w:r>
          </w:p>
        </w:tc>
      </w:tr>
      <w:tr w:rsidR="00BF12D5" w:rsidRPr="00BD0223" w14:paraId="072365A6"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827CB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MENDONCA</w:t>
            </w:r>
          </w:p>
        </w:tc>
        <w:tc>
          <w:tcPr>
            <w:tcW w:w="1304" w:type="dxa"/>
            <w:tcBorders>
              <w:top w:val="nil"/>
              <w:left w:val="nil"/>
              <w:bottom w:val="single" w:sz="4" w:space="0" w:color="auto"/>
              <w:right w:val="single" w:sz="4" w:space="0" w:color="auto"/>
            </w:tcBorders>
            <w:shd w:val="clear" w:color="auto" w:fill="auto"/>
            <w:noWrap/>
            <w:vAlign w:val="center"/>
            <w:hideMark/>
          </w:tcPr>
          <w:p w14:paraId="49B4577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12,17</w:t>
            </w:r>
          </w:p>
        </w:tc>
        <w:tc>
          <w:tcPr>
            <w:tcW w:w="1304" w:type="dxa"/>
            <w:tcBorders>
              <w:top w:val="nil"/>
              <w:left w:val="nil"/>
              <w:bottom w:val="single" w:sz="4" w:space="0" w:color="auto"/>
              <w:right w:val="single" w:sz="4" w:space="0" w:color="auto"/>
            </w:tcBorders>
            <w:shd w:val="clear" w:color="auto" w:fill="auto"/>
            <w:noWrap/>
            <w:vAlign w:val="center"/>
            <w:hideMark/>
          </w:tcPr>
          <w:p w14:paraId="268D268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12,25</w:t>
            </w:r>
          </w:p>
        </w:tc>
        <w:tc>
          <w:tcPr>
            <w:tcW w:w="1304" w:type="dxa"/>
            <w:tcBorders>
              <w:top w:val="nil"/>
              <w:left w:val="nil"/>
              <w:bottom w:val="single" w:sz="4" w:space="0" w:color="auto"/>
              <w:right w:val="single" w:sz="4" w:space="0" w:color="auto"/>
            </w:tcBorders>
            <w:shd w:val="clear" w:color="auto" w:fill="auto"/>
            <w:noWrap/>
            <w:vAlign w:val="center"/>
            <w:hideMark/>
          </w:tcPr>
          <w:p w14:paraId="100C99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12,15</w:t>
            </w:r>
          </w:p>
        </w:tc>
        <w:tc>
          <w:tcPr>
            <w:tcW w:w="1304" w:type="dxa"/>
            <w:tcBorders>
              <w:top w:val="nil"/>
              <w:left w:val="nil"/>
              <w:bottom w:val="single" w:sz="4" w:space="0" w:color="auto"/>
              <w:right w:val="single" w:sz="4" w:space="0" w:color="auto"/>
            </w:tcBorders>
            <w:shd w:val="clear" w:color="auto" w:fill="auto"/>
            <w:noWrap/>
            <w:vAlign w:val="center"/>
            <w:hideMark/>
          </w:tcPr>
          <w:p w14:paraId="4E6EAE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11,93</w:t>
            </w:r>
          </w:p>
        </w:tc>
      </w:tr>
      <w:tr w:rsidR="00BF12D5" w:rsidRPr="00BD0223" w14:paraId="6F2F21F0"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3FF588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MERIDIANO</w:t>
            </w:r>
          </w:p>
        </w:tc>
        <w:tc>
          <w:tcPr>
            <w:tcW w:w="1304" w:type="dxa"/>
            <w:tcBorders>
              <w:top w:val="nil"/>
              <w:left w:val="nil"/>
              <w:bottom w:val="single" w:sz="4" w:space="0" w:color="auto"/>
              <w:right w:val="single" w:sz="4" w:space="0" w:color="auto"/>
            </w:tcBorders>
            <w:shd w:val="clear" w:color="auto" w:fill="auto"/>
            <w:noWrap/>
            <w:vAlign w:val="center"/>
            <w:hideMark/>
          </w:tcPr>
          <w:p w14:paraId="25F55C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23,24</w:t>
            </w:r>
          </w:p>
        </w:tc>
        <w:tc>
          <w:tcPr>
            <w:tcW w:w="1304" w:type="dxa"/>
            <w:tcBorders>
              <w:top w:val="nil"/>
              <w:left w:val="nil"/>
              <w:bottom w:val="single" w:sz="4" w:space="0" w:color="auto"/>
              <w:right w:val="single" w:sz="4" w:space="0" w:color="auto"/>
            </w:tcBorders>
            <w:shd w:val="clear" w:color="auto" w:fill="auto"/>
            <w:noWrap/>
            <w:vAlign w:val="center"/>
            <w:hideMark/>
          </w:tcPr>
          <w:p w14:paraId="50DE69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23,45</w:t>
            </w:r>
          </w:p>
        </w:tc>
        <w:tc>
          <w:tcPr>
            <w:tcW w:w="1304" w:type="dxa"/>
            <w:tcBorders>
              <w:top w:val="nil"/>
              <w:left w:val="nil"/>
              <w:bottom w:val="single" w:sz="4" w:space="0" w:color="auto"/>
              <w:right w:val="single" w:sz="4" w:space="0" w:color="auto"/>
            </w:tcBorders>
            <w:shd w:val="clear" w:color="auto" w:fill="auto"/>
            <w:noWrap/>
            <w:vAlign w:val="center"/>
            <w:hideMark/>
          </w:tcPr>
          <w:p w14:paraId="7F7648C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28,25</w:t>
            </w:r>
          </w:p>
        </w:tc>
        <w:tc>
          <w:tcPr>
            <w:tcW w:w="1304" w:type="dxa"/>
            <w:tcBorders>
              <w:top w:val="nil"/>
              <w:left w:val="nil"/>
              <w:bottom w:val="single" w:sz="4" w:space="0" w:color="auto"/>
              <w:right w:val="single" w:sz="4" w:space="0" w:color="auto"/>
            </w:tcBorders>
            <w:shd w:val="clear" w:color="auto" w:fill="auto"/>
            <w:noWrap/>
            <w:vAlign w:val="center"/>
            <w:hideMark/>
          </w:tcPr>
          <w:p w14:paraId="77D2DB2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26,02</w:t>
            </w:r>
          </w:p>
        </w:tc>
      </w:tr>
      <w:tr w:rsidR="00BF12D5" w:rsidRPr="00BD0223" w14:paraId="0C250570"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E35F73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MESOPOLIS</w:t>
            </w:r>
          </w:p>
        </w:tc>
        <w:tc>
          <w:tcPr>
            <w:tcW w:w="1304" w:type="dxa"/>
            <w:tcBorders>
              <w:top w:val="nil"/>
              <w:left w:val="nil"/>
              <w:bottom w:val="single" w:sz="4" w:space="0" w:color="auto"/>
              <w:right w:val="single" w:sz="4" w:space="0" w:color="auto"/>
            </w:tcBorders>
            <w:shd w:val="clear" w:color="auto" w:fill="auto"/>
            <w:noWrap/>
            <w:vAlign w:val="center"/>
            <w:hideMark/>
          </w:tcPr>
          <w:p w14:paraId="775AAD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0,10</w:t>
            </w:r>
          </w:p>
        </w:tc>
        <w:tc>
          <w:tcPr>
            <w:tcW w:w="1304" w:type="dxa"/>
            <w:tcBorders>
              <w:top w:val="nil"/>
              <w:left w:val="nil"/>
              <w:bottom w:val="single" w:sz="4" w:space="0" w:color="auto"/>
              <w:right w:val="single" w:sz="4" w:space="0" w:color="auto"/>
            </w:tcBorders>
            <w:shd w:val="clear" w:color="auto" w:fill="auto"/>
            <w:noWrap/>
            <w:vAlign w:val="center"/>
            <w:hideMark/>
          </w:tcPr>
          <w:p w14:paraId="6CB1DB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0,09</w:t>
            </w:r>
          </w:p>
        </w:tc>
        <w:tc>
          <w:tcPr>
            <w:tcW w:w="1304" w:type="dxa"/>
            <w:tcBorders>
              <w:top w:val="nil"/>
              <w:left w:val="nil"/>
              <w:bottom w:val="single" w:sz="4" w:space="0" w:color="auto"/>
              <w:right w:val="single" w:sz="4" w:space="0" w:color="auto"/>
            </w:tcBorders>
            <w:shd w:val="clear" w:color="auto" w:fill="auto"/>
            <w:noWrap/>
            <w:vAlign w:val="center"/>
            <w:hideMark/>
          </w:tcPr>
          <w:p w14:paraId="7E32531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0,08</w:t>
            </w:r>
          </w:p>
        </w:tc>
        <w:tc>
          <w:tcPr>
            <w:tcW w:w="1304" w:type="dxa"/>
            <w:tcBorders>
              <w:top w:val="nil"/>
              <w:left w:val="nil"/>
              <w:bottom w:val="single" w:sz="4" w:space="0" w:color="auto"/>
              <w:right w:val="single" w:sz="4" w:space="0" w:color="auto"/>
            </w:tcBorders>
            <w:shd w:val="clear" w:color="auto" w:fill="auto"/>
            <w:noWrap/>
            <w:vAlign w:val="center"/>
            <w:hideMark/>
          </w:tcPr>
          <w:p w14:paraId="6BAAA26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0,06</w:t>
            </w:r>
          </w:p>
        </w:tc>
      </w:tr>
      <w:tr w:rsidR="00BF12D5" w:rsidRPr="00BD0223" w14:paraId="1DF79B8F"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34E603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MIGUELOPOLIS</w:t>
            </w:r>
          </w:p>
        </w:tc>
        <w:tc>
          <w:tcPr>
            <w:tcW w:w="1304" w:type="dxa"/>
            <w:tcBorders>
              <w:top w:val="nil"/>
              <w:left w:val="nil"/>
              <w:bottom w:val="single" w:sz="4" w:space="0" w:color="auto"/>
              <w:right w:val="single" w:sz="4" w:space="0" w:color="auto"/>
            </w:tcBorders>
            <w:shd w:val="clear" w:color="auto" w:fill="auto"/>
            <w:noWrap/>
            <w:vAlign w:val="center"/>
            <w:hideMark/>
          </w:tcPr>
          <w:p w14:paraId="70CD35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1,43</w:t>
            </w:r>
          </w:p>
        </w:tc>
        <w:tc>
          <w:tcPr>
            <w:tcW w:w="1304" w:type="dxa"/>
            <w:tcBorders>
              <w:top w:val="nil"/>
              <w:left w:val="nil"/>
              <w:bottom w:val="single" w:sz="4" w:space="0" w:color="auto"/>
              <w:right w:val="single" w:sz="4" w:space="0" w:color="auto"/>
            </w:tcBorders>
            <w:shd w:val="clear" w:color="auto" w:fill="auto"/>
            <w:noWrap/>
            <w:vAlign w:val="center"/>
            <w:hideMark/>
          </w:tcPr>
          <w:p w14:paraId="0B7A351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1,06</w:t>
            </w:r>
          </w:p>
        </w:tc>
        <w:tc>
          <w:tcPr>
            <w:tcW w:w="1304" w:type="dxa"/>
            <w:tcBorders>
              <w:top w:val="nil"/>
              <w:left w:val="nil"/>
              <w:bottom w:val="single" w:sz="4" w:space="0" w:color="auto"/>
              <w:right w:val="single" w:sz="4" w:space="0" w:color="auto"/>
            </w:tcBorders>
            <w:shd w:val="clear" w:color="auto" w:fill="auto"/>
            <w:noWrap/>
            <w:vAlign w:val="center"/>
            <w:hideMark/>
          </w:tcPr>
          <w:p w14:paraId="6A5337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0,85</w:t>
            </w:r>
          </w:p>
        </w:tc>
        <w:tc>
          <w:tcPr>
            <w:tcW w:w="1304" w:type="dxa"/>
            <w:tcBorders>
              <w:top w:val="nil"/>
              <w:left w:val="nil"/>
              <w:bottom w:val="single" w:sz="4" w:space="0" w:color="auto"/>
              <w:right w:val="single" w:sz="4" w:space="0" w:color="auto"/>
            </w:tcBorders>
            <w:shd w:val="clear" w:color="auto" w:fill="auto"/>
            <w:noWrap/>
            <w:vAlign w:val="center"/>
            <w:hideMark/>
          </w:tcPr>
          <w:p w14:paraId="15955C0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1,21</w:t>
            </w:r>
          </w:p>
        </w:tc>
      </w:tr>
      <w:tr w:rsidR="00BF12D5" w:rsidRPr="00BD0223" w14:paraId="23281AD1"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F1786D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MIRA ESTRELA</w:t>
            </w:r>
          </w:p>
        </w:tc>
        <w:tc>
          <w:tcPr>
            <w:tcW w:w="1304" w:type="dxa"/>
            <w:tcBorders>
              <w:top w:val="nil"/>
              <w:left w:val="nil"/>
              <w:bottom w:val="single" w:sz="4" w:space="0" w:color="auto"/>
              <w:right w:val="single" w:sz="4" w:space="0" w:color="auto"/>
            </w:tcBorders>
            <w:shd w:val="clear" w:color="auto" w:fill="auto"/>
            <w:noWrap/>
            <w:vAlign w:val="center"/>
            <w:hideMark/>
          </w:tcPr>
          <w:p w14:paraId="049C50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0,50</w:t>
            </w:r>
          </w:p>
        </w:tc>
        <w:tc>
          <w:tcPr>
            <w:tcW w:w="1304" w:type="dxa"/>
            <w:tcBorders>
              <w:top w:val="nil"/>
              <w:left w:val="nil"/>
              <w:bottom w:val="single" w:sz="4" w:space="0" w:color="auto"/>
              <w:right w:val="single" w:sz="4" w:space="0" w:color="auto"/>
            </w:tcBorders>
            <w:shd w:val="clear" w:color="auto" w:fill="auto"/>
            <w:noWrap/>
            <w:vAlign w:val="center"/>
            <w:hideMark/>
          </w:tcPr>
          <w:p w14:paraId="7BCCF8C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0,42</w:t>
            </w:r>
          </w:p>
        </w:tc>
        <w:tc>
          <w:tcPr>
            <w:tcW w:w="1304" w:type="dxa"/>
            <w:tcBorders>
              <w:top w:val="nil"/>
              <w:left w:val="nil"/>
              <w:bottom w:val="single" w:sz="4" w:space="0" w:color="auto"/>
              <w:right w:val="single" w:sz="4" w:space="0" w:color="auto"/>
            </w:tcBorders>
            <w:shd w:val="clear" w:color="auto" w:fill="auto"/>
            <w:noWrap/>
            <w:vAlign w:val="center"/>
            <w:hideMark/>
          </w:tcPr>
          <w:p w14:paraId="0170425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0,50</w:t>
            </w:r>
          </w:p>
        </w:tc>
        <w:tc>
          <w:tcPr>
            <w:tcW w:w="1304" w:type="dxa"/>
            <w:tcBorders>
              <w:top w:val="nil"/>
              <w:left w:val="nil"/>
              <w:bottom w:val="single" w:sz="4" w:space="0" w:color="auto"/>
              <w:right w:val="single" w:sz="4" w:space="0" w:color="auto"/>
            </w:tcBorders>
            <w:shd w:val="clear" w:color="auto" w:fill="auto"/>
            <w:noWrap/>
            <w:vAlign w:val="center"/>
            <w:hideMark/>
          </w:tcPr>
          <w:p w14:paraId="4AAE7E1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0,40</w:t>
            </w:r>
          </w:p>
        </w:tc>
      </w:tr>
      <w:tr w:rsidR="00BF12D5" w:rsidRPr="00BD0223" w14:paraId="04EFBDBB"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5499766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MIRASSOL</w:t>
            </w:r>
          </w:p>
        </w:tc>
        <w:tc>
          <w:tcPr>
            <w:tcW w:w="1304" w:type="dxa"/>
            <w:tcBorders>
              <w:top w:val="nil"/>
              <w:left w:val="nil"/>
              <w:bottom w:val="single" w:sz="4" w:space="0" w:color="auto"/>
              <w:right w:val="single" w:sz="4" w:space="0" w:color="auto"/>
            </w:tcBorders>
            <w:shd w:val="clear" w:color="auto" w:fill="auto"/>
            <w:noWrap/>
            <w:vAlign w:val="center"/>
            <w:hideMark/>
          </w:tcPr>
          <w:p w14:paraId="1E611DC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43,55</w:t>
            </w:r>
          </w:p>
        </w:tc>
        <w:tc>
          <w:tcPr>
            <w:tcW w:w="1304" w:type="dxa"/>
            <w:tcBorders>
              <w:top w:val="nil"/>
              <w:left w:val="nil"/>
              <w:bottom w:val="single" w:sz="4" w:space="0" w:color="auto"/>
              <w:right w:val="single" w:sz="4" w:space="0" w:color="auto"/>
            </w:tcBorders>
            <w:shd w:val="clear" w:color="auto" w:fill="auto"/>
            <w:noWrap/>
            <w:vAlign w:val="center"/>
            <w:hideMark/>
          </w:tcPr>
          <w:p w14:paraId="0EBFF72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43,45</w:t>
            </w:r>
          </w:p>
        </w:tc>
        <w:tc>
          <w:tcPr>
            <w:tcW w:w="1304" w:type="dxa"/>
            <w:tcBorders>
              <w:top w:val="nil"/>
              <w:left w:val="nil"/>
              <w:bottom w:val="single" w:sz="4" w:space="0" w:color="auto"/>
              <w:right w:val="single" w:sz="4" w:space="0" w:color="auto"/>
            </w:tcBorders>
            <w:shd w:val="clear" w:color="auto" w:fill="auto"/>
            <w:noWrap/>
            <w:vAlign w:val="center"/>
            <w:hideMark/>
          </w:tcPr>
          <w:p w14:paraId="7579F5F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49,56</w:t>
            </w:r>
          </w:p>
        </w:tc>
        <w:tc>
          <w:tcPr>
            <w:tcW w:w="1304" w:type="dxa"/>
            <w:tcBorders>
              <w:top w:val="nil"/>
              <w:left w:val="nil"/>
              <w:bottom w:val="single" w:sz="4" w:space="0" w:color="auto"/>
              <w:right w:val="single" w:sz="4" w:space="0" w:color="auto"/>
            </w:tcBorders>
            <w:shd w:val="clear" w:color="auto" w:fill="auto"/>
            <w:noWrap/>
            <w:vAlign w:val="center"/>
            <w:hideMark/>
          </w:tcPr>
          <w:p w14:paraId="62DE4AF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47,97</w:t>
            </w:r>
          </w:p>
        </w:tc>
      </w:tr>
      <w:tr w:rsidR="00BF12D5" w:rsidRPr="00BD0223" w14:paraId="57E2B9B3"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C4E5F0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MIRASSOLANDIA</w:t>
            </w:r>
          </w:p>
        </w:tc>
        <w:tc>
          <w:tcPr>
            <w:tcW w:w="1304" w:type="dxa"/>
            <w:tcBorders>
              <w:top w:val="nil"/>
              <w:left w:val="nil"/>
              <w:bottom w:val="single" w:sz="4" w:space="0" w:color="auto"/>
              <w:right w:val="single" w:sz="4" w:space="0" w:color="auto"/>
            </w:tcBorders>
            <w:shd w:val="clear" w:color="auto" w:fill="auto"/>
            <w:noWrap/>
            <w:vAlign w:val="center"/>
            <w:hideMark/>
          </w:tcPr>
          <w:p w14:paraId="65A0CD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0,46</w:t>
            </w:r>
          </w:p>
        </w:tc>
        <w:tc>
          <w:tcPr>
            <w:tcW w:w="1304" w:type="dxa"/>
            <w:tcBorders>
              <w:top w:val="nil"/>
              <w:left w:val="nil"/>
              <w:bottom w:val="single" w:sz="4" w:space="0" w:color="auto"/>
              <w:right w:val="single" w:sz="4" w:space="0" w:color="auto"/>
            </w:tcBorders>
            <w:shd w:val="clear" w:color="auto" w:fill="auto"/>
            <w:noWrap/>
            <w:vAlign w:val="center"/>
            <w:hideMark/>
          </w:tcPr>
          <w:p w14:paraId="64FDB94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0,48</w:t>
            </w:r>
          </w:p>
        </w:tc>
        <w:tc>
          <w:tcPr>
            <w:tcW w:w="1304" w:type="dxa"/>
            <w:tcBorders>
              <w:top w:val="nil"/>
              <w:left w:val="nil"/>
              <w:bottom w:val="single" w:sz="4" w:space="0" w:color="auto"/>
              <w:right w:val="single" w:sz="4" w:space="0" w:color="auto"/>
            </w:tcBorders>
            <w:shd w:val="clear" w:color="auto" w:fill="auto"/>
            <w:noWrap/>
            <w:vAlign w:val="center"/>
            <w:hideMark/>
          </w:tcPr>
          <w:p w14:paraId="74BAF6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0,50</w:t>
            </w:r>
          </w:p>
        </w:tc>
        <w:tc>
          <w:tcPr>
            <w:tcW w:w="1304" w:type="dxa"/>
            <w:tcBorders>
              <w:top w:val="nil"/>
              <w:left w:val="nil"/>
              <w:bottom w:val="single" w:sz="4" w:space="0" w:color="auto"/>
              <w:right w:val="single" w:sz="4" w:space="0" w:color="auto"/>
            </w:tcBorders>
            <w:shd w:val="clear" w:color="auto" w:fill="auto"/>
            <w:noWrap/>
            <w:vAlign w:val="center"/>
            <w:hideMark/>
          </w:tcPr>
          <w:p w14:paraId="438B73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0,54</w:t>
            </w:r>
          </w:p>
        </w:tc>
      </w:tr>
      <w:tr w:rsidR="00BF12D5" w:rsidRPr="00BD0223" w14:paraId="70F648E0"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FFAE4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MONCOES</w:t>
            </w:r>
          </w:p>
        </w:tc>
        <w:tc>
          <w:tcPr>
            <w:tcW w:w="1304" w:type="dxa"/>
            <w:tcBorders>
              <w:top w:val="nil"/>
              <w:left w:val="nil"/>
              <w:bottom w:val="single" w:sz="4" w:space="0" w:color="auto"/>
              <w:right w:val="single" w:sz="4" w:space="0" w:color="auto"/>
            </w:tcBorders>
            <w:shd w:val="clear" w:color="auto" w:fill="auto"/>
            <w:noWrap/>
            <w:vAlign w:val="center"/>
            <w:hideMark/>
          </w:tcPr>
          <w:p w14:paraId="4727EE4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7,13</w:t>
            </w:r>
          </w:p>
        </w:tc>
        <w:tc>
          <w:tcPr>
            <w:tcW w:w="1304" w:type="dxa"/>
            <w:tcBorders>
              <w:top w:val="nil"/>
              <w:left w:val="nil"/>
              <w:bottom w:val="single" w:sz="4" w:space="0" w:color="auto"/>
              <w:right w:val="single" w:sz="4" w:space="0" w:color="auto"/>
            </w:tcBorders>
            <w:shd w:val="clear" w:color="auto" w:fill="auto"/>
            <w:noWrap/>
            <w:vAlign w:val="center"/>
            <w:hideMark/>
          </w:tcPr>
          <w:p w14:paraId="61ECEBE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11,72</w:t>
            </w:r>
          </w:p>
        </w:tc>
        <w:tc>
          <w:tcPr>
            <w:tcW w:w="1304" w:type="dxa"/>
            <w:tcBorders>
              <w:top w:val="nil"/>
              <w:left w:val="nil"/>
              <w:bottom w:val="single" w:sz="4" w:space="0" w:color="auto"/>
              <w:right w:val="single" w:sz="4" w:space="0" w:color="auto"/>
            </w:tcBorders>
            <w:shd w:val="clear" w:color="auto" w:fill="auto"/>
            <w:noWrap/>
            <w:vAlign w:val="center"/>
            <w:hideMark/>
          </w:tcPr>
          <w:p w14:paraId="59234C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10,93</w:t>
            </w:r>
          </w:p>
        </w:tc>
        <w:tc>
          <w:tcPr>
            <w:tcW w:w="1304" w:type="dxa"/>
            <w:tcBorders>
              <w:top w:val="nil"/>
              <w:left w:val="nil"/>
              <w:bottom w:val="single" w:sz="4" w:space="0" w:color="auto"/>
              <w:right w:val="single" w:sz="4" w:space="0" w:color="auto"/>
            </w:tcBorders>
            <w:shd w:val="clear" w:color="auto" w:fill="auto"/>
            <w:noWrap/>
            <w:vAlign w:val="center"/>
            <w:hideMark/>
          </w:tcPr>
          <w:p w14:paraId="3A47D6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8,81</w:t>
            </w:r>
          </w:p>
        </w:tc>
      </w:tr>
      <w:tr w:rsidR="00BF12D5" w:rsidRPr="00BD0223" w14:paraId="058035D0"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356BCF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lastRenderedPageBreak/>
              <w:t>MONTE ALTO</w:t>
            </w:r>
          </w:p>
        </w:tc>
        <w:tc>
          <w:tcPr>
            <w:tcW w:w="1304" w:type="dxa"/>
            <w:tcBorders>
              <w:top w:val="nil"/>
              <w:left w:val="nil"/>
              <w:bottom w:val="single" w:sz="4" w:space="0" w:color="auto"/>
              <w:right w:val="single" w:sz="4" w:space="0" w:color="auto"/>
            </w:tcBorders>
            <w:shd w:val="clear" w:color="auto" w:fill="auto"/>
            <w:noWrap/>
            <w:vAlign w:val="center"/>
            <w:hideMark/>
          </w:tcPr>
          <w:p w14:paraId="219B8E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9,47</w:t>
            </w:r>
          </w:p>
        </w:tc>
        <w:tc>
          <w:tcPr>
            <w:tcW w:w="1304" w:type="dxa"/>
            <w:tcBorders>
              <w:top w:val="nil"/>
              <w:left w:val="nil"/>
              <w:bottom w:val="single" w:sz="4" w:space="0" w:color="auto"/>
              <w:right w:val="single" w:sz="4" w:space="0" w:color="auto"/>
            </w:tcBorders>
            <w:shd w:val="clear" w:color="auto" w:fill="auto"/>
            <w:noWrap/>
            <w:vAlign w:val="center"/>
            <w:hideMark/>
          </w:tcPr>
          <w:p w14:paraId="67BB23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9,33</w:t>
            </w:r>
          </w:p>
        </w:tc>
        <w:tc>
          <w:tcPr>
            <w:tcW w:w="1304" w:type="dxa"/>
            <w:tcBorders>
              <w:top w:val="nil"/>
              <w:left w:val="nil"/>
              <w:bottom w:val="single" w:sz="4" w:space="0" w:color="auto"/>
              <w:right w:val="single" w:sz="4" w:space="0" w:color="auto"/>
            </w:tcBorders>
            <w:shd w:val="clear" w:color="auto" w:fill="auto"/>
            <w:noWrap/>
            <w:vAlign w:val="center"/>
            <w:hideMark/>
          </w:tcPr>
          <w:p w14:paraId="1140949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8,41</w:t>
            </w:r>
          </w:p>
        </w:tc>
        <w:tc>
          <w:tcPr>
            <w:tcW w:w="1304" w:type="dxa"/>
            <w:tcBorders>
              <w:top w:val="nil"/>
              <w:left w:val="nil"/>
              <w:bottom w:val="single" w:sz="4" w:space="0" w:color="auto"/>
              <w:right w:val="single" w:sz="4" w:space="0" w:color="auto"/>
            </w:tcBorders>
            <w:shd w:val="clear" w:color="auto" w:fill="auto"/>
            <w:noWrap/>
            <w:vAlign w:val="center"/>
            <w:hideMark/>
          </w:tcPr>
          <w:p w14:paraId="7592382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8,70</w:t>
            </w:r>
          </w:p>
        </w:tc>
      </w:tr>
      <w:tr w:rsidR="00BF12D5" w:rsidRPr="00BD0223" w14:paraId="0EE34C40"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29D2EB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MONTE APRAZIVEL</w:t>
            </w:r>
          </w:p>
        </w:tc>
        <w:tc>
          <w:tcPr>
            <w:tcW w:w="1304" w:type="dxa"/>
            <w:tcBorders>
              <w:top w:val="nil"/>
              <w:left w:val="nil"/>
              <w:bottom w:val="single" w:sz="4" w:space="0" w:color="auto"/>
              <w:right w:val="single" w:sz="4" w:space="0" w:color="auto"/>
            </w:tcBorders>
            <w:shd w:val="clear" w:color="auto" w:fill="auto"/>
            <w:noWrap/>
            <w:vAlign w:val="center"/>
            <w:hideMark/>
          </w:tcPr>
          <w:p w14:paraId="031657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15,39</w:t>
            </w:r>
          </w:p>
        </w:tc>
        <w:tc>
          <w:tcPr>
            <w:tcW w:w="1304" w:type="dxa"/>
            <w:tcBorders>
              <w:top w:val="nil"/>
              <w:left w:val="nil"/>
              <w:bottom w:val="single" w:sz="4" w:space="0" w:color="auto"/>
              <w:right w:val="single" w:sz="4" w:space="0" w:color="auto"/>
            </w:tcBorders>
            <w:shd w:val="clear" w:color="auto" w:fill="auto"/>
            <w:noWrap/>
            <w:vAlign w:val="center"/>
            <w:hideMark/>
          </w:tcPr>
          <w:p w14:paraId="0B3929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21,22</w:t>
            </w:r>
          </w:p>
        </w:tc>
        <w:tc>
          <w:tcPr>
            <w:tcW w:w="1304" w:type="dxa"/>
            <w:tcBorders>
              <w:top w:val="nil"/>
              <w:left w:val="nil"/>
              <w:bottom w:val="single" w:sz="4" w:space="0" w:color="auto"/>
              <w:right w:val="single" w:sz="4" w:space="0" w:color="auto"/>
            </w:tcBorders>
            <w:shd w:val="clear" w:color="auto" w:fill="auto"/>
            <w:noWrap/>
            <w:vAlign w:val="center"/>
            <w:hideMark/>
          </w:tcPr>
          <w:p w14:paraId="2AF2138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21,95</w:t>
            </w:r>
          </w:p>
        </w:tc>
        <w:tc>
          <w:tcPr>
            <w:tcW w:w="1304" w:type="dxa"/>
            <w:tcBorders>
              <w:top w:val="nil"/>
              <w:left w:val="nil"/>
              <w:bottom w:val="single" w:sz="4" w:space="0" w:color="auto"/>
              <w:right w:val="single" w:sz="4" w:space="0" w:color="auto"/>
            </w:tcBorders>
            <w:shd w:val="clear" w:color="auto" w:fill="auto"/>
            <w:noWrap/>
            <w:vAlign w:val="center"/>
            <w:hideMark/>
          </w:tcPr>
          <w:p w14:paraId="23E478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13,86</w:t>
            </w:r>
          </w:p>
        </w:tc>
      </w:tr>
      <w:tr w:rsidR="00BF12D5" w:rsidRPr="00BD0223" w14:paraId="4C4EAEAD"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0F0F2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MONTE AZUL PAULISTA</w:t>
            </w:r>
          </w:p>
        </w:tc>
        <w:tc>
          <w:tcPr>
            <w:tcW w:w="1304" w:type="dxa"/>
            <w:tcBorders>
              <w:top w:val="nil"/>
              <w:left w:val="nil"/>
              <w:bottom w:val="single" w:sz="4" w:space="0" w:color="auto"/>
              <w:right w:val="single" w:sz="4" w:space="0" w:color="auto"/>
            </w:tcBorders>
            <w:shd w:val="clear" w:color="auto" w:fill="auto"/>
            <w:noWrap/>
            <w:vAlign w:val="center"/>
            <w:hideMark/>
          </w:tcPr>
          <w:p w14:paraId="769ABA9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2,66</w:t>
            </w:r>
          </w:p>
        </w:tc>
        <w:tc>
          <w:tcPr>
            <w:tcW w:w="1304" w:type="dxa"/>
            <w:tcBorders>
              <w:top w:val="nil"/>
              <w:left w:val="nil"/>
              <w:bottom w:val="single" w:sz="4" w:space="0" w:color="auto"/>
              <w:right w:val="single" w:sz="4" w:space="0" w:color="auto"/>
            </w:tcBorders>
            <w:shd w:val="clear" w:color="auto" w:fill="auto"/>
            <w:noWrap/>
            <w:vAlign w:val="center"/>
            <w:hideMark/>
          </w:tcPr>
          <w:p w14:paraId="28F6007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2,59</w:t>
            </w:r>
          </w:p>
        </w:tc>
        <w:tc>
          <w:tcPr>
            <w:tcW w:w="1304" w:type="dxa"/>
            <w:tcBorders>
              <w:top w:val="nil"/>
              <w:left w:val="nil"/>
              <w:bottom w:val="single" w:sz="4" w:space="0" w:color="auto"/>
              <w:right w:val="single" w:sz="4" w:space="0" w:color="auto"/>
            </w:tcBorders>
            <w:shd w:val="clear" w:color="auto" w:fill="auto"/>
            <w:noWrap/>
            <w:vAlign w:val="center"/>
            <w:hideMark/>
          </w:tcPr>
          <w:p w14:paraId="007B95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2,64</w:t>
            </w:r>
          </w:p>
        </w:tc>
        <w:tc>
          <w:tcPr>
            <w:tcW w:w="1304" w:type="dxa"/>
            <w:tcBorders>
              <w:top w:val="nil"/>
              <w:left w:val="nil"/>
              <w:bottom w:val="single" w:sz="4" w:space="0" w:color="auto"/>
              <w:right w:val="single" w:sz="4" w:space="0" w:color="auto"/>
            </w:tcBorders>
            <w:shd w:val="clear" w:color="auto" w:fill="auto"/>
            <w:noWrap/>
            <w:vAlign w:val="center"/>
            <w:hideMark/>
          </w:tcPr>
          <w:p w14:paraId="20287C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2,58</w:t>
            </w:r>
          </w:p>
        </w:tc>
      </w:tr>
      <w:tr w:rsidR="00BF12D5" w:rsidRPr="00BD0223" w14:paraId="0DAA3ED7"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19008D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MORRO AGUDO</w:t>
            </w:r>
          </w:p>
        </w:tc>
        <w:tc>
          <w:tcPr>
            <w:tcW w:w="1304" w:type="dxa"/>
            <w:tcBorders>
              <w:top w:val="nil"/>
              <w:left w:val="nil"/>
              <w:bottom w:val="single" w:sz="4" w:space="0" w:color="auto"/>
              <w:right w:val="single" w:sz="4" w:space="0" w:color="auto"/>
            </w:tcBorders>
            <w:shd w:val="clear" w:color="auto" w:fill="auto"/>
            <w:noWrap/>
            <w:vAlign w:val="center"/>
            <w:hideMark/>
          </w:tcPr>
          <w:p w14:paraId="0DB0D88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33,45</w:t>
            </w:r>
          </w:p>
        </w:tc>
        <w:tc>
          <w:tcPr>
            <w:tcW w:w="1304" w:type="dxa"/>
            <w:tcBorders>
              <w:top w:val="nil"/>
              <w:left w:val="nil"/>
              <w:bottom w:val="single" w:sz="4" w:space="0" w:color="auto"/>
              <w:right w:val="single" w:sz="4" w:space="0" w:color="auto"/>
            </w:tcBorders>
            <w:shd w:val="clear" w:color="auto" w:fill="auto"/>
            <w:noWrap/>
            <w:vAlign w:val="center"/>
            <w:hideMark/>
          </w:tcPr>
          <w:p w14:paraId="5470AA5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34,93</w:t>
            </w:r>
          </w:p>
        </w:tc>
        <w:tc>
          <w:tcPr>
            <w:tcW w:w="1304" w:type="dxa"/>
            <w:tcBorders>
              <w:top w:val="nil"/>
              <w:left w:val="nil"/>
              <w:bottom w:val="single" w:sz="4" w:space="0" w:color="auto"/>
              <w:right w:val="single" w:sz="4" w:space="0" w:color="auto"/>
            </w:tcBorders>
            <w:shd w:val="clear" w:color="auto" w:fill="auto"/>
            <w:noWrap/>
            <w:vAlign w:val="center"/>
            <w:hideMark/>
          </w:tcPr>
          <w:p w14:paraId="01446A8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33,44</w:t>
            </w:r>
          </w:p>
        </w:tc>
        <w:tc>
          <w:tcPr>
            <w:tcW w:w="1304" w:type="dxa"/>
            <w:tcBorders>
              <w:top w:val="nil"/>
              <w:left w:val="nil"/>
              <w:bottom w:val="single" w:sz="4" w:space="0" w:color="auto"/>
              <w:right w:val="single" w:sz="4" w:space="0" w:color="auto"/>
            </w:tcBorders>
            <w:shd w:val="clear" w:color="auto" w:fill="auto"/>
            <w:noWrap/>
            <w:vAlign w:val="center"/>
            <w:hideMark/>
          </w:tcPr>
          <w:p w14:paraId="38B833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30,91</w:t>
            </w:r>
          </w:p>
        </w:tc>
      </w:tr>
      <w:tr w:rsidR="00BF12D5" w:rsidRPr="00BD0223" w14:paraId="55FB2A46"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57397AB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NEVES PAULISTA</w:t>
            </w:r>
          </w:p>
        </w:tc>
        <w:tc>
          <w:tcPr>
            <w:tcW w:w="1304" w:type="dxa"/>
            <w:tcBorders>
              <w:top w:val="nil"/>
              <w:left w:val="nil"/>
              <w:bottom w:val="single" w:sz="4" w:space="0" w:color="auto"/>
              <w:right w:val="single" w:sz="4" w:space="0" w:color="auto"/>
            </w:tcBorders>
            <w:shd w:val="clear" w:color="auto" w:fill="auto"/>
            <w:noWrap/>
            <w:vAlign w:val="center"/>
            <w:hideMark/>
          </w:tcPr>
          <w:p w14:paraId="5325E30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1,27</w:t>
            </w:r>
          </w:p>
        </w:tc>
        <w:tc>
          <w:tcPr>
            <w:tcW w:w="1304" w:type="dxa"/>
            <w:tcBorders>
              <w:top w:val="nil"/>
              <w:left w:val="nil"/>
              <w:bottom w:val="single" w:sz="4" w:space="0" w:color="auto"/>
              <w:right w:val="single" w:sz="4" w:space="0" w:color="auto"/>
            </w:tcBorders>
            <w:shd w:val="clear" w:color="auto" w:fill="auto"/>
            <w:noWrap/>
            <w:vAlign w:val="center"/>
            <w:hideMark/>
          </w:tcPr>
          <w:p w14:paraId="6F83328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1,11</w:t>
            </w:r>
          </w:p>
        </w:tc>
        <w:tc>
          <w:tcPr>
            <w:tcW w:w="1304" w:type="dxa"/>
            <w:tcBorders>
              <w:top w:val="nil"/>
              <w:left w:val="nil"/>
              <w:bottom w:val="single" w:sz="4" w:space="0" w:color="auto"/>
              <w:right w:val="single" w:sz="4" w:space="0" w:color="auto"/>
            </w:tcBorders>
            <w:shd w:val="clear" w:color="auto" w:fill="auto"/>
            <w:noWrap/>
            <w:vAlign w:val="center"/>
            <w:hideMark/>
          </w:tcPr>
          <w:p w14:paraId="1736144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1,02</w:t>
            </w:r>
          </w:p>
        </w:tc>
        <w:tc>
          <w:tcPr>
            <w:tcW w:w="1304" w:type="dxa"/>
            <w:tcBorders>
              <w:top w:val="nil"/>
              <w:left w:val="nil"/>
              <w:bottom w:val="single" w:sz="4" w:space="0" w:color="auto"/>
              <w:right w:val="single" w:sz="4" w:space="0" w:color="auto"/>
            </w:tcBorders>
            <w:shd w:val="clear" w:color="auto" w:fill="auto"/>
            <w:noWrap/>
            <w:vAlign w:val="center"/>
            <w:hideMark/>
          </w:tcPr>
          <w:p w14:paraId="10B39F8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1,07</w:t>
            </w:r>
          </w:p>
        </w:tc>
      </w:tr>
      <w:tr w:rsidR="00BF12D5" w:rsidRPr="00BD0223" w14:paraId="7673572D"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F91966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NHANDEARA</w:t>
            </w:r>
          </w:p>
        </w:tc>
        <w:tc>
          <w:tcPr>
            <w:tcW w:w="1304" w:type="dxa"/>
            <w:tcBorders>
              <w:top w:val="nil"/>
              <w:left w:val="nil"/>
              <w:bottom w:val="single" w:sz="4" w:space="0" w:color="auto"/>
              <w:right w:val="single" w:sz="4" w:space="0" w:color="auto"/>
            </w:tcBorders>
            <w:shd w:val="clear" w:color="auto" w:fill="auto"/>
            <w:noWrap/>
            <w:vAlign w:val="center"/>
            <w:hideMark/>
          </w:tcPr>
          <w:p w14:paraId="2F4482A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4,38</w:t>
            </w:r>
          </w:p>
        </w:tc>
        <w:tc>
          <w:tcPr>
            <w:tcW w:w="1304" w:type="dxa"/>
            <w:tcBorders>
              <w:top w:val="nil"/>
              <w:left w:val="nil"/>
              <w:bottom w:val="single" w:sz="4" w:space="0" w:color="auto"/>
              <w:right w:val="single" w:sz="4" w:space="0" w:color="auto"/>
            </w:tcBorders>
            <w:shd w:val="clear" w:color="auto" w:fill="auto"/>
            <w:noWrap/>
            <w:vAlign w:val="center"/>
            <w:hideMark/>
          </w:tcPr>
          <w:p w14:paraId="72551D3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4,61</w:t>
            </w:r>
          </w:p>
        </w:tc>
        <w:tc>
          <w:tcPr>
            <w:tcW w:w="1304" w:type="dxa"/>
            <w:tcBorders>
              <w:top w:val="nil"/>
              <w:left w:val="nil"/>
              <w:bottom w:val="single" w:sz="4" w:space="0" w:color="auto"/>
              <w:right w:val="single" w:sz="4" w:space="0" w:color="auto"/>
            </w:tcBorders>
            <w:shd w:val="clear" w:color="auto" w:fill="auto"/>
            <w:noWrap/>
            <w:vAlign w:val="center"/>
            <w:hideMark/>
          </w:tcPr>
          <w:p w14:paraId="464E3A3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10,32</w:t>
            </w:r>
          </w:p>
        </w:tc>
        <w:tc>
          <w:tcPr>
            <w:tcW w:w="1304" w:type="dxa"/>
            <w:tcBorders>
              <w:top w:val="nil"/>
              <w:left w:val="nil"/>
              <w:bottom w:val="single" w:sz="4" w:space="0" w:color="auto"/>
              <w:right w:val="single" w:sz="4" w:space="0" w:color="auto"/>
            </w:tcBorders>
            <w:shd w:val="clear" w:color="auto" w:fill="auto"/>
            <w:noWrap/>
            <w:vAlign w:val="center"/>
            <w:hideMark/>
          </w:tcPr>
          <w:p w14:paraId="421D3B2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8,12</w:t>
            </w:r>
          </w:p>
        </w:tc>
      </w:tr>
      <w:tr w:rsidR="00BF12D5" w:rsidRPr="00BD0223" w14:paraId="2828687C"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1E45D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NIPOA</w:t>
            </w:r>
          </w:p>
        </w:tc>
        <w:tc>
          <w:tcPr>
            <w:tcW w:w="1304" w:type="dxa"/>
            <w:tcBorders>
              <w:top w:val="nil"/>
              <w:left w:val="nil"/>
              <w:bottom w:val="single" w:sz="4" w:space="0" w:color="auto"/>
              <w:right w:val="single" w:sz="4" w:space="0" w:color="auto"/>
            </w:tcBorders>
            <w:shd w:val="clear" w:color="auto" w:fill="auto"/>
            <w:noWrap/>
            <w:vAlign w:val="center"/>
            <w:hideMark/>
          </w:tcPr>
          <w:p w14:paraId="70F3007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0,86</w:t>
            </w:r>
          </w:p>
        </w:tc>
        <w:tc>
          <w:tcPr>
            <w:tcW w:w="1304" w:type="dxa"/>
            <w:tcBorders>
              <w:top w:val="nil"/>
              <w:left w:val="nil"/>
              <w:bottom w:val="single" w:sz="4" w:space="0" w:color="auto"/>
              <w:right w:val="single" w:sz="4" w:space="0" w:color="auto"/>
            </w:tcBorders>
            <w:shd w:val="clear" w:color="auto" w:fill="auto"/>
            <w:noWrap/>
            <w:vAlign w:val="center"/>
            <w:hideMark/>
          </w:tcPr>
          <w:p w14:paraId="3565D31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0,91</w:t>
            </w:r>
          </w:p>
        </w:tc>
        <w:tc>
          <w:tcPr>
            <w:tcW w:w="1304" w:type="dxa"/>
            <w:tcBorders>
              <w:top w:val="nil"/>
              <w:left w:val="nil"/>
              <w:bottom w:val="single" w:sz="4" w:space="0" w:color="auto"/>
              <w:right w:val="single" w:sz="4" w:space="0" w:color="auto"/>
            </w:tcBorders>
            <w:shd w:val="clear" w:color="auto" w:fill="auto"/>
            <w:noWrap/>
            <w:vAlign w:val="center"/>
            <w:hideMark/>
          </w:tcPr>
          <w:p w14:paraId="1E60B9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1,07</w:t>
            </w:r>
          </w:p>
        </w:tc>
        <w:tc>
          <w:tcPr>
            <w:tcW w:w="1304" w:type="dxa"/>
            <w:tcBorders>
              <w:top w:val="nil"/>
              <w:left w:val="nil"/>
              <w:bottom w:val="single" w:sz="4" w:space="0" w:color="auto"/>
              <w:right w:val="single" w:sz="4" w:space="0" w:color="auto"/>
            </w:tcBorders>
            <w:shd w:val="clear" w:color="auto" w:fill="auto"/>
            <w:noWrap/>
            <w:vAlign w:val="center"/>
            <w:hideMark/>
          </w:tcPr>
          <w:p w14:paraId="7FA6416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0,65</w:t>
            </w:r>
          </w:p>
        </w:tc>
      </w:tr>
      <w:tr w:rsidR="00BF12D5" w:rsidRPr="00BD0223" w14:paraId="1E64B3C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13D22F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NOVA CANAA PAULISTA</w:t>
            </w:r>
          </w:p>
        </w:tc>
        <w:tc>
          <w:tcPr>
            <w:tcW w:w="1304" w:type="dxa"/>
            <w:tcBorders>
              <w:top w:val="nil"/>
              <w:left w:val="nil"/>
              <w:bottom w:val="single" w:sz="4" w:space="0" w:color="auto"/>
              <w:right w:val="single" w:sz="4" w:space="0" w:color="auto"/>
            </w:tcBorders>
            <w:shd w:val="clear" w:color="auto" w:fill="auto"/>
            <w:noWrap/>
            <w:vAlign w:val="center"/>
            <w:hideMark/>
          </w:tcPr>
          <w:p w14:paraId="1172D68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0,21</w:t>
            </w:r>
          </w:p>
        </w:tc>
        <w:tc>
          <w:tcPr>
            <w:tcW w:w="1304" w:type="dxa"/>
            <w:tcBorders>
              <w:top w:val="nil"/>
              <w:left w:val="nil"/>
              <w:bottom w:val="single" w:sz="4" w:space="0" w:color="auto"/>
              <w:right w:val="single" w:sz="4" w:space="0" w:color="auto"/>
            </w:tcBorders>
            <w:shd w:val="clear" w:color="auto" w:fill="auto"/>
            <w:noWrap/>
            <w:vAlign w:val="center"/>
            <w:hideMark/>
          </w:tcPr>
          <w:p w14:paraId="7D9D352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0,21</w:t>
            </w:r>
          </w:p>
        </w:tc>
        <w:tc>
          <w:tcPr>
            <w:tcW w:w="1304" w:type="dxa"/>
            <w:tcBorders>
              <w:top w:val="nil"/>
              <w:left w:val="nil"/>
              <w:bottom w:val="single" w:sz="4" w:space="0" w:color="auto"/>
              <w:right w:val="single" w:sz="4" w:space="0" w:color="auto"/>
            </w:tcBorders>
            <w:shd w:val="clear" w:color="auto" w:fill="auto"/>
            <w:noWrap/>
            <w:vAlign w:val="center"/>
            <w:hideMark/>
          </w:tcPr>
          <w:p w14:paraId="130E501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0,21</w:t>
            </w:r>
          </w:p>
        </w:tc>
        <w:tc>
          <w:tcPr>
            <w:tcW w:w="1304" w:type="dxa"/>
            <w:tcBorders>
              <w:top w:val="nil"/>
              <w:left w:val="nil"/>
              <w:bottom w:val="single" w:sz="4" w:space="0" w:color="auto"/>
              <w:right w:val="single" w:sz="4" w:space="0" w:color="auto"/>
            </w:tcBorders>
            <w:shd w:val="clear" w:color="auto" w:fill="auto"/>
            <w:noWrap/>
            <w:vAlign w:val="center"/>
            <w:hideMark/>
          </w:tcPr>
          <w:p w14:paraId="2723AB0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0,21</w:t>
            </w:r>
          </w:p>
        </w:tc>
      </w:tr>
      <w:tr w:rsidR="00BF12D5" w:rsidRPr="00BD0223" w14:paraId="08B4C6B1"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851FF1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NOVA CASTILHO</w:t>
            </w:r>
          </w:p>
        </w:tc>
        <w:tc>
          <w:tcPr>
            <w:tcW w:w="1304" w:type="dxa"/>
            <w:tcBorders>
              <w:top w:val="nil"/>
              <w:left w:val="nil"/>
              <w:bottom w:val="single" w:sz="4" w:space="0" w:color="auto"/>
              <w:right w:val="single" w:sz="4" w:space="0" w:color="auto"/>
            </w:tcBorders>
            <w:shd w:val="clear" w:color="auto" w:fill="auto"/>
            <w:noWrap/>
            <w:vAlign w:val="center"/>
            <w:hideMark/>
          </w:tcPr>
          <w:p w14:paraId="1CB4ADE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0,13</w:t>
            </w:r>
          </w:p>
        </w:tc>
        <w:tc>
          <w:tcPr>
            <w:tcW w:w="1304" w:type="dxa"/>
            <w:tcBorders>
              <w:top w:val="nil"/>
              <w:left w:val="nil"/>
              <w:bottom w:val="single" w:sz="4" w:space="0" w:color="auto"/>
              <w:right w:val="single" w:sz="4" w:space="0" w:color="auto"/>
            </w:tcBorders>
            <w:shd w:val="clear" w:color="auto" w:fill="auto"/>
            <w:noWrap/>
            <w:vAlign w:val="center"/>
            <w:hideMark/>
          </w:tcPr>
          <w:p w14:paraId="5A7FB9B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0,12</w:t>
            </w:r>
          </w:p>
        </w:tc>
        <w:tc>
          <w:tcPr>
            <w:tcW w:w="1304" w:type="dxa"/>
            <w:tcBorders>
              <w:top w:val="nil"/>
              <w:left w:val="nil"/>
              <w:bottom w:val="single" w:sz="4" w:space="0" w:color="auto"/>
              <w:right w:val="single" w:sz="4" w:space="0" w:color="auto"/>
            </w:tcBorders>
            <w:shd w:val="clear" w:color="auto" w:fill="auto"/>
            <w:noWrap/>
            <w:vAlign w:val="center"/>
            <w:hideMark/>
          </w:tcPr>
          <w:p w14:paraId="7103F8D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0,09</w:t>
            </w:r>
          </w:p>
        </w:tc>
        <w:tc>
          <w:tcPr>
            <w:tcW w:w="1304" w:type="dxa"/>
            <w:tcBorders>
              <w:top w:val="nil"/>
              <w:left w:val="nil"/>
              <w:bottom w:val="single" w:sz="4" w:space="0" w:color="auto"/>
              <w:right w:val="single" w:sz="4" w:space="0" w:color="auto"/>
            </w:tcBorders>
            <w:shd w:val="clear" w:color="auto" w:fill="auto"/>
            <w:noWrap/>
            <w:vAlign w:val="center"/>
            <w:hideMark/>
          </w:tcPr>
          <w:p w14:paraId="406F4B9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0,12</w:t>
            </w:r>
          </w:p>
        </w:tc>
      </w:tr>
      <w:tr w:rsidR="00BF12D5" w:rsidRPr="00BD0223" w14:paraId="62B97521"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A37230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NOVA ODESSA</w:t>
            </w:r>
          </w:p>
        </w:tc>
        <w:tc>
          <w:tcPr>
            <w:tcW w:w="1304" w:type="dxa"/>
            <w:tcBorders>
              <w:top w:val="nil"/>
              <w:left w:val="nil"/>
              <w:bottom w:val="single" w:sz="4" w:space="0" w:color="auto"/>
              <w:right w:val="single" w:sz="4" w:space="0" w:color="auto"/>
            </w:tcBorders>
            <w:shd w:val="clear" w:color="auto" w:fill="auto"/>
            <w:noWrap/>
            <w:vAlign w:val="center"/>
            <w:hideMark/>
          </w:tcPr>
          <w:p w14:paraId="5048B71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17,56</w:t>
            </w:r>
          </w:p>
        </w:tc>
        <w:tc>
          <w:tcPr>
            <w:tcW w:w="1304" w:type="dxa"/>
            <w:tcBorders>
              <w:top w:val="nil"/>
              <w:left w:val="nil"/>
              <w:bottom w:val="single" w:sz="4" w:space="0" w:color="auto"/>
              <w:right w:val="single" w:sz="4" w:space="0" w:color="auto"/>
            </w:tcBorders>
            <w:shd w:val="clear" w:color="auto" w:fill="auto"/>
            <w:noWrap/>
            <w:vAlign w:val="center"/>
            <w:hideMark/>
          </w:tcPr>
          <w:p w14:paraId="10A5A40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16,66</w:t>
            </w:r>
          </w:p>
        </w:tc>
        <w:tc>
          <w:tcPr>
            <w:tcW w:w="1304" w:type="dxa"/>
            <w:tcBorders>
              <w:top w:val="nil"/>
              <w:left w:val="nil"/>
              <w:bottom w:val="single" w:sz="4" w:space="0" w:color="auto"/>
              <w:right w:val="single" w:sz="4" w:space="0" w:color="auto"/>
            </w:tcBorders>
            <w:shd w:val="clear" w:color="auto" w:fill="auto"/>
            <w:noWrap/>
            <w:vAlign w:val="center"/>
            <w:hideMark/>
          </w:tcPr>
          <w:p w14:paraId="3D91BDB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19,06</w:t>
            </w:r>
          </w:p>
        </w:tc>
        <w:tc>
          <w:tcPr>
            <w:tcW w:w="1304" w:type="dxa"/>
            <w:tcBorders>
              <w:top w:val="nil"/>
              <w:left w:val="nil"/>
              <w:bottom w:val="single" w:sz="4" w:space="0" w:color="auto"/>
              <w:right w:val="single" w:sz="4" w:space="0" w:color="auto"/>
            </w:tcBorders>
            <w:shd w:val="clear" w:color="auto" w:fill="auto"/>
            <w:noWrap/>
            <w:vAlign w:val="center"/>
            <w:hideMark/>
          </w:tcPr>
          <w:p w14:paraId="1B27D8E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16,92</w:t>
            </w:r>
          </w:p>
        </w:tc>
      </w:tr>
      <w:tr w:rsidR="00BF12D5" w:rsidRPr="00BD0223" w14:paraId="0A0E7555"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FCF50F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NOVO HORIZONTE</w:t>
            </w:r>
          </w:p>
        </w:tc>
        <w:tc>
          <w:tcPr>
            <w:tcW w:w="1304" w:type="dxa"/>
            <w:tcBorders>
              <w:top w:val="nil"/>
              <w:left w:val="nil"/>
              <w:bottom w:val="single" w:sz="4" w:space="0" w:color="auto"/>
              <w:right w:val="single" w:sz="4" w:space="0" w:color="auto"/>
            </w:tcBorders>
            <w:shd w:val="clear" w:color="auto" w:fill="auto"/>
            <w:noWrap/>
            <w:vAlign w:val="center"/>
            <w:hideMark/>
          </w:tcPr>
          <w:p w14:paraId="4F614B9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32,08</w:t>
            </w:r>
          </w:p>
        </w:tc>
        <w:tc>
          <w:tcPr>
            <w:tcW w:w="1304" w:type="dxa"/>
            <w:tcBorders>
              <w:top w:val="nil"/>
              <w:left w:val="nil"/>
              <w:bottom w:val="single" w:sz="4" w:space="0" w:color="auto"/>
              <w:right w:val="single" w:sz="4" w:space="0" w:color="auto"/>
            </w:tcBorders>
            <w:shd w:val="clear" w:color="auto" w:fill="auto"/>
            <w:noWrap/>
            <w:vAlign w:val="center"/>
            <w:hideMark/>
          </w:tcPr>
          <w:p w14:paraId="629D236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32,35</w:t>
            </w:r>
          </w:p>
        </w:tc>
        <w:tc>
          <w:tcPr>
            <w:tcW w:w="1304" w:type="dxa"/>
            <w:tcBorders>
              <w:top w:val="nil"/>
              <w:left w:val="nil"/>
              <w:bottom w:val="single" w:sz="4" w:space="0" w:color="auto"/>
              <w:right w:val="single" w:sz="4" w:space="0" w:color="auto"/>
            </w:tcBorders>
            <w:shd w:val="clear" w:color="auto" w:fill="auto"/>
            <w:noWrap/>
            <w:vAlign w:val="center"/>
            <w:hideMark/>
          </w:tcPr>
          <w:p w14:paraId="416376C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30,78</w:t>
            </w:r>
          </w:p>
        </w:tc>
        <w:tc>
          <w:tcPr>
            <w:tcW w:w="1304" w:type="dxa"/>
            <w:tcBorders>
              <w:top w:val="nil"/>
              <w:left w:val="nil"/>
              <w:bottom w:val="single" w:sz="4" w:space="0" w:color="auto"/>
              <w:right w:val="single" w:sz="4" w:space="0" w:color="auto"/>
            </w:tcBorders>
            <w:shd w:val="clear" w:color="auto" w:fill="auto"/>
            <w:noWrap/>
            <w:vAlign w:val="center"/>
            <w:hideMark/>
          </w:tcPr>
          <w:p w14:paraId="1FD002F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31,79</w:t>
            </w:r>
          </w:p>
        </w:tc>
      </w:tr>
      <w:tr w:rsidR="00BF12D5" w:rsidRPr="00BD0223" w14:paraId="61356EE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7B7E8D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NUPORANGA</w:t>
            </w:r>
          </w:p>
        </w:tc>
        <w:tc>
          <w:tcPr>
            <w:tcW w:w="1304" w:type="dxa"/>
            <w:tcBorders>
              <w:top w:val="nil"/>
              <w:left w:val="nil"/>
              <w:bottom w:val="single" w:sz="4" w:space="0" w:color="auto"/>
              <w:right w:val="single" w:sz="4" w:space="0" w:color="auto"/>
            </w:tcBorders>
            <w:shd w:val="clear" w:color="auto" w:fill="auto"/>
            <w:noWrap/>
            <w:vAlign w:val="center"/>
            <w:hideMark/>
          </w:tcPr>
          <w:p w14:paraId="156B507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3,77</w:t>
            </w:r>
          </w:p>
        </w:tc>
        <w:tc>
          <w:tcPr>
            <w:tcW w:w="1304" w:type="dxa"/>
            <w:tcBorders>
              <w:top w:val="nil"/>
              <w:left w:val="nil"/>
              <w:bottom w:val="single" w:sz="4" w:space="0" w:color="auto"/>
              <w:right w:val="single" w:sz="4" w:space="0" w:color="auto"/>
            </w:tcBorders>
            <w:shd w:val="clear" w:color="auto" w:fill="auto"/>
            <w:noWrap/>
            <w:vAlign w:val="center"/>
            <w:hideMark/>
          </w:tcPr>
          <w:p w14:paraId="50FB14C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3,16</w:t>
            </w:r>
          </w:p>
        </w:tc>
        <w:tc>
          <w:tcPr>
            <w:tcW w:w="1304" w:type="dxa"/>
            <w:tcBorders>
              <w:top w:val="nil"/>
              <w:left w:val="nil"/>
              <w:bottom w:val="single" w:sz="4" w:space="0" w:color="auto"/>
              <w:right w:val="single" w:sz="4" w:space="0" w:color="auto"/>
            </w:tcBorders>
            <w:shd w:val="clear" w:color="auto" w:fill="auto"/>
            <w:noWrap/>
            <w:vAlign w:val="center"/>
            <w:hideMark/>
          </w:tcPr>
          <w:p w14:paraId="4B59534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2,48</w:t>
            </w:r>
          </w:p>
        </w:tc>
        <w:tc>
          <w:tcPr>
            <w:tcW w:w="1304" w:type="dxa"/>
            <w:tcBorders>
              <w:top w:val="nil"/>
              <w:left w:val="nil"/>
              <w:bottom w:val="single" w:sz="4" w:space="0" w:color="auto"/>
              <w:right w:val="single" w:sz="4" w:space="0" w:color="auto"/>
            </w:tcBorders>
            <w:shd w:val="clear" w:color="auto" w:fill="auto"/>
            <w:noWrap/>
            <w:vAlign w:val="center"/>
            <w:hideMark/>
          </w:tcPr>
          <w:p w14:paraId="3CDC0E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2,21</w:t>
            </w:r>
          </w:p>
        </w:tc>
      </w:tr>
      <w:tr w:rsidR="00BF12D5" w:rsidRPr="00BD0223" w14:paraId="4BC95A18"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59ECF88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OLIMPIA</w:t>
            </w:r>
          </w:p>
        </w:tc>
        <w:tc>
          <w:tcPr>
            <w:tcW w:w="1304" w:type="dxa"/>
            <w:tcBorders>
              <w:top w:val="nil"/>
              <w:left w:val="nil"/>
              <w:bottom w:val="single" w:sz="4" w:space="0" w:color="auto"/>
              <w:right w:val="single" w:sz="4" w:space="0" w:color="auto"/>
            </w:tcBorders>
            <w:shd w:val="clear" w:color="auto" w:fill="auto"/>
            <w:noWrap/>
            <w:vAlign w:val="center"/>
            <w:hideMark/>
          </w:tcPr>
          <w:p w14:paraId="73070DA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16,51</w:t>
            </w:r>
          </w:p>
        </w:tc>
        <w:tc>
          <w:tcPr>
            <w:tcW w:w="1304" w:type="dxa"/>
            <w:tcBorders>
              <w:top w:val="nil"/>
              <w:left w:val="nil"/>
              <w:bottom w:val="single" w:sz="4" w:space="0" w:color="auto"/>
              <w:right w:val="single" w:sz="4" w:space="0" w:color="auto"/>
            </w:tcBorders>
            <w:shd w:val="clear" w:color="auto" w:fill="auto"/>
            <w:noWrap/>
            <w:vAlign w:val="center"/>
            <w:hideMark/>
          </w:tcPr>
          <w:p w14:paraId="70A301B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17,09</w:t>
            </w:r>
          </w:p>
        </w:tc>
        <w:tc>
          <w:tcPr>
            <w:tcW w:w="1304" w:type="dxa"/>
            <w:tcBorders>
              <w:top w:val="nil"/>
              <w:left w:val="nil"/>
              <w:bottom w:val="single" w:sz="4" w:space="0" w:color="auto"/>
              <w:right w:val="single" w:sz="4" w:space="0" w:color="auto"/>
            </w:tcBorders>
            <w:shd w:val="clear" w:color="auto" w:fill="auto"/>
            <w:noWrap/>
            <w:vAlign w:val="center"/>
            <w:hideMark/>
          </w:tcPr>
          <w:p w14:paraId="388527F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18,06</w:t>
            </w:r>
          </w:p>
        </w:tc>
        <w:tc>
          <w:tcPr>
            <w:tcW w:w="1304" w:type="dxa"/>
            <w:tcBorders>
              <w:top w:val="nil"/>
              <w:left w:val="nil"/>
              <w:bottom w:val="single" w:sz="4" w:space="0" w:color="auto"/>
              <w:right w:val="single" w:sz="4" w:space="0" w:color="auto"/>
            </w:tcBorders>
            <w:shd w:val="clear" w:color="auto" w:fill="auto"/>
            <w:noWrap/>
            <w:vAlign w:val="center"/>
            <w:hideMark/>
          </w:tcPr>
          <w:p w14:paraId="675BE76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20,81</w:t>
            </w:r>
          </w:p>
        </w:tc>
      </w:tr>
      <w:tr w:rsidR="00BF12D5" w:rsidRPr="00BD0223" w14:paraId="1727D0B2"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692385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ONDA VERDE</w:t>
            </w:r>
          </w:p>
        </w:tc>
        <w:tc>
          <w:tcPr>
            <w:tcW w:w="1304" w:type="dxa"/>
            <w:tcBorders>
              <w:top w:val="nil"/>
              <w:left w:val="nil"/>
              <w:bottom w:val="single" w:sz="4" w:space="0" w:color="auto"/>
              <w:right w:val="single" w:sz="4" w:space="0" w:color="auto"/>
            </w:tcBorders>
            <w:shd w:val="clear" w:color="auto" w:fill="auto"/>
            <w:noWrap/>
            <w:vAlign w:val="center"/>
            <w:hideMark/>
          </w:tcPr>
          <w:p w14:paraId="3288317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44,08</w:t>
            </w:r>
          </w:p>
        </w:tc>
        <w:tc>
          <w:tcPr>
            <w:tcW w:w="1304" w:type="dxa"/>
            <w:tcBorders>
              <w:top w:val="nil"/>
              <w:left w:val="nil"/>
              <w:bottom w:val="single" w:sz="4" w:space="0" w:color="auto"/>
              <w:right w:val="single" w:sz="4" w:space="0" w:color="auto"/>
            </w:tcBorders>
            <w:shd w:val="clear" w:color="auto" w:fill="auto"/>
            <w:noWrap/>
            <w:vAlign w:val="center"/>
            <w:hideMark/>
          </w:tcPr>
          <w:p w14:paraId="2DDF07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40,04</w:t>
            </w:r>
          </w:p>
        </w:tc>
        <w:tc>
          <w:tcPr>
            <w:tcW w:w="1304" w:type="dxa"/>
            <w:tcBorders>
              <w:top w:val="nil"/>
              <w:left w:val="nil"/>
              <w:bottom w:val="single" w:sz="4" w:space="0" w:color="auto"/>
              <w:right w:val="single" w:sz="4" w:space="0" w:color="auto"/>
            </w:tcBorders>
            <w:shd w:val="clear" w:color="auto" w:fill="auto"/>
            <w:noWrap/>
            <w:vAlign w:val="center"/>
            <w:hideMark/>
          </w:tcPr>
          <w:p w14:paraId="60275F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44,49</w:t>
            </w:r>
          </w:p>
        </w:tc>
        <w:tc>
          <w:tcPr>
            <w:tcW w:w="1304" w:type="dxa"/>
            <w:tcBorders>
              <w:top w:val="nil"/>
              <w:left w:val="nil"/>
              <w:bottom w:val="single" w:sz="4" w:space="0" w:color="auto"/>
              <w:right w:val="single" w:sz="4" w:space="0" w:color="auto"/>
            </w:tcBorders>
            <w:shd w:val="clear" w:color="auto" w:fill="auto"/>
            <w:noWrap/>
            <w:vAlign w:val="center"/>
            <w:hideMark/>
          </w:tcPr>
          <w:p w14:paraId="6197C9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40,95</w:t>
            </w:r>
          </w:p>
        </w:tc>
      </w:tr>
      <w:tr w:rsidR="00BF12D5" w:rsidRPr="00BD0223" w14:paraId="52F3A4D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D7DF2F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ORINDIUVA</w:t>
            </w:r>
          </w:p>
        </w:tc>
        <w:tc>
          <w:tcPr>
            <w:tcW w:w="1304" w:type="dxa"/>
            <w:tcBorders>
              <w:top w:val="nil"/>
              <w:left w:val="nil"/>
              <w:bottom w:val="single" w:sz="4" w:space="0" w:color="auto"/>
              <w:right w:val="single" w:sz="4" w:space="0" w:color="auto"/>
            </w:tcBorders>
            <w:shd w:val="clear" w:color="auto" w:fill="auto"/>
            <w:noWrap/>
            <w:vAlign w:val="center"/>
            <w:hideMark/>
          </w:tcPr>
          <w:p w14:paraId="13DFA1D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20,35</w:t>
            </w:r>
          </w:p>
        </w:tc>
        <w:tc>
          <w:tcPr>
            <w:tcW w:w="1304" w:type="dxa"/>
            <w:tcBorders>
              <w:top w:val="nil"/>
              <w:left w:val="nil"/>
              <w:bottom w:val="single" w:sz="4" w:space="0" w:color="auto"/>
              <w:right w:val="single" w:sz="4" w:space="0" w:color="auto"/>
            </w:tcBorders>
            <w:shd w:val="clear" w:color="auto" w:fill="auto"/>
            <w:noWrap/>
            <w:vAlign w:val="center"/>
            <w:hideMark/>
          </w:tcPr>
          <w:p w14:paraId="055064F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20,81</w:t>
            </w:r>
          </w:p>
        </w:tc>
        <w:tc>
          <w:tcPr>
            <w:tcW w:w="1304" w:type="dxa"/>
            <w:tcBorders>
              <w:top w:val="nil"/>
              <w:left w:val="nil"/>
              <w:bottom w:val="single" w:sz="4" w:space="0" w:color="auto"/>
              <w:right w:val="single" w:sz="4" w:space="0" w:color="auto"/>
            </w:tcBorders>
            <w:shd w:val="clear" w:color="auto" w:fill="auto"/>
            <w:noWrap/>
            <w:vAlign w:val="center"/>
            <w:hideMark/>
          </w:tcPr>
          <w:p w14:paraId="783EF40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20,05</w:t>
            </w:r>
          </w:p>
        </w:tc>
        <w:tc>
          <w:tcPr>
            <w:tcW w:w="1304" w:type="dxa"/>
            <w:tcBorders>
              <w:top w:val="nil"/>
              <w:left w:val="nil"/>
              <w:bottom w:val="single" w:sz="4" w:space="0" w:color="auto"/>
              <w:right w:val="single" w:sz="4" w:space="0" w:color="auto"/>
            </w:tcBorders>
            <w:shd w:val="clear" w:color="auto" w:fill="auto"/>
            <w:noWrap/>
            <w:vAlign w:val="center"/>
            <w:hideMark/>
          </w:tcPr>
          <w:p w14:paraId="2223D01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19,24</w:t>
            </w:r>
          </w:p>
        </w:tc>
      </w:tr>
      <w:tr w:rsidR="00BF12D5" w:rsidRPr="00BD0223" w14:paraId="617F46C3"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808218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ORLANDIA</w:t>
            </w:r>
          </w:p>
        </w:tc>
        <w:tc>
          <w:tcPr>
            <w:tcW w:w="1304" w:type="dxa"/>
            <w:tcBorders>
              <w:top w:val="nil"/>
              <w:left w:val="nil"/>
              <w:bottom w:val="single" w:sz="4" w:space="0" w:color="auto"/>
              <w:right w:val="single" w:sz="4" w:space="0" w:color="auto"/>
            </w:tcBorders>
            <w:shd w:val="clear" w:color="auto" w:fill="auto"/>
            <w:noWrap/>
            <w:vAlign w:val="center"/>
            <w:hideMark/>
          </w:tcPr>
          <w:p w14:paraId="1AFA11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17,04</w:t>
            </w:r>
          </w:p>
        </w:tc>
        <w:tc>
          <w:tcPr>
            <w:tcW w:w="1304" w:type="dxa"/>
            <w:tcBorders>
              <w:top w:val="nil"/>
              <w:left w:val="nil"/>
              <w:bottom w:val="single" w:sz="4" w:space="0" w:color="auto"/>
              <w:right w:val="single" w:sz="4" w:space="0" w:color="auto"/>
            </w:tcBorders>
            <w:shd w:val="clear" w:color="auto" w:fill="auto"/>
            <w:noWrap/>
            <w:vAlign w:val="center"/>
            <w:hideMark/>
          </w:tcPr>
          <w:p w14:paraId="067797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15,73</w:t>
            </w:r>
          </w:p>
        </w:tc>
        <w:tc>
          <w:tcPr>
            <w:tcW w:w="1304" w:type="dxa"/>
            <w:tcBorders>
              <w:top w:val="nil"/>
              <w:left w:val="nil"/>
              <w:bottom w:val="single" w:sz="4" w:space="0" w:color="auto"/>
              <w:right w:val="single" w:sz="4" w:space="0" w:color="auto"/>
            </w:tcBorders>
            <w:shd w:val="clear" w:color="auto" w:fill="auto"/>
            <w:noWrap/>
            <w:vAlign w:val="center"/>
            <w:hideMark/>
          </w:tcPr>
          <w:p w14:paraId="34FF27B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15,78</w:t>
            </w:r>
          </w:p>
        </w:tc>
        <w:tc>
          <w:tcPr>
            <w:tcW w:w="1304" w:type="dxa"/>
            <w:tcBorders>
              <w:top w:val="nil"/>
              <w:left w:val="nil"/>
              <w:bottom w:val="single" w:sz="4" w:space="0" w:color="auto"/>
              <w:right w:val="single" w:sz="4" w:space="0" w:color="auto"/>
            </w:tcBorders>
            <w:shd w:val="clear" w:color="auto" w:fill="auto"/>
            <w:noWrap/>
            <w:vAlign w:val="center"/>
            <w:hideMark/>
          </w:tcPr>
          <w:p w14:paraId="3BA26EB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18,86</w:t>
            </w:r>
          </w:p>
        </w:tc>
      </w:tr>
      <w:tr w:rsidR="00BF12D5" w:rsidRPr="00BD0223" w14:paraId="0E936B99"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ACA9B9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OUROESTE</w:t>
            </w:r>
          </w:p>
        </w:tc>
        <w:tc>
          <w:tcPr>
            <w:tcW w:w="1304" w:type="dxa"/>
            <w:tcBorders>
              <w:top w:val="nil"/>
              <w:left w:val="nil"/>
              <w:bottom w:val="single" w:sz="4" w:space="0" w:color="auto"/>
              <w:right w:val="single" w:sz="4" w:space="0" w:color="auto"/>
            </w:tcBorders>
            <w:shd w:val="clear" w:color="auto" w:fill="auto"/>
            <w:noWrap/>
            <w:vAlign w:val="center"/>
            <w:hideMark/>
          </w:tcPr>
          <w:p w14:paraId="79BF56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11,41</w:t>
            </w:r>
          </w:p>
        </w:tc>
        <w:tc>
          <w:tcPr>
            <w:tcW w:w="1304" w:type="dxa"/>
            <w:tcBorders>
              <w:top w:val="nil"/>
              <w:left w:val="nil"/>
              <w:bottom w:val="single" w:sz="4" w:space="0" w:color="auto"/>
              <w:right w:val="single" w:sz="4" w:space="0" w:color="auto"/>
            </w:tcBorders>
            <w:shd w:val="clear" w:color="auto" w:fill="auto"/>
            <w:noWrap/>
            <w:vAlign w:val="center"/>
            <w:hideMark/>
          </w:tcPr>
          <w:p w14:paraId="3C648A5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10,71</w:t>
            </w:r>
          </w:p>
        </w:tc>
        <w:tc>
          <w:tcPr>
            <w:tcW w:w="1304" w:type="dxa"/>
            <w:tcBorders>
              <w:top w:val="nil"/>
              <w:left w:val="nil"/>
              <w:bottom w:val="single" w:sz="4" w:space="0" w:color="auto"/>
              <w:right w:val="single" w:sz="4" w:space="0" w:color="auto"/>
            </w:tcBorders>
            <w:shd w:val="clear" w:color="auto" w:fill="auto"/>
            <w:noWrap/>
            <w:vAlign w:val="center"/>
            <w:hideMark/>
          </w:tcPr>
          <w:p w14:paraId="781B07B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11,89</w:t>
            </w:r>
          </w:p>
        </w:tc>
        <w:tc>
          <w:tcPr>
            <w:tcW w:w="1304" w:type="dxa"/>
            <w:tcBorders>
              <w:top w:val="nil"/>
              <w:left w:val="nil"/>
              <w:bottom w:val="single" w:sz="4" w:space="0" w:color="auto"/>
              <w:right w:val="single" w:sz="4" w:space="0" w:color="auto"/>
            </w:tcBorders>
            <w:shd w:val="clear" w:color="auto" w:fill="auto"/>
            <w:noWrap/>
            <w:vAlign w:val="center"/>
            <w:hideMark/>
          </w:tcPr>
          <w:p w14:paraId="4004ADF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11,95</w:t>
            </w:r>
          </w:p>
        </w:tc>
      </w:tr>
      <w:tr w:rsidR="00BF12D5" w:rsidRPr="00BD0223" w14:paraId="122CF1AD"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893984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PALESTINA</w:t>
            </w:r>
          </w:p>
        </w:tc>
        <w:tc>
          <w:tcPr>
            <w:tcW w:w="1304" w:type="dxa"/>
            <w:tcBorders>
              <w:top w:val="nil"/>
              <w:left w:val="nil"/>
              <w:bottom w:val="single" w:sz="4" w:space="0" w:color="auto"/>
              <w:right w:val="single" w:sz="4" w:space="0" w:color="auto"/>
            </w:tcBorders>
            <w:shd w:val="clear" w:color="auto" w:fill="auto"/>
            <w:noWrap/>
            <w:vAlign w:val="center"/>
            <w:hideMark/>
          </w:tcPr>
          <w:p w14:paraId="6145075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9,78</w:t>
            </w:r>
          </w:p>
        </w:tc>
        <w:tc>
          <w:tcPr>
            <w:tcW w:w="1304" w:type="dxa"/>
            <w:tcBorders>
              <w:top w:val="nil"/>
              <w:left w:val="nil"/>
              <w:bottom w:val="single" w:sz="4" w:space="0" w:color="auto"/>
              <w:right w:val="single" w:sz="4" w:space="0" w:color="auto"/>
            </w:tcBorders>
            <w:shd w:val="clear" w:color="auto" w:fill="auto"/>
            <w:noWrap/>
            <w:vAlign w:val="center"/>
            <w:hideMark/>
          </w:tcPr>
          <w:p w14:paraId="3037C65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9,44</w:t>
            </w:r>
          </w:p>
        </w:tc>
        <w:tc>
          <w:tcPr>
            <w:tcW w:w="1304" w:type="dxa"/>
            <w:tcBorders>
              <w:top w:val="nil"/>
              <w:left w:val="nil"/>
              <w:bottom w:val="single" w:sz="4" w:space="0" w:color="auto"/>
              <w:right w:val="single" w:sz="4" w:space="0" w:color="auto"/>
            </w:tcBorders>
            <w:shd w:val="clear" w:color="auto" w:fill="auto"/>
            <w:noWrap/>
            <w:vAlign w:val="center"/>
            <w:hideMark/>
          </w:tcPr>
          <w:p w14:paraId="66C0A5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9,61</w:t>
            </w:r>
          </w:p>
        </w:tc>
        <w:tc>
          <w:tcPr>
            <w:tcW w:w="1304" w:type="dxa"/>
            <w:tcBorders>
              <w:top w:val="nil"/>
              <w:left w:val="nil"/>
              <w:bottom w:val="single" w:sz="4" w:space="0" w:color="auto"/>
              <w:right w:val="single" w:sz="4" w:space="0" w:color="auto"/>
            </w:tcBorders>
            <w:shd w:val="clear" w:color="auto" w:fill="auto"/>
            <w:noWrap/>
            <w:vAlign w:val="center"/>
            <w:hideMark/>
          </w:tcPr>
          <w:p w14:paraId="0795A02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8,39</w:t>
            </w:r>
          </w:p>
        </w:tc>
      </w:tr>
      <w:tr w:rsidR="00BF12D5" w:rsidRPr="00BD0223" w14:paraId="43D5AFC7"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1402B9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PALMARES PAULISTA</w:t>
            </w:r>
          </w:p>
        </w:tc>
        <w:tc>
          <w:tcPr>
            <w:tcW w:w="1304" w:type="dxa"/>
            <w:tcBorders>
              <w:top w:val="nil"/>
              <w:left w:val="nil"/>
              <w:bottom w:val="single" w:sz="4" w:space="0" w:color="auto"/>
              <w:right w:val="single" w:sz="4" w:space="0" w:color="auto"/>
            </w:tcBorders>
            <w:shd w:val="clear" w:color="auto" w:fill="auto"/>
            <w:noWrap/>
            <w:vAlign w:val="center"/>
            <w:hideMark/>
          </w:tcPr>
          <w:p w14:paraId="75D57DC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0,39</w:t>
            </w:r>
          </w:p>
        </w:tc>
        <w:tc>
          <w:tcPr>
            <w:tcW w:w="1304" w:type="dxa"/>
            <w:tcBorders>
              <w:top w:val="nil"/>
              <w:left w:val="nil"/>
              <w:bottom w:val="single" w:sz="4" w:space="0" w:color="auto"/>
              <w:right w:val="single" w:sz="4" w:space="0" w:color="auto"/>
            </w:tcBorders>
            <w:shd w:val="clear" w:color="auto" w:fill="auto"/>
            <w:noWrap/>
            <w:vAlign w:val="center"/>
            <w:hideMark/>
          </w:tcPr>
          <w:p w14:paraId="1A47E68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0,37</w:t>
            </w:r>
          </w:p>
        </w:tc>
        <w:tc>
          <w:tcPr>
            <w:tcW w:w="1304" w:type="dxa"/>
            <w:tcBorders>
              <w:top w:val="nil"/>
              <w:left w:val="nil"/>
              <w:bottom w:val="single" w:sz="4" w:space="0" w:color="auto"/>
              <w:right w:val="single" w:sz="4" w:space="0" w:color="auto"/>
            </w:tcBorders>
            <w:shd w:val="clear" w:color="auto" w:fill="auto"/>
            <w:noWrap/>
            <w:vAlign w:val="center"/>
            <w:hideMark/>
          </w:tcPr>
          <w:p w14:paraId="5364C1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0,38</w:t>
            </w:r>
          </w:p>
        </w:tc>
        <w:tc>
          <w:tcPr>
            <w:tcW w:w="1304" w:type="dxa"/>
            <w:tcBorders>
              <w:top w:val="nil"/>
              <w:left w:val="nil"/>
              <w:bottom w:val="single" w:sz="4" w:space="0" w:color="auto"/>
              <w:right w:val="single" w:sz="4" w:space="0" w:color="auto"/>
            </w:tcBorders>
            <w:shd w:val="clear" w:color="auto" w:fill="auto"/>
            <w:noWrap/>
            <w:vAlign w:val="center"/>
            <w:hideMark/>
          </w:tcPr>
          <w:p w14:paraId="5B681AB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0,32</w:t>
            </w:r>
          </w:p>
        </w:tc>
      </w:tr>
      <w:tr w:rsidR="00BF12D5" w:rsidRPr="00BD0223" w14:paraId="402326A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7C5423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PALMEIRA D'OESTE</w:t>
            </w:r>
          </w:p>
        </w:tc>
        <w:tc>
          <w:tcPr>
            <w:tcW w:w="1304" w:type="dxa"/>
            <w:tcBorders>
              <w:top w:val="nil"/>
              <w:left w:val="nil"/>
              <w:bottom w:val="single" w:sz="4" w:space="0" w:color="auto"/>
              <w:right w:val="single" w:sz="4" w:space="0" w:color="auto"/>
            </w:tcBorders>
            <w:shd w:val="clear" w:color="auto" w:fill="auto"/>
            <w:noWrap/>
            <w:vAlign w:val="center"/>
            <w:hideMark/>
          </w:tcPr>
          <w:p w14:paraId="6589A7B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2,43</w:t>
            </w:r>
          </w:p>
        </w:tc>
        <w:tc>
          <w:tcPr>
            <w:tcW w:w="1304" w:type="dxa"/>
            <w:tcBorders>
              <w:top w:val="nil"/>
              <w:left w:val="nil"/>
              <w:bottom w:val="single" w:sz="4" w:space="0" w:color="auto"/>
              <w:right w:val="single" w:sz="4" w:space="0" w:color="auto"/>
            </w:tcBorders>
            <w:shd w:val="clear" w:color="auto" w:fill="auto"/>
            <w:noWrap/>
            <w:vAlign w:val="center"/>
            <w:hideMark/>
          </w:tcPr>
          <w:p w14:paraId="6CF42E2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2,25</w:t>
            </w:r>
          </w:p>
        </w:tc>
        <w:tc>
          <w:tcPr>
            <w:tcW w:w="1304" w:type="dxa"/>
            <w:tcBorders>
              <w:top w:val="nil"/>
              <w:left w:val="nil"/>
              <w:bottom w:val="single" w:sz="4" w:space="0" w:color="auto"/>
              <w:right w:val="single" w:sz="4" w:space="0" w:color="auto"/>
            </w:tcBorders>
            <w:shd w:val="clear" w:color="auto" w:fill="auto"/>
            <w:noWrap/>
            <w:vAlign w:val="center"/>
            <w:hideMark/>
          </w:tcPr>
          <w:p w14:paraId="6E9BBF7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1,98</w:t>
            </w:r>
          </w:p>
        </w:tc>
        <w:tc>
          <w:tcPr>
            <w:tcW w:w="1304" w:type="dxa"/>
            <w:tcBorders>
              <w:top w:val="nil"/>
              <w:left w:val="nil"/>
              <w:bottom w:val="single" w:sz="4" w:space="0" w:color="auto"/>
              <w:right w:val="single" w:sz="4" w:space="0" w:color="auto"/>
            </w:tcBorders>
            <w:shd w:val="clear" w:color="auto" w:fill="auto"/>
            <w:noWrap/>
            <w:vAlign w:val="center"/>
            <w:hideMark/>
          </w:tcPr>
          <w:p w14:paraId="680C6F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2,10</w:t>
            </w:r>
          </w:p>
        </w:tc>
      </w:tr>
      <w:tr w:rsidR="00BF12D5" w:rsidRPr="00BD0223" w14:paraId="24EA85C0"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F8F23E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PARAISO</w:t>
            </w:r>
          </w:p>
        </w:tc>
        <w:tc>
          <w:tcPr>
            <w:tcW w:w="1304" w:type="dxa"/>
            <w:tcBorders>
              <w:top w:val="nil"/>
              <w:left w:val="nil"/>
              <w:bottom w:val="single" w:sz="4" w:space="0" w:color="auto"/>
              <w:right w:val="single" w:sz="4" w:space="0" w:color="auto"/>
            </w:tcBorders>
            <w:shd w:val="clear" w:color="auto" w:fill="auto"/>
            <w:noWrap/>
            <w:vAlign w:val="center"/>
            <w:hideMark/>
          </w:tcPr>
          <w:p w14:paraId="5161D83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8,49</w:t>
            </w:r>
          </w:p>
        </w:tc>
        <w:tc>
          <w:tcPr>
            <w:tcW w:w="1304" w:type="dxa"/>
            <w:tcBorders>
              <w:top w:val="nil"/>
              <w:left w:val="nil"/>
              <w:bottom w:val="single" w:sz="4" w:space="0" w:color="auto"/>
              <w:right w:val="single" w:sz="4" w:space="0" w:color="auto"/>
            </w:tcBorders>
            <w:shd w:val="clear" w:color="auto" w:fill="auto"/>
            <w:noWrap/>
            <w:vAlign w:val="center"/>
            <w:hideMark/>
          </w:tcPr>
          <w:p w14:paraId="31B1B59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9,58</w:t>
            </w:r>
          </w:p>
        </w:tc>
        <w:tc>
          <w:tcPr>
            <w:tcW w:w="1304" w:type="dxa"/>
            <w:tcBorders>
              <w:top w:val="nil"/>
              <w:left w:val="nil"/>
              <w:bottom w:val="single" w:sz="4" w:space="0" w:color="auto"/>
              <w:right w:val="single" w:sz="4" w:space="0" w:color="auto"/>
            </w:tcBorders>
            <w:shd w:val="clear" w:color="auto" w:fill="auto"/>
            <w:noWrap/>
            <w:vAlign w:val="center"/>
            <w:hideMark/>
          </w:tcPr>
          <w:p w14:paraId="099121E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8,66</w:t>
            </w:r>
          </w:p>
        </w:tc>
        <w:tc>
          <w:tcPr>
            <w:tcW w:w="1304" w:type="dxa"/>
            <w:tcBorders>
              <w:top w:val="nil"/>
              <w:left w:val="nil"/>
              <w:bottom w:val="single" w:sz="4" w:space="0" w:color="auto"/>
              <w:right w:val="single" w:sz="4" w:space="0" w:color="auto"/>
            </w:tcBorders>
            <w:shd w:val="clear" w:color="auto" w:fill="auto"/>
            <w:noWrap/>
            <w:vAlign w:val="center"/>
            <w:hideMark/>
          </w:tcPr>
          <w:p w14:paraId="1FCD600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9,35</w:t>
            </w:r>
          </w:p>
        </w:tc>
      </w:tr>
      <w:tr w:rsidR="00BF12D5" w:rsidRPr="00BD0223" w14:paraId="4F7F4E72"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5419E4F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PARANAPUA</w:t>
            </w:r>
          </w:p>
        </w:tc>
        <w:tc>
          <w:tcPr>
            <w:tcW w:w="1304" w:type="dxa"/>
            <w:tcBorders>
              <w:top w:val="nil"/>
              <w:left w:val="nil"/>
              <w:bottom w:val="single" w:sz="4" w:space="0" w:color="auto"/>
              <w:right w:val="single" w:sz="4" w:space="0" w:color="auto"/>
            </w:tcBorders>
            <w:shd w:val="clear" w:color="auto" w:fill="auto"/>
            <w:noWrap/>
            <w:vAlign w:val="center"/>
            <w:hideMark/>
          </w:tcPr>
          <w:p w14:paraId="007216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0,71</w:t>
            </w:r>
          </w:p>
        </w:tc>
        <w:tc>
          <w:tcPr>
            <w:tcW w:w="1304" w:type="dxa"/>
            <w:tcBorders>
              <w:top w:val="nil"/>
              <w:left w:val="nil"/>
              <w:bottom w:val="single" w:sz="4" w:space="0" w:color="auto"/>
              <w:right w:val="single" w:sz="4" w:space="0" w:color="auto"/>
            </w:tcBorders>
            <w:shd w:val="clear" w:color="auto" w:fill="auto"/>
            <w:noWrap/>
            <w:vAlign w:val="center"/>
            <w:hideMark/>
          </w:tcPr>
          <w:p w14:paraId="33D8D16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0,60</w:t>
            </w:r>
          </w:p>
        </w:tc>
        <w:tc>
          <w:tcPr>
            <w:tcW w:w="1304" w:type="dxa"/>
            <w:tcBorders>
              <w:top w:val="nil"/>
              <w:left w:val="nil"/>
              <w:bottom w:val="single" w:sz="4" w:space="0" w:color="auto"/>
              <w:right w:val="single" w:sz="4" w:space="0" w:color="auto"/>
            </w:tcBorders>
            <w:shd w:val="clear" w:color="auto" w:fill="auto"/>
            <w:noWrap/>
            <w:vAlign w:val="center"/>
            <w:hideMark/>
          </w:tcPr>
          <w:p w14:paraId="1FE557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0,47</w:t>
            </w:r>
          </w:p>
        </w:tc>
        <w:tc>
          <w:tcPr>
            <w:tcW w:w="1304" w:type="dxa"/>
            <w:tcBorders>
              <w:top w:val="nil"/>
              <w:left w:val="nil"/>
              <w:bottom w:val="single" w:sz="4" w:space="0" w:color="auto"/>
              <w:right w:val="single" w:sz="4" w:space="0" w:color="auto"/>
            </w:tcBorders>
            <w:shd w:val="clear" w:color="auto" w:fill="auto"/>
            <w:noWrap/>
            <w:vAlign w:val="center"/>
            <w:hideMark/>
          </w:tcPr>
          <w:p w14:paraId="3C4C204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0,35</w:t>
            </w:r>
          </w:p>
        </w:tc>
      </w:tr>
      <w:tr w:rsidR="00BF12D5" w:rsidRPr="00BD0223" w14:paraId="13FCB327"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1F15D4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PARISI</w:t>
            </w:r>
          </w:p>
        </w:tc>
        <w:tc>
          <w:tcPr>
            <w:tcW w:w="1304" w:type="dxa"/>
            <w:tcBorders>
              <w:top w:val="nil"/>
              <w:left w:val="nil"/>
              <w:bottom w:val="single" w:sz="4" w:space="0" w:color="auto"/>
              <w:right w:val="single" w:sz="4" w:space="0" w:color="auto"/>
            </w:tcBorders>
            <w:shd w:val="clear" w:color="auto" w:fill="auto"/>
            <w:noWrap/>
            <w:vAlign w:val="center"/>
            <w:hideMark/>
          </w:tcPr>
          <w:p w14:paraId="039556C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304" w:type="dxa"/>
            <w:tcBorders>
              <w:top w:val="nil"/>
              <w:left w:val="nil"/>
              <w:bottom w:val="single" w:sz="4" w:space="0" w:color="auto"/>
              <w:right w:val="single" w:sz="4" w:space="0" w:color="auto"/>
            </w:tcBorders>
            <w:shd w:val="clear" w:color="auto" w:fill="auto"/>
            <w:noWrap/>
            <w:vAlign w:val="center"/>
            <w:hideMark/>
          </w:tcPr>
          <w:p w14:paraId="132EB0D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0,28</w:t>
            </w:r>
          </w:p>
        </w:tc>
        <w:tc>
          <w:tcPr>
            <w:tcW w:w="1304" w:type="dxa"/>
            <w:tcBorders>
              <w:top w:val="nil"/>
              <w:left w:val="nil"/>
              <w:bottom w:val="single" w:sz="4" w:space="0" w:color="auto"/>
              <w:right w:val="single" w:sz="4" w:space="0" w:color="auto"/>
            </w:tcBorders>
            <w:shd w:val="clear" w:color="auto" w:fill="auto"/>
            <w:noWrap/>
            <w:vAlign w:val="center"/>
            <w:hideMark/>
          </w:tcPr>
          <w:p w14:paraId="0141EEF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0,31</w:t>
            </w:r>
          </w:p>
        </w:tc>
        <w:tc>
          <w:tcPr>
            <w:tcW w:w="1304" w:type="dxa"/>
            <w:tcBorders>
              <w:top w:val="nil"/>
              <w:left w:val="nil"/>
              <w:bottom w:val="single" w:sz="4" w:space="0" w:color="auto"/>
              <w:right w:val="single" w:sz="4" w:space="0" w:color="auto"/>
            </w:tcBorders>
            <w:shd w:val="clear" w:color="auto" w:fill="auto"/>
            <w:noWrap/>
            <w:vAlign w:val="center"/>
            <w:hideMark/>
          </w:tcPr>
          <w:p w14:paraId="59790D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0,37</w:t>
            </w:r>
          </w:p>
        </w:tc>
      </w:tr>
      <w:tr w:rsidR="00BF12D5" w:rsidRPr="00BD0223" w14:paraId="4105F44E"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07198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PATROCINIO PAULISTA</w:t>
            </w:r>
          </w:p>
        </w:tc>
        <w:tc>
          <w:tcPr>
            <w:tcW w:w="1304" w:type="dxa"/>
            <w:tcBorders>
              <w:top w:val="nil"/>
              <w:left w:val="nil"/>
              <w:bottom w:val="single" w:sz="4" w:space="0" w:color="auto"/>
              <w:right w:val="single" w:sz="4" w:space="0" w:color="auto"/>
            </w:tcBorders>
            <w:shd w:val="clear" w:color="auto" w:fill="auto"/>
            <w:noWrap/>
            <w:vAlign w:val="center"/>
            <w:hideMark/>
          </w:tcPr>
          <w:p w14:paraId="00F98B4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32,67</w:t>
            </w:r>
          </w:p>
        </w:tc>
        <w:tc>
          <w:tcPr>
            <w:tcW w:w="1304" w:type="dxa"/>
            <w:tcBorders>
              <w:top w:val="nil"/>
              <w:left w:val="nil"/>
              <w:bottom w:val="single" w:sz="4" w:space="0" w:color="auto"/>
              <w:right w:val="single" w:sz="4" w:space="0" w:color="auto"/>
            </w:tcBorders>
            <w:shd w:val="clear" w:color="auto" w:fill="auto"/>
            <w:noWrap/>
            <w:vAlign w:val="center"/>
            <w:hideMark/>
          </w:tcPr>
          <w:p w14:paraId="006098A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36,19</w:t>
            </w:r>
          </w:p>
        </w:tc>
        <w:tc>
          <w:tcPr>
            <w:tcW w:w="1304" w:type="dxa"/>
            <w:tcBorders>
              <w:top w:val="nil"/>
              <w:left w:val="nil"/>
              <w:bottom w:val="single" w:sz="4" w:space="0" w:color="auto"/>
              <w:right w:val="single" w:sz="4" w:space="0" w:color="auto"/>
            </w:tcBorders>
            <w:shd w:val="clear" w:color="auto" w:fill="auto"/>
            <w:noWrap/>
            <w:vAlign w:val="center"/>
            <w:hideMark/>
          </w:tcPr>
          <w:p w14:paraId="14CE11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36,75</w:t>
            </w:r>
          </w:p>
        </w:tc>
        <w:tc>
          <w:tcPr>
            <w:tcW w:w="1304" w:type="dxa"/>
            <w:tcBorders>
              <w:top w:val="nil"/>
              <w:left w:val="nil"/>
              <w:bottom w:val="single" w:sz="4" w:space="0" w:color="auto"/>
              <w:right w:val="single" w:sz="4" w:space="0" w:color="auto"/>
            </w:tcBorders>
            <w:shd w:val="clear" w:color="auto" w:fill="auto"/>
            <w:noWrap/>
            <w:vAlign w:val="center"/>
            <w:hideMark/>
          </w:tcPr>
          <w:p w14:paraId="4070C36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36,64</w:t>
            </w:r>
          </w:p>
        </w:tc>
      </w:tr>
      <w:tr w:rsidR="00BF12D5" w:rsidRPr="00BD0223" w14:paraId="293703CE"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C7A27A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PAULO DE FARIA</w:t>
            </w:r>
          </w:p>
        </w:tc>
        <w:tc>
          <w:tcPr>
            <w:tcW w:w="1304" w:type="dxa"/>
            <w:tcBorders>
              <w:top w:val="nil"/>
              <w:left w:val="nil"/>
              <w:bottom w:val="single" w:sz="4" w:space="0" w:color="auto"/>
              <w:right w:val="single" w:sz="4" w:space="0" w:color="auto"/>
            </w:tcBorders>
            <w:shd w:val="clear" w:color="auto" w:fill="auto"/>
            <w:noWrap/>
            <w:vAlign w:val="center"/>
            <w:hideMark/>
          </w:tcPr>
          <w:p w14:paraId="1550314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1,23</w:t>
            </w:r>
          </w:p>
        </w:tc>
        <w:tc>
          <w:tcPr>
            <w:tcW w:w="1304" w:type="dxa"/>
            <w:tcBorders>
              <w:top w:val="nil"/>
              <w:left w:val="nil"/>
              <w:bottom w:val="single" w:sz="4" w:space="0" w:color="auto"/>
              <w:right w:val="single" w:sz="4" w:space="0" w:color="auto"/>
            </w:tcBorders>
            <w:shd w:val="clear" w:color="auto" w:fill="auto"/>
            <w:noWrap/>
            <w:vAlign w:val="center"/>
            <w:hideMark/>
          </w:tcPr>
          <w:p w14:paraId="407F0AB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1,35</w:t>
            </w:r>
          </w:p>
        </w:tc>
        <w:tc>
          <w:tcPr>
            <w:tcW w:w="1304" w:type="dxa"/>
            <w:tcBorders>
              <w:top w:val="nil"/>
              <w:left w:val="nil"/>
              <w:bottom w:val="single" w:sz="4" w:space="0" w:color="auto"/>
              <w:right w:val="single" w:sz="4" w:space="0" w:color="auto"/>
            </w:tcBorders>
            <w:shd w:val="clear" w:color="auto" w:fill="auto"/>
            <w:noWrap/>
            <w:vAlign w:val="center"/>
            <w:hideMark/>
          </w:tcPr>
          <w:p w14:paraId="64CB08D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1,26</w:t>
            </w:r>
          </w:p>
        </w:tc>
        <w:tc>
          <w:tcPr>
            <w:tcW w:w="1304" w:type="dxa"/>
            <w:tcBorders>
              <w:top w:val="nil"/>
              <w:left w:val="nil"/>
              <w:bottom w:val="single" w:sz="4" w:space="0" w:color="auto"/>
              <w:right w:val="single" w:sz="4" w:space="0" w:color="auto"/>
            </w:tcBorders>
            <w:shd w:val="clear" w:color="auto" w:fill="auto"/>
            <w:noWrap/>
            <w:vAlign w:val="center"/>
            <w:hideMark/>
          </w:tcPr>
          <w:p w14:paraId="5C1EEB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0,71</w:t>
            </w:r>
          </w:p>
        </w:tc>
      </w:tr>
      <w:tr w:rsidR="00BF12D5" w:rsidRPr="00BD0223" w14:paraId="05ABA442"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E99CD3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PEDRANOPOLIS</w:t>
            </w:r>
          </w:p>
        </w:tc>
        <w:tc>
          <w:tcPr>
            <w:tcW w:w="1304" w:type="dxa"/>
            <w:tcBorders>
              <w:top w:val="nil"/>
              <w:left w:val="nil"/>
              <w:bottom w:val="single" w:sz="4" w:space="0" w:color="auto"/>
              <w:right w:val="single" w:sz="4" w:space="0" w:color="auto"/>
            </w:tcBorders>
            <w:shd w:val="clear" w:color="auto" w:fill="auto"/>
            <w:noWrap/>
            <w:vAlign w:val="center"/>
            <w:hideMark/>
          </w:tcPr>
          <w:p w14:paraId="2D6215C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0,27</w:t>
            </w:r>
          </w:p>
        </w:tc>
        <w:tc>
          <w:tcPr>
            <w:tcW w:w="1304" w:type="dxa"/>
            <w:tcBorders>
              <w:top w:val="nil"/>
              <w:left w:val="nil"/>
              <w:bottom w:val="single" w:sz="4" w:space="0" w:color="auto"/>
              <w:right w:val="single" w:sz="4" w:space="0" w:color="auto"/>
            </w:tcBorders>
            <w:shd w:val="clear" w:color="auto" w:fill="auto"/>
            <w:noWrap/>
            <w:vAlign w:val="center"/>
            <w:hideMark/>
          </w:tcPr>
          <w:p w14:paraId="26EAAE5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0,25</w:t>
            </w:r>
          </w:p>
        </w:tc>
        <w:tc>
          <w:tcPr>
            <w:tcW w:w="1304" w:type="dxa"/>
            <w:tcBorders>
              <w:top w:val="nil"/>
              <w:left w:val="nil"/>
              <w:bottom w:val="single" w:sz="4" w:space="0" w:color="auto"/>
              <w:right w:val="single" w:sz="4" w:space="0" w:color="auto"/>
            </w:tcBorders>
            <w:shd w:val="clear" w:color="auto" w:fill="auto"/>
            <w:noWrap/>
            <w:vAlign w:val="center"/>
            <w:hideMark/>
          </w:tcPr>
          <w:p w14:paraId="142E1B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0,28</w:t>
            </w:r>
          </w:p>
        </w:tc>
        <w:tc>
          <w:tcPr>
            <w:tcW w:w="1304" w:type="dxa"/>
            <w:tcBorders>
              <w:top w:val="nil"/>
              <w:left w:val="nil"/>
              <w:bottom w:val="single" w:sz="4" w:space="0" w:color="auto"/>
              <w:right w:val="single" w:sz="4" w:space="0" w:color="auto"/>
            </w:tcBorders>
            <w:shd w:val="clear" w:color="auto" w:fill="auto"/>
            <w:noWrap/>
            <w:vAlign w:val="center"/>
            <w:hideMark/>
          </w:tcPr>
          <w:p w14:paraId="47D9B2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0,28</w:t>
            </w:r>
          </w:p>
        </w:tc>
      </w:tr>
      <w:tr w:rsidR="00BF12D5" w:rsidRPr="00BD0223" w14:paraId="34DF22E3"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4C91B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PEDREGULHO</w:t>
            </w:r>
          </w:p>
        </w:tc>
        <w:tc>
          <w:tcPr>
            <w:tcW w:w="1304" w:type="dxa"/>
            <w:tcBorders>
              <w:top w:val="nil"/>
              <w:left w:val="nil"/>
              <w:bottom w:val="single" w:sz="4" w:space="0" w:color="auto"/>
              <w:right w:val="single" w:sz="4" w:space="0" w:color="auto"/>
            </w:tcBorders>
            <w:shd w:val="clear" w:color="auto" w:fill="auto"/>
            <w:noWrap/>
            <w:vAlign w:val="center"/>
            <w:hideMark/>
          </w:tcPr>
          <w:p w14:paraId="521F4F2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2,50</w:t>
            </w:r>
          </w:p>
        </w:tc>
        <w:tc>
          <w:tcPr>
            <w:tcW w:w="1304" w:type="dxa"/>
            <w:tcBorders>
              <w:top w:val="nil"/>
              <w:left w:val="nil"/>
              <w:bottom w:val="single" w:sz="4" w:space="0" w:color="auto"/>
              <w:right w:val="single" w:sz="4" w:space="0" w:color="auto"/>
            </w:tcBorders>
            <w:shd w:val="clear" w:color="auto" w:fill="auto"/>
            <w:noWrap/>
            <w:vAlign w:val="center"/>
            <w:hideMark/>
          </w:tcPr>
          <w:p w14:paraId="162BB8E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2,54</w:t>
            </w:r>
          </w:p>
        </w:tc>
        <w:tc>
          <w:tcPr>
            <w:tcW w:w="1304" w:type="dxa"/>
            <w:tcBorders>
              <w:top w:val="nil"/>
              <w:left w:val="nil"/>
              <w:bottom w:val="single" w:sz="4" w:space="0" w:color="auto"/>
              <w:right w:val="single" w:sz="4" w:space="0" w:color="auto"/>
            </w:tcBorders>
            <w:shd w:val="clear" w:color="auto" w:fill="auto"/>
            <w:noWrap/>
            <w:vAlign w:val="center"/>
            <w:hideMark/>
          </w:tcPr>
          <w:p w14:paraId="2661187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2,40</w:t>
            </w:r>
          </w:p>
        </w:tc>
        <w:tc>
          <w:tcPr>
            <w:tcW w:w="1304" w:type="dxa"/>
            <w:tcBorders>
              <w:top w:val="nil"/>
              <w:left w:val="nil"/>
              <w:bottom w:val="single" w:sz="4" w:space="0" w:color="auto"/>
              <w:right w:val="single" w:sz="4" w:space="0" w:color="auto"/>
            </w:tcBorders>
            <w:shd w:val="clear" w:color="auto" w:fill="auto"/>
            <w:noWrap/>
            <w:vAlign w:val="center"/>
            <w:hideMark/>
          </w:tcPr>
          <w:p w14:paraId="75F436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2,00</w:t>
            </w:r>
          </w:p>
        </w:tc>
      </w:tr>
      <w:tr w:rsidR="00BF12D5" w:rsidRPr="00BD0223" w14:paraId="782C09F2"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F4A24D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PINDORAMA</w:t>
            </w:r>
          </w:p>
        </w:tc>
        <w:tc>
          <w:tcPr>
            <w:tcW w:w="1304" w:type="dxa"/>
            <w:tcBorders>
              <w:top w:val="nil"/>
              <w:left w:val="nil"/>
              <w:bottom w:val="single" w:sz="4" w:space="0" w:color="auto"/>
              <w:right w:val="single" w:sz="4" w:space="0" w:color="auto"/>
            </w:tcBorders>
            <w:shd w:val="clear" w:color="auto" w:fill="auto"/>
            <w:noWrap/>
            <w:vAlign w:val="center"/>
            <w:hideMark/>
          </w:tcPr>
          <w:p w14:paraId="0A737B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2,29</w:t>
            </w:r>
          </w:p>
        </w:tc>
        <w:tc>
          <w:tcPr>
            <w:tcW w:w="1304" w:type="dxa"/>
            <w:tcBorders>
              <w:top w:val="nil"/>
              <w:left w:val="nil"/>
              <w:bottom w:val="single" w:sz="4" w:space="0" w:color="auto"/>
              <w:right w:val="single" w:sz="4" w:space="0" w:color="auto"/>
            </w:tcBorders>
            <w:shd w:val="clear" w:color="auto" w:fill="auto"/>
            <w:noWrap/>
            <w:vAlign w:val="center"/>
            <w:hideMark/>
          </w:tcPr>
          <w:p w14:paraId="0B5ACCB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2,11</w:t>
            </w:r>
          </w:p>
        </w:tc>
        <w:tc>
          <w:tcPr>
            <w:tcW w:w="1304" w:type="dxa"/>
            <w:tcBorders>
              <w:top w:val="nil"/>
              <w:left w:val="nil"/>
              <w:bottom w:val="single" w:sz="4" w:space="0" w:color="auto"/>
              <w:right w:val="single" w:sz="4" w:space="0" w:color="auto"/>
            </w:tcBorders>
            <w:shd w:val="clear" w:color="auto" w:fill="auto"/>
            <w:noWrap/>
            <w:vAlign w:val="center"/>
            <w:hideMark/>
          </w:tcPr>
          <w:p w14:paraId="356B902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2,18</w:t>
            </w:r>
          </w:p>
        </w:tc>
        <w:tc>
          <w:tcPr>
            <w:tcW w:w="1304" w:type="dxa"/>
            <w:tcBorders>
              <w:top w:val="nil"/>
              <w:left w:val="nil"/>
              <w:bottom w:val="single" w:sz="4" w:space="0" w:color="auto"/>
              <w:right w:val="single" w:sz="4" w:space="0" w:color="auto"/>
            </w:tcBorders>
            <w:shd w:val="clear" w:color="auto" w:fill="auto"/>
            <w:noWrap/>
            <w:vAlign w:val="center"/>
            <w:hideMark/>
          </w:tcPr>
          <w:p w14:paraId="7A85C0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2,77</w:t>
            </w:r>
          </w:p>
        </w:tc>
      </w:tr>
      <w:tr w:rsidR="00BF12D5" w:rsidRPr="00BD0223" w14:paraId="2B6ABA75"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C866E7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PIRANGI</w:t>
            </w:r>
          </w:p>
        </w:tc>
        <w:tc>
          <w:tcPr>
            <w:tcW w:w="1304" w:type="dxa"/>
            <w:tcBorders>
              <w:top w:val="nil"/>
              <w:left w:val="nil"/>
              <w:bottom w:val="single" w:sz="4" w:space="0" w:color="auto"/>
              <w:right w:val="single" w:sz="4" w:space="0" w:color="auto"/>
            </w:tcBorders>
            <w:shd w:val="clear" w:color="auto" w:fill="auto"/>
            <w:noWrap/>
            <w:vAlign w:val="center"/>
            <w:hideMark/>
          </w:tcPr>
          <w:p w14:paraId="5C47C3A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3,14</w:t>
            </w:r>
          </w:p>
        </w:tc>
        <w:tc>
          <w:tcPr>
            <w:tcW w:w="1304" w:type="dxa"/>
            <w:tcBorders>
              <w:top w:val="nil"/>
              <w:left w:val="nil"/>
              <w:bottom w:val="single" w:sz="4" w:space="0" w:color="auto"/>
              <w:right w:val="single" w:sz="4" w:space="0" w:color="auto"/>
            </w:tcBorders>
            <w:shd w:val="clear" w:color="auto" w:fill="auto"/>
            <w:noWrap/>
            <w:vAlign w:val="center"/>
            <w:hideMark/>
          </w:tcPr>
          <w:p w14:paraId="482AFA3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3,96</w:t>
            </w:r>
          </w:p>
        </w:tc>
        <w:tc>
          <w:tcPr>
            <w:tcW w:w="1304" w:type="dxa"/>
            <w:tcBorders>
              <w:top w:val="nil"/>
              <w:left w:val="nil"/>
              <w:bottom w:val="single" w:sz="4" w:space="0" w:color="auto"/>
              <w:right w:val="single" w:sz="4" w:space="0" w:color="auto"/>
            </w:tcBorders>
            <w:shd w:val="clear" w:color="auto" w:fill="auto"/>
            <w:noWrap/>
            <w:vAlign w:val="center"/>
            <w:hideMark/>
          </w:tcPr>
          <w:p w14:paraId="33CE3A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3,79</w:t>
            </w:r>
          </w:p>
        </w:tc>
        <w:tc>
          <w:tcPr>
            <w:tcW w:w="1304" w:type="dxa"/>
            <w:tcBorders>
              <w:top w:val="nil"/>
              <w:left w:val="nil"/>
              <w:bottom w:val="single" w:sz="4" w:space="0" w:color="auto"/>
              <w:right w:val="single" w:sz="4" w:space="0" w:color="auto"/>
            </w:tcBorders>
            <w:shd w:val="clear" w:color="auto" w:fill="auto"/>
            <w:noWrap/>
            <w:vAlign w:val="center"/>
            <w:hideMark/>
          </w:tcPr>
          <w:p w14:paraId="09B6230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3,27</w:t>
            </w:r>
          </w:p>
        </w:tc>
      </w:tr>
      <w:tr w:rsidR="00BF12D5" w:rsidRPr="00BD0223" w14:paraId="707942BE"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87FD8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PITANGUEIRAS</w:t>
            </w:r>
          </w:p>
        </w:tc>
        <w:tc>
          <w:tcPr>
            <w:tcW w:w="1304" w:type="dxa"/>
            <w:tcBorders>
              <w:top w:val="nil"/>
              <w:left w:val="nil"/>
              <w:bottom w:val="single" w:sz="4" w:space="0" w:color="auto"/>
              <w:right w:val="single" w:sz="4" w:space="0" w:color="auto"/>
            </w:tcBorders>
            <w:shd w:val="clear" w:color="auto" w:fill="auto"/>
            <w:noWrap/>
            <w:vAlign w:val="center"/>
            <w:hideMark/>
          </w:tcPr>
          <w:p w14:paraId="1B91F66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35,69</w:t>
            </w:r>
          </w:p>
        </w:tc>
        <w:tc>
          <w:tcPr>
            <w:tcW w:w="1304" w:type="dxa"/>
            <w:tcBorders>
              <w:top w:val="nil"/>
              <w:left w:val="nil"/>
              <w:bottom w:val="single" w:sz="4" w:space="0" w:color="auto"/>
              <w:right w:val="single" w:sz="4" w:space="0" w:color="auto"/>
            </w:tcBorders>
            <w:shd w:val="clear" w:color="auto" w:fill="auto"/>
            <w:noWrap/>
            <w:vAlign w:val="center"/>
            <w:hideMark/>
          </w:tcPr>
          <w:p w14:paraId="49A66D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35,69</w:t>
            </w:r>
          </w:p>
        </w:tc>
        <w:tc>
          <w:tcPr>
            <w:tcW w:w="1304" w:type="dxa"/>
            <w:tcBorders>
              <w:top w:val="nil"/>
              <w:left w:val="nil"/>
              <w:bottom w:val="single" w:sz="4" w:space="0" w:color="auto"/>
              <w:right w:val="single" w:sz="4" w:space="0" w:color="auto"/>
            </w:tcBorders>
            <w:shd w:val="clear" w:color="auto" w:fill="auto"/>
            <w:noWrap/>
            <w:vAlign w:val="center"/>
            <w:hideMark/>
          </w:tcPr>
          <w:p w14:paraId="10B7A4E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36,80</w:t>
            </w:r>
          </w:p>
        </w:tc>
        <w:tc>
          <w:tcPr>
            <w:tcW w:w="1304" w:type="dxa"/>
            <w:tcBorders>
              <w:top w:val="nil"/>
              <w:left w:val="nil"/>
              <w:bottom w:val="single" w:sz="4" w:space="0" w:color="auto"/>
              <w:right w:val="single" w:sz="4" w:space="0" w:color="auto"/>
            </w:tcBorders>
            <w:shd w:val="clear" w:color="auto" w:fill="auto"/>
            <w:noWrap/>
            <w:vAlign w:val="center"/>
            <w:hideMark/>
          </w:tcPr>
          <w:p w14:paraId="703D086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36,55</w:t>
            </w:r>
          </w:p>
        </w:tc>
      </w:tr>
      <w:tr w:rsidR="00BF12D5" w:rsidRPr="00BD0223" w14:paraId="2F0E95F0"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7026AA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POLONI</w:t>
            </w:r>
          </w:p>
        </w:tc>
        <w:tc>
          <w:tcPr>
            <w:tcW w:w="1304" w:type="dxa"/>
            <w:tcBorders>
              <w:top w:val="nil"/>
              <w:left w:val="nil"/>
              <w:bottom w:val="single" w:sz="4" w:space="0" w:color="auto"/>
              <w:right w:val="single" w:sz="4" w:space="0" w:color="auto"/>
            </w:tcBorders>
            <w:shd w:val="clear" w:color="auto" w:fill="auto"/>
            <w:noWrap/>
            <w:vAlign w:val="center"/>
            <w:hideMark/>
          </w:tcPr>
          <w:p w14:paraId="32C398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0,65</w:t>
            </w:r>
          </w:p>
        </w:tc>
        <w:tc>
          <w:tcPr>
            <w:tcW w:w="1304" w:type="dxa"/>
            <w:tcBorders>
              <w:top w:val="nil"/>
              <w:left w:val="nil"/>
              <w:bottom w:val="single" w:sz="4" w:space="0" w:color="auto"/>
              <w:right w:val="single" w:sz="4" w:space="0" w:color="auto"/>
            </w:tcBorders>
            <w:shd w:val="clear" w:color="auto" w:fill="auto"/>
            <w:noWrap/>
            <w:vAlign w:val="center"/>
            <w:hideMark/>
          </w:tcPr>
          <w:p w14:paraId="14C08FD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0,56</w:t>
            </w:r>
          </w:p>
        </w:tc>
        <w:tc>
          <w:tcPr>
            <w:tcW w:w="1304" w:type="dxa"/>
            <w:tcBorders>
              <w:top w:val="nil"/>
              <w:left w:val="nil"/>
              <w:bottom w:val="single" w:sz="4" w:space="0" w:color="auto"/>
              <w:right w:val="single" w:sz="4" w:space="0" w:color="auto"/>
            </w:tcBorders>
            <w:shd w:val="clear" w:color="auto" w:fill="auto"/>
            <w:noWrap/>
            <w:vAlign w:val="center"/>
            <w:hideMark/>
          </w:tcPr>
          <w:p w14:paraId="3A5A5E6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0,55</w:t>
            </w:r>
          </w:p>
        </w:tc>
        <w:tc>
          <w:tcPr>
            <w:tcW w:w="1304" w:type="dxa"/>
            <w:tcBorders>
              <w:top w:val="nil"/>
              <w:left w:val="nil"/>
              <w:bottom w:val="single" w:sz="4" w:space="0" w:color="auto"/>
              <w:right w:val="single" w:sz="4" w:space="0" w:color="auto"/>
            </w:tcBorders>
            <w:shd w:val="clear" w:color="auto" w:fill="auto"/>
            <w:noWrap/>
            <w:vAlign w:val="center"/>
            <w:hideMark/>
          </w:tcPr>
          <w:p w14:paraId="37E389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0,63</w:t>
            </w:r>
          </w:p>
        </w:tc>
      </w:tr>
      <w:tr w:rsidR="00BF12D5" w:rsidRPr="00BD0223" w14:paraId="64E7981F"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5D9AF19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PONTAL</w:t>
            </w:r>
          </w:p>
        </w:tc>
        <w:tc>
          <w:tcPr>
            <w:tcW w:w="1304" w:type="dxa"/>
            <w:tcBorders>
              <w:top w:val="nil"/>
              <w:left w:val="nil"/>
              <w:bottom w:val="single" w:sz="4" w:space="0" w:color="auto"/>
              <w:right w:val="single" w:sz="4" w:space="0" w:color="auto"/>
            </w:tcBorders>
            <w:shd w:val="clear" w:color="auto" w:fill="auto"/>
            <w:noWrap/>
            <w:vAlign w:val="center"/>
            <w:hideMark/>
          </w:tcPr>
          <w:p w14:paraId="1C3288F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33,53</w:t>
            </w:r>
          </w:p>
        </w:tc>
        <w:tc>
          <w:tcPr>
            <w:tcW w:w="1304" w:type="dxa"/>
            <w:tcBorders>
              <w:top w:val="nil"/>
              <w:left w:val="nil"/>
              <w:bottom w:val="single" w:sz="4" w:space="0" w:color="auto"/>
              <w:right w:val="single" w:sz="4" w:space="0" w:color="auto"/>
            </w:tcBorders>
            <w:shd w:val="clear" w:color="auto" w:fill="auto"/>
            <w:noWrap/>
            <w:vAlign w:val="center"/>
            <w:hideMark/>
          </w:tcPr>
          <w:p w14:paraId="59BE440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38,27</w:t>
            </w:r>
          </w:p>
        </w:tc>
        <w:tc>
          <w:tcPr>
            <w:tcW w:w="1304" w:type="dxa"/>
            <w:tcBorders>
              <w:top w:val="nil"/>
              <w:left w:val="nil"/>
              <w:bottom w:val="single" w:sz="4" w:space="0" w:color="auto"/>
              <w:right w:val="single" w:sz="4" w:space="0" w:color="auto"/>
            </w:tcBorders>
            <w:shd w:val="clear" w:color="auto" w:fill="auto"/>
            <w:noWrap/>
            <w:vAlign w:val="center"/>
            <w:hideMark/>
          </w:tcPr>
          <w:p w14:paraId="73448C8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38,66</w:t>
            </w:r>
          </w:p>
        </w:tc>
        <w:tc>
          <w:tcPr>
            <w:tcW w:w="1304" w:type="dxa"/>
            <w:tcBorders>
              <w:top w:val="nil"/>
              <w:left w:val="nil"/>
              <w:bottom w:val="single" w:sz="4" w:space="0" w:color="auto"/>
              <w:right w:val="single" w:sz="4" w:space="0" w:color="auto"/>
            </w:tcBorders>
            <w:shd w:val="clear" w:color="auto" w:fill="auto"/>
            <w:noWrap/>
            <w:vAlign w:val="center"/>
            <w:hideMark/>
          </w:tcPr>
          <w:p w14:paraId="27CFAB3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38,69</w:t>
            </w:r>
          </w:p>
        </w:tc>
      </w:tr>
      <w:tr w:rsidR="00BF12D5" w:rsidRPr="00BD0223" w14:paraId="387A1B7C"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3C3B9E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PONTES GESTAL</w:t>
            </w:r>
          </w:p>
        </w:tc>
        <w:tc>
          <w:tcPr>
            <w:tcW w:w="1304" w:type="dxa"/>
            <w:tcBorders>
              <w:top w:val="nil"/>
              <w:left w:val="nil"/>
              <w:bottom w:val="single" w:sz="4" w:space="0" w:color="auto"/>
              <w:right w:val="single" w:sz="4" w:space="0" w:color="auto"/>
            </w:tcBorders>
            <w:shd w:val="clear" w:color="auto" w:fill="auto"/>
            <w:noWrap/>
            <w:vAlign w:val="center"/>
            <w:hideMark/>
          </w:tcPr>
          <w:p w14:paraId="26BE8D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8,01</w:t>
            </w:r>
          </w:p>
        </w:tc>
        <w:tc>
          <w:tcPr>
            <w:tcW w:w="1304" w:type="dxa"/>
            <w:tcBorders>
              <w:top w:val="nil"/>
              <w:left w:val="nil"/>
              <w:bottom w:val="single" w:sz="4" w:space="0" w:color="auto"/>
              <w:right w:val="single" w:sz="4" w:space="0" w:color="auto"/>
            </w:tcBorders>
            <w:shd w:val="clear" w:color="auto" w:fill="auto"/>
            <w:noWrap/>
            <w:vAlign w:val="center"/>
            <w:hideMark/>
          </w:tcPr>
          <w:p w14:paraId="7740D03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6,95</w:t>
            </w:r>
          </w:p>
        </w:tc>
        <w:tc>
          <w:tcPr>
            <w:tcW w:w="1304" w:type="dxa"/>
            <w:tcBorders>
              <w:top w:val="nil"/>
              <w:left w:val="nil"/>
              <w:bottom w:val="single" w:sz="4" w:space="0" w:color="auto"/>
              <w:right w:val="single" w:sz="4" w:space="0" w:color="auto"/>
            </w:tcBorders>
            <w:shd w:val="clear" w:color="auto" w:fill="auto"/>
            <w:noWrap/>
            <w:vAlign w:val="center"/>
            <w:hideMark/>
          </w:tcPr>
          <w:p w14:paraId="0C81B69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6,35</w:t>
            </w:r>
          </w:p>
        </w:tc>
        <w:tc>
          <w:tcPr>
            <w:tcW w:w="1304" w:type="dxa"/>
            <w:tcBorders>
              <w:top w:val="nil"/>
              <w:left w:val="nil"/>
              <w:bottom w:val="single" w:sz="4" w:space="0" w:color="auto"/>
              <w:right w:val="single" w:sz="4" w:space="0" w:color="auto"/>
            </w:tcBorders>
            <w:shd w:val="clear" w:color="auto" w:fill="auto"/>
            <w:noWrap/>
            <w:vAlign w:val="center"/>
            <w:hideMark/>
          </w:tcPr>
          <w:p w14:paraId="674761A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7,08</w:t>
            </w:r>
          </w:p>
        </w:tc>
      </w:tr>
      <w:tr w:rsidR="00BF12D5" w:rsidRPr="00BD0223" w14:paraId="591345C5"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F7D396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POPULINA</w:t>
            </w:r>
          </w:p>
        </w:tc>
        <w:tc>
          <w:tcPr>
            <w:tcW w:w="1304" w:type="dxa"/>
            <w:tcBorders>
              <w:top w:val="nil"/>
              <w:left w:val="nil"/>
              <w:bottom w:val="single" w:sz="4" w:space="0" w:color="auto"/>
              <w:right w:val="single" w:sz="4" w:space="0" w:color="auto"/>
            </w:tcBorders>
            <w:shd w:val="clear" w:color="auto" w:fill="auto"/>
            <w:noWrap/>
            <w:vAlign w:val="center"/>
            <w:hideMark/>
          </w:tcPr>
          <w:p w14:paraId="420F86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0,39</w:t>
            </w:r>
          </w:p>
        </w:tc>
        <w:tc>
          <w:tcPr>
            <w:tcW w:w="1304" w:type="dxa"/>
            <w:tcBorders>
              <w:top w:val="nil"/>
              <w:left w:val="nil"/>
              <w:bottom w:val="single" w:sz="4" w:space="0" w:color="auto"/>
              <w:right w:val="single" w:sz="4" w:space="0" w:color="auto"/>
            </w:tcBorders>
            <w:shd w:val="clear" w:color="auto" w:fill="auto"/>
            <w:noWrap/>
            <w:vAlign w:val="center"/>
            <w:hideMark/>
          </w:tcPr>
          <w:p w14:paraId="68B6E9A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0,36</w:t>
            </w:r>
          </w:p>
        </w:tc>
        <w:tc>
          <w:tcPr>
            <w:tcW w:w="1304" w:type="dxa"/>
            <w:tcBorders>
              <w:top w:val="nil"/>
              <w:left w:val="nil"/>
              <w:bottom w:val="single" w:sz="4" w:space="0" w:color="auto"/>
              <w:right w:val="single" w:sz="4" w:space="0" w:color="auto"/>
            </w:tcBorders>
            <w:shd w:val="clear" w:color="auto" w:fill="auto"/>
            <w:noWrap/>
            <w:vAlign w:val="center"/>
            <w:hideMark/>
          </w:tcPr>
          <w:p w14:paraId="4C2EFCD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0,31</w:t>
            </w:r>
          </w:p>
        </w:tc>
        <w:tc>
          <w:tcPr>
            <w:tcW w:w="1304" w:type="dxa"/>
            <w:tcBorders>
              <w:top w:val="nil"/>
              <w:left w:val="nil"/>
              <w:bottom w:val="single" w:sz="4" w:space="0" w:color="auto"/>
              <w:right w:val="single" w:sz="4" w:space="0" w:color="auto"/>
            </w:tcBorders>
            <w:shd w:val="clear" w:color="auto" w:fill="auto"/>
            <w:noWrap/>
            <w:vAlign w:val="center"/>
            <w:hideMark/>
          </w:tcPr>
          <w:p w14:paraId="41A7AF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0,33</w:t>
            </w:r>
          </w:p>
        </w:tc>
      </w:tr>
      <w:tr w:rsidR="00BF12D5" w:rsidRPr="00BD0223" w14:paraId="5A365F1F"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53687A2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POTIRENDABA</w:t>
            </w:r>
          </w:p>
        </w:tc>
        <w:tc>
          <w:tcPr>
            <w:tcW w:w="1304" w:type="dxa"/>
            <w:tcBorders>
              <w:top w:val="nil"/>
              <w:left w:val="nil"/>
              <w:bottom w:val="single" w:sz="4" w:space="0" w:color="auto"/>
              <w:right w:val="single" w:sz="4" w:space="0" w:color="auto"/>
            </w:tcBorders>
            <w:shd w:val="clear" w:color="auto" w:fill="auto"/>
            <w:noWrap/>
            <w:vAlign w:val="center"/>
            <w:hideMark/>
          </w:tcPr>
          <w:p w14:paraId="6A22C6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12,45</w:t>
            </w:r>
          </w:p>
        </w:tc>
        <w:tc>
          <w:tcPr>
            <w:tcW w:w="1304" w:type="dxa"/>
            <w:tcBorders>
              <w:top w:val="nil"/>
              <w:left w:val="nil"/>
              <w:bottom w:val="single" w:sz="4" w:space="0" w:color="auto"/>
              <w:right w:val="single" w:sz="4" w:space="0" w:color="auto"/>
            </w:tcBorders>
            <w:shd w:val="clear" w:color="auto" w:fill="auto"/>
            <w:noWrap/>
            <w:vAlign w:val="center"/>
            <w:hideMark/>
          </w:tcPr>
          <w:p w14:paraId="532B5C5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15,40</w:t>
            </w:r>
          </w:p>
        </w:tc>
        <w:tc>
          <w:tcPr>
            <w:tcW w:w="1304" w:type="dxa"/>
            <w:tcBorders>
              <w:top w:val="nil"/>
              <w:left w:val="nil"/>
              <w:bottom w:val="single" w:sz="4" w:space="0" w:color="auto"/>
              <w:right w:val="single" w:sz="4" w:space="0" w:color="auto"/>
            </w:tcBorders>
            <w:shd w:val="clear" w:color="auto" w:fill="auto"/>
            <w:noWrap/>
            <w:vAlign w:val="center"/>
            <w:hideMark/>
          </w:tcPr>
          <w:p w14:paraId="418167F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20,41</w:t>
            </w:r>
          </w:p>
        </w:tc>
        <w:tc>
          <w:tcPr>
            <w:tcW w:w="1304" w:type="dxa"/>
            <w:tcBorders>
              <w:top w:val="nil"/>
              <w:left w:val="nil"/>
              <w:bottom w:val="single" w:sz="4" w:space="0" w:color="auto"/>
              <w:right w:val="single" w:sz="4" w:space="0" w:color="auto"/>
            </w:tcBorders>
            <w:shd w:val="clear" w:color="auto" w:fill="auto"/>
            <w:noWrap/>
            <w:vAlign w:val="center"/>
            <w:hideMark/>
          </w:tcPr>
          <w:p w14:paraId="1C7F499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22,60</w:t>
            </w:r>
          </w:p>
        </w:tc>
      </w:tr>
      <w:tr w:rsidR="00BF12D5" w:rsidRPr="00BD0223" w14:paraId="0E50B61C"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2EC167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PRADOPOLIS</w:t>
            </w:r>
          </w:p>
        </w:tc>
        <w:tc>
          <w:tcPr>
            <w:tcW w:w="1304" w:type="dxa"/>
            <w:tcBorders>
              <w:top w:val="nil"/>
              <w:left w:val="nil"/>
              <w:bottom w:val="single" w:sz="4" w:space="0" w:color="auto"/>
              <w:right w:val="single" w:sz="4" w:space="0" w:color="auto"/>
            </w:tcBorders>
            <w:shd w:val="clear" w:color="auto" w:fill="auto"/>
            <w:noWrap/>
            <w:vAlign w:val="center"/>
            <w:hideMark/>
          </w:tcPr>
          <w:p w14:paraId="66274DF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35,40</w:t>
            </w:r>
          </w:p>
        </w:tc>
        <w:tc>
          <w:tcPr>
            <w:tcW w:w="1304" w:type="dxa"/>
            <w:tcBorders>
              <w:top w:val="nil"/>
              <w:left w:val="nil"/>
              <w:bottom w:val="single" w:sz="4" w:space="0" w:color="auto"/>
              <w:right w:val="single" w:sz="4" w:space="0" w:color="auto"/>
            </w:tcBorders>
            <w:shd w:val="clear" w:color="auto" w:fill="auto"/>
            <w:noWrap/>
            <w:vAlign w:val="center"/>
            <w:hideMark/>
          </w:tcPr>
          <w:p w14:paraId="0CE5E7B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34,49</w:t>
            </w:r>
          </w:p>
        </w:tc>
        <w:tc>
          <w:tcPr>
            <w:tcW w:w="1304" w:type="dxa"/>
            <w:tcBorders>
              <w:top w:val="nil"/>
              <w:left w:val="nil"/>
              <w:bottom w:val="single" w:sz="4" w:space="0" w:color="auto"/>
              <w:right w:val="single" w:sz="4" w:space="0" w:color="auto"/>
            </w:tcBorders>
            <w:shd w:val="clear" w:color="auto" w:fill="auto"/>
            <w:noWrap/>
            <w:vAlign w:val="center"/>
            <w:hideMark/>
          </w:tcPr>
          <w:p w14:paraId="6AF68D0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34,81</w:t>
            </w:r>
          </w:p>
        </w:tc>
        <w:tc>
          <w:tcPr>
            <w:tcW w:w="1304" w:type="dxa"/>
            <w:tcBorders>
              <w:top w:val="nil"/>
              <w:left w:val="nil"/>
              <w:bottom w:val="single" w:sz="4" w:space="0" w:color="auto"/>
              <w:right w:val="single" w:sz="4" w:space="0" w:color="auto"/>
            </w:tcBorders>
            <w:shd w:val="clear" w:color="auto" w:fill="auto"/>
            <w:noWrap/>
            <w:vAlign w:val="center"/>
            <w:hideMark/>
          </w:tcPr>
          <w:p w14:paraId="0F8C241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33,62</w:t>
            </w:r>
          </w:p>
        </w:tc>
      </w:tr>
      <w:tr w:rsidR="00BF12D5" w:rsidRPr="00BD0223" w14:paraId="1FE82E83"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967156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RESTINGA</w:t>
            </w:r>
          </w:p>
        </w:tc>
        <w:tc>
          <w:tcPr>
            <w:tcW w:w="1304" w:type="dxa"/>
            <w:tcBorders>
              <w:top w:val="nil"/>
              <w:left w:val="nil"/>
              <w:bottom w:val="single" w:sz="4" w:space="0" w:color="auto"/>
              <w:right w:val="single" w:sz="4" w:space="0" w:color="auto"/>
            </w:tcBorders>
            <w:shd w:val="clear" w:color="auto" w:fill="auto"/>
            <w:noWrap/>
            <w:vAlign w:val="center"/>
            <w:hideMark/>
          </w:tcPr>
          <w:p w14:paraId="12AD0A5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1,25</w:t>
            </w:r>
          </w:p>
        </w:tc>
        <w:tc>
          <w:tcPr>
            <w:tcW w:w="1304" w:type="dxa"/>
            <w:tcBorders>
              <w:top w:val="nil"/>
              <w:left w:val="nil"/>
              <w:bottom w:val="single" w:sz="4" w:space="0" w:color="auto"/>
              <w:right w:val="single" w:sz="4" w:space="0" w:color="auto"/>
            </w:tcBorders>
            <w:shd w:val="clear" w:color="auto" w:fill="auto"/>
            <w:noWrap/>
            <w:vAlign w:val="center"/>
            <w:hideMark/>
          </w:tcPr>
          <w:p w14:paraId="137200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2,35</w:t>
            </w:r>
          </w:p>
        </w:tc>
        <w:tc>
          <w:tcPr>
            <w:tcW w:w="1304" w:type="dxa"/>
            <w:tcBorders>
              <w:top w:val="nil"/>
              <w:left w:val="nil"/>
              <w:bottom w:val="single" w:sz="4" w:space="0" w:color="auto"/>
              <w:right w:val="single" w:sz="4" w:space="0" w:color="auto"/>
            </w:tcBorders>
            <w:shd w:val="clear" w:color="auto" w:fill="auto"/>
            <w:noWrap/>
            <w:vAlign w:val="center"/>
            <w:hideMark/>
          </w:tcPr>
          <w:p w14:paraId="17823DE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1,35</w:t>
            </w:r>
          </w:p>
        </w:tc>
        <w:tc>
          <w:tcPr>
            <w:tcW w:w="1304" w:type="dxa"/>
            <w:tcBorders>
              <w:top w:val="nil"/>
              <w:left w:val="nil"/>
              <w:bottom w:val="single" w:sz="4" w:space="0" w:color="auto"/>
              <w:right w:val="single" w:sz="4" w:space="0" w:color="auto"/>
            </w:tcBorders>
            <w:shd w:val="clear" w:color="auto" w:fill="auto"/>
            <w:noWrap/>
            <w:vAlign w:val="center"/>
            <w:hideMark/>
          </w:tcPr>
          <w:p w14:paraId="7A8D75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1,20</w:t>
            </w:r>
          </w:p>
        </w:tc>
      </w:tr>
      <w:tr w:rsidR="00BF12D5" w:rsidRPr="00BD0223" w14:paraId="3F5B1771"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94D282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RIBEIRAO CORRENTE</w:t>
            </w:r>
          </w:p>
        </w:tc>
        <w:tc>
          <w:tcPr>
            <w:tcW w:w="1304" w:type="dxa"/>
            <w:tcBorders>
              <w:top w:val="nil"/>
              <w:left w:val="nil"/>
              <w:bottom w:val="single" w:sz="4" w:space="0" w:color="auto"/>
              <w:right w:val="single" w:sz="4" w:space="0" w:color="auto"/>
            </w:tcBorders>
            <w:shd w:val="clear" w:color="auto" w:fill="auto"/>
            <w:noWrap/>
            <w:vAlign w:val="center"/>
            <w:hideMark/>
          </w:tcPr>
          <w:p w14:paraId="1009AA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0,25</w:t>
            </w:r>
          </w:p>
        </w:tc>
        <w:tc>
          <w:tcPr>
            <w:tcW w:w="1304" w:type="dxa"/>
            <w:tcBorders>
              <w:top w:val="nil"/>
              <w:left w:val="nil"/>
              <w:bottom w:val="single" w:sz="4" w:space="0" w:color="auto"/>
              <w:right w:val="single" w:sz="4" w:space="0" w:color="auto"/>
            </w:tcBorders>
            <w:shd w:val="clear" w:color="auto" w:fill="auto"/>
            <w:noWrap/>
            <w:vAlign w:val="center"/>
            <w:hideMark/>
          </w:tcPr>
          <w:p w14:paraId="5DE547C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0,34</w:t>
            </w:r>
          </w:p>
        </w:tc>
        <w:tc>
          <w:tcPr>
            <w:tcW w:w="1304" w:type="dxa"/>
            <w:tcBorders>
              <w:top w:val="nil"/>
              <w:left w:val="nil"/>
              <w:bottom w:val="single" w:sz="4" w:space="0" w:color="auto"/>
              <w:right w:val="single" w:sz="4" w:space="0" w:color="auto"/>
            </w:tcBorders>
            <w:shd w:val="clear" w:color="auto" w:fill="auto"/>
            <w:noWrap/>
            <w:vAlign w:val="center"/>
            <w:hideMark/>
          </w:tcPr>
          <w:p w14:paraId="400049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0,31</w:t>
            </w:r>
          </w:p>
        </w:tc>
        <w:tc>
          <w:tcPr>
            <w:tcW w:w="1304" w:type="dxa"/>
            <w:tcBorders>
              <w:top w:val="nil"/>
              <w:left w:val="nil"/>
              <w:bottom w:val="single" w:sz="4" w:space="0" w:color="auto"/>
              <w:right w:val="single" w:sz="4" w:space="0" w:color="auto"/>
            </w:tcBorders>
            <w:shd w:val="clear" w:color="auto" w:fill="auto"/>
            <w:noWrap/>
            <w:vAlign w:val="center"/>
            <w:hideMark/>
          </w:tcPr>
          <w:p w14:paraId="661499B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0,38</w:t>
            </w:r>
          </w:p>
        </w:tc>
      </w:tr>
      <w:tr w:rsidR="00BF12D5" w:rsidRPr="00BD0223" w14:paraId="1660DEFC"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49F28D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RIBEIRAO PRETO</w:t>
            </w:r>
          </w:p>
        </w:tc>
        <w:tc>
          <w:tcPr>
            <w:tcW w:w="1304" w:type="dxa"/>
            <w:tcBorders>
              <w:top w:val="nil"/>
              <w:left w:val="nil"/>
              <w:bottom w:val="single" w:sz="4" w:space="0" w:color="auto"/>
              <w:right w:val="single" w:sz="4" w:space="0" w:color="auto"/>
            </w:tcBorders>
            <w:shd w:val="clear" w:color="auto" w:fill="auto"/>
            <w:noWrap/>
            <w:vAlign w:val="center"/>
            <w:hideMark/>
          </w:tcPr>
          <w:p w14:paraId="08EE6AF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218,35</w:t>
            </w:r>
          </w:p>
        </w:tc>
        <w:tc>
          <w:tcPr>
            <w:tcW w:w="1304" w:type="dxa"/>
            <w:tcBorders>
              <w:top w:val="nil"/>
              <w:left w:val="nil"/>
              <w:bottom w:val="single" w:sz="4" w:space="0" w:color="auto"/>
              <w:right w:val="single" w:sz="4" w:space="0" w:color="auto"/>
            </w:tcBorders>
            <w:shd w:val="clear" w:color="auto" w:fill="auto"/>
            <w:noWrap/>
            <w:vAlign w:val="center"/>
            <w:hideMark/>
          </w:tcPr>
          <w:p w14:paraId="3D8A5BA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212,64</w:t>
            </w:r>
          </w:p>
        </w:tc>
        <w:tc>
          <w:tcPr>
            <w:tcW w:w="1304" w:type="dxa"/>
            <w:tcBorders>
              <w:top w:val="nil"/>
              <w:left w:val="nil"/>
              <w:bottom w:val="single" w:sz="4" w:space="0" w:color="auto"/>
              <w:right w:val="single" w:sz="4" w:space="0" w:color="auto"/>
            </w:tcBorders>
            <w:shd w:val="clear" w:color="auto" w:fill="auto"/>
            <w:noWrap/>
            <w:vAlign w:val="center"/>
            <w:hideMark/>
          </w:tcPr>
          <w:p w14:paraId="7FEBBC6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209,10</w:t>
            </w:r>
          </w:p>
        </w:tc>
        <w:tc>
          <w:tcPr>
            <w:tcW w:w="1304" w:type="dxa"/>
            <w:tcBorders>
              <w:top w:val="nil"/>
              <w:left w:val="nil"/>
              <w:bottom w:val="single" w:sz="4" w:space="0" w:color="auto"/>
              <w:right w:val="single" w:sz="4" w:space="0" w:color="auto"/>
            </w:tcBorders>
            <w:shd w:val="clear" w:color="auto" w:fill="auto"/>
            <w:noWrap/>
            <w:vAlign w:val="center"/>
            <w:hideMark/>
          </w:tcPr>
          <w:p w14:paraId="11A8DE3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214,49</w:t>
            </w:r>
          </w:p>
        </w:tc>
      </w:tr>
      <w:tr w:rsidR="00BF12D5" w:rsidRPr="00BD0223" w14:paraId="60A2E665"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D5733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RIFAINA</w:t>
            </w:r>
          </w:p>
        </w:tc>
        <w:tc>
          <w:tcPr>
            <w:tcW w:w="1304" w:type="dxa"/>
            <w:tcBorders>
              <w:top w:val="nil"/>
              <w:left w:val="nil"/>
              <w:bottom w:val="single" w:sz="4" w:space="0" w:color="auto"/>
              <w:right w:val="single" w:sz="4" w:space="0" w:color="auto"/>
            </w:tcBorders>
            <w:shd w:val="clear" w:color="auto" w:fill="auto"/>
            <w:noWrap/>
            <w:vAlign w:val="center"/>
            <w:hideMark/>
          </w:tcPr>
          <w:p w14:paraId="356279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0,37</w:t>
            </w:r>
          </w:p>
        </w:tc>
        <w:tc>
          <w:tcPr>
            <w:tcW w:w="1304" w:type="dxa"/>
            <w:tcBorders>
              <w:top w:val="nil"/>
              <w:left w:val="nil"/>
              <w:bottom w:val="single" w:sz="4" w:space="0" w:color="auto"/>
              <w:right w:val="single" w:sz="4" w:space="0" w:color="auto"/>
            </w:tcBorders>
            <w:shd w:val="clear" w:color="auto" w:fill="auto"/>
            <w:noWrap/>
            <w:vAlign w:val="center"/>
            <w:hideMark/>
          </w:tcPr>
          <w:p w14:paraId="1DEC45A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0,38</w:t>
            </w:r>
          </w:p>
        </w:tc>
        <w:tc>
          <w:tcPr>
            <w:tcW w:w="1304" w:type="dxa"/>
            <w:tcBorders>
              <w:top w:val="nil"/>
              <w:left w:val="nil"/>
              <w:bottom w:val="single" w:sz="4" w:space="0" w:color="auto"/>
              <w:right w:val="single" w:sz="4" w:space="0" w:color="auto"/>
            </w:tcBorders>
            <w:shd w:val="clear" w:color="auto" w:fill="auto"/>
            <w:noWrap/>
            <w:vAlign w:val="center"/>
            <w:hideMark/>
          </w:tcPr>
          <w:p w14:paraId="0C39C9C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0,39</w:t>
            </w:r>
          </w:p>
        </w:tc>
        <w:tc>
          <w:tcPr>
            <w:tcW w:w="1304" w:type="dxa"/>
            <w:tcBorders>
              <w:top w:val="nil"/>
              <w:left w:val="nil"/>
              <w:bottom w:val="single" w:sz="4" w:space="0" w:color="auto"/>
              <w:right w:val="single" w:sz="4" w:space="0" w:color="auto"/>
            </w:tcBorders>
            <w:shd w:val="clear" w:color="auto" w:fill="auto"/>
            <w:noWrap/>
            <w:vAlign w:val="center"/>
            <w:hideMark/>
          </w:tcPr>
          <w:p w14:paraId="1FFDA4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0,53</w:t>
            </w:r>
          </w:p>
        </w:tc>
      </w:tr>
      <w:tr w:rsidR="00BF12D5" w:rsidRPr="00BD0223" w14:paraId="0518F3B8"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46DAC5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RIOLANDIA</w:t>
            </w:r>
          </w:p>
        </w:tc>
        <w:tc>
          <w:tcPr>
            <w:tcW w:w="1304" w:type="dxa"/>
            <w:tcBorders>
              <w:top w:val="nil"/>
              <w:left w:val="nil"/>
              <w:bottom w:val="single" w:sz="4" w:space="0" w:color="auto"/>
              <w:right w:val="single" w:sz="4" w:space="0" w:color="auto"/>
            </w:tcBorders>
            <w:shd w:val="clear" w:color="auto" w:fill="auto"/>
            <w:noWrap/>
            <w:vAlign w:val="center"/>
            <w:hideMark/>
          </w:tcPr>
          <w:p w14:paraId="5E78BAC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0,82</w:t>
            </w:r>
          </w:p>
        </w:tc>
        <w:tc>
          <w:tcPr>
            <w:tcW w:w="1304" w:type="dxa"/>
            <w:tcBorders>
              <w:top w:val="nil"/>
              <w:left w:val="nil"/>
              <w:bottom w:val="single" w:sz="4" w:space="0" w:color="auto"/>
              <w:right w:val="single" w:sz="4" w:space="0" w:color="auto"/>
            </w:tcBorders>
            <w:shd w:val="clear" w:color="auto" w:fill="auto"/>
            <w:noWrap/>
            <w:vAlign w:val="center"/>
            <w:hideMark/>
          </w:tcPr>
          <w:p w14:paraId="58A1465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0,84</w:t>
            </w:r>
          </w:p>
        </w:tc>
        <w:tc>
          <w:tcPr>
            <w:tcW w:w="1304" w:type="dxa"/>
            <w:tcBorders>
              <w:top w:val="nil"/>
              <w:left w:val="nil"/>
              <w:bottom w:val="single" w:sz="4" w:space="0" w:color="auto"/>
              <w:right w:val="single" w:sz="4" w:space="0" w:color="auto"/>
            </w:tcBorders>
            <w:shd w:val="clear" w:color="auto" w:fill="auto"/>
            <w:noWrap/>
            <w:vAlign w:val="center"/>
            <w:hideMark/>
          </w:tcPr>
          <w:p w14:paraId="3E147BB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0,71</w:t>
            </w:r>
          </w:p>
        </w:tc>
        <w:tc>
          <w:tcPr>
            <w:tcW w:w="1304" w:type="dxa"/>
            <w:tcBorders>
              <w:top w:val="nil"/>
              <w:left w:val="nil"/>
              <w:bottom w:val="single" w:sz="4" w:space="0" w:color="auto"/>
              <w:right w:val="single" w:sz="4" w:space="0" w:color="auto"/>
            </w:tcBorders>
            <w:shd w:val="clear" w:color="auto" w:fill="auto"/>
            <w:noWrap/>
            <w:vAlign w:val="center"/>
            <w:hideMark/>
          </w:tcPr>
          <w:p w14:paraId="32DA8B2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0,68</w:t>
            </w:r>
          </w:p>
        </w:tc>
      </w:tr>
      <w:tr w:rsidR="00BF12D5" w:rsidRPr="00BD0223" w14:paraId="68D67318"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94A953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lastRenderedPageBreak/>
              <w:t>RUBINEIA</w:t>
            </w:r>
          </w:p>
        </w:tc>
        <w:tc>
          <w:tcPr>
            <w:tcW w:w="1304" w:type="dxa"/>
            <w:tcBorders>
              <w:top w:val="nil"/>
              <w:left w:val="nil"/>
              <w:bottom w:val="single" w:sz="4" w:space="0" w:color="auto"/>
              <w:right w:val="single" w:sz="4" w:space="0" w:color="auto"/>
            </w:tcBorders>
            <w:shd w:val="clear" w:color="auto" w:fill="auto"/>
            <w:noWrap/>
            <w:vAlign w:val="center"/>
            <w:hideMark/>
          </w:tcPr>
          <w:p w14:paraId="2D4A26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0,34</w:t>
            </w:r>
          </w:p>
        </w:tc>
        <w:tc>
          <w:tcPr>
            <w:tcW w:w="1304" w:type="dxa"/>
            <w:tcBorders>
              <w:top w:val="nil"/>
              <w:left w:val="nil"/>
              <w:bottom w:val="single" w:sz="4" w:space="0" w:color="auto"/>
              <w:right w:val="single" w:sz="4" w:space="0" w:color="auto"/>
            </w:tcBorders>
            <w:shd w:val="clear" w:color="auto" w:fill="auto"/>
            <w:noWrap/>
            <w:vAlign w:val="center"/>
            <w:hideMark/>
          </w:tcPr>
          <w:p w14:paraId="10C27AC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9,34</w:t>
            </w:r>
          </w:p>
        </w:tc>
        <w:tc>
          <w:tcPr>
            <w:tcW w:w="1304" w:type="dxa"/>
            <w:tcBorders>
              <w:top w:val="nil"/>
              <w:left w:val="nil"/>
              <w:bottom w:val="single" w:sz="4" w:space="0" w:color="auto"/>
              <w:right w:val="single" w:sz="4" w:space="0" w:color="auto"/>
            </w:tcBorders>
            <w:shd w:val="clear" w:color="auto" w:fill="auto"/>
            <w:noWrap/>
            <w:vAlign w:val="center"/>
            <w:hideMark/>
          </w:tcPr>
          <w:p w14:paraId="0FECF37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31,07</w:t>
            </w:r>
          </w:p>
        </w:tc>
        <w:tc>
          <w:tcPr>
            <w:tcW w:w="1304" w:type="dxa"/>
            <w:tcBorders>
              <w:top w:val="nil"/>
              <w:left w:val="nil"/>
              <w:bottom w:val="single" w:sz="4" w:space="0" w:color="auto"/>
              <w:right w:val="single" w:sz="4" w:space="0" w:color="auto"/>
            </w:tcBorders>
            <w:shd w:val="clear" w:color="auto" w:fill="auto"/>
            <w:noWrap/>
            <w:vAlign w:val="center"/>
            <w:hideMark/>
          </w:tcPr>
          <w:p w14:paraId="1046026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21,31</w:t>
            </w:r>
          </w:p>
        </w:tc>
      </w:tr>
      <w:tr w:rsidR="00BF12D5" w:rsidRPr="00BD0223" w14:paraId="5CCDD084"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60A457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SALES</w:t>
            </w:r>
          </w:p>
        </w:tc>
        <w:tc>
          <w:tcPr>
            <w:tcW w:w="1304" w:type="dxa"/>
            <w:tcBorders>
              <w:top w:val="nil"/>
              <w:left w:val="nil"/>
              <w:bottom w:val="single" w:sz="4" w:space="0" w:color="auto"/>
              <w:right w:val="single" w:sz="4" w:space="0" w:color="auto"/>
            </w:tcBorders>
            <w:shd w:val="clear" w:color="auto" w:fill="auto"/>
            <w:noWrap/>
            <w:vAlign w:val="center"/>
            <w:hideMark/>
          </w:tcPr>
          <w:p w14:paraId="5318000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0,81</w:t>
            </w:r>
          </w:p>
        </w:tc>
        <w:tc>
          <w:tcPr>
            <w:tcW w:w="1304" w:type="dxa"/>
            <w:tcBorders>
              <w:top w:val="nil"/>
              <w:left w:val="nil"/>
              <w:bottom w:val="single" w:sz="4" w:space="0" w:color="auto"/>
              <w:right w:val="single" w:sz="4" w:space="0" w:color="auto"/>
            </w:tcBorders>
            <w:shd w:val="clear" w:color="auto" w:fill="auto"/>
            <w:noWrap/>
            <w:vAlign w:val="center"/>
            <w:hideMark/>
          </w:tcPr>
          <w:p w14:paraId="5AC715C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0,51</w:t>
            </w:r>
          </w:p>
        </w:tc>
        <w:tc>
          <w:tcPr>
            <w:tcW w:w="1304" w:type="dxa"/>
            <w:tcBorders>
              <w:top w:val="nil"/>
              <w:left w:val="nil"/>
              <w:bottom w:val="single" w:sz="4" w:space="0" w:color="auto"/>
              <w:right w:val="single" w:sz="4" w:space="0" w:color="auto"/>
            </w:tcBorders>
            <w:shd w:val="clear" w:color="auto" w:fill="auto"/>
            <w:noWrap/>
            <w:vAlign w:val="center"/>
            <w:hideMark/>
          </w:tcPr>
          <w:p w14:paraId="229AE3A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0,51</w:t>
            </w:r>
          </w:p>
        </w:tc>
        <w:tc>
          <w:tcPr>
            <w:tcW w:w="1304" w:type="dxa"/>
            <w:tcBorders>
              <w:top w:val="nil"/>
              <w:left w:val="nil"/>
              <w:bottom w:val="single" w:sz="4" w:space="0" w:color="auto"/>
              <w:right w:val="single" w:sz="4" w:space="0" w:color="auto"/>
            </w:tcBorders>
            <w:shd w:val="clear" w:color="auto" w:fill="auto"/>
            <w:noWrap/>
            <w:vAlign w:val="center"/>
            <w:hideMark/>
          </w:tcPr>
          <w:p w14:paraId="2B1B991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0,71</w:t>
            </w:r>
          </w:p>
        </w:tc>
      </w:tr>
      <w:tr w:rsidR="00BF12D5" w:rsidRPr="00BD0223" w14:paraId="2AAD1377"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5EC52FC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SALES OLIVEIRA</w:t>
            </w:r>
          </w:p>
        </w:tc>
        <w:tc>
          <w:tcPr>
            <w:tcW w:w="1304" w:type="dxa"/>
            <w:tcBorders>
              <w:top w:val="nil"/>
              <w:left w:val="nil"/>
              <w:bottom w:val="single" w:sz="4" w:space="0" w:color="auto"/>
              <w:right w:val="single" w:sz="4" w:space="0" w:color="auto"/>
            </w:tcBorders>
            <w:shd w:val="clear" w:color="auto" w:fill="auto"/>
            <w:noWrap/>
            <w:vAlign w:val="center"/>
            <w:hideMark/>
          </w:tcPr>
          <w:p w14:paraId="4DC66DE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8,97</w:t>
            </w:r>
          </w:p>
        </w:tc>
        <w:tc>
          <w:tcPr>
            <w:tcW w:w="1304" w:type="dxa"/>
            <w:tcBorders>
              <w:top w:val="nil"/>
              <w:left w:val="nil"/>
              <w:bottom w:val="single" w:sz="4" w:space="0" w:color="auto"/>
              <w:right w:val="single" w:sz="4" w:space="0" w:color="auto"/>
            </w:tcBorders>
            <w:shd w:val="clear" w:color="auto" w:fill="auto"/>
            <w:noWrap/>
            <w:vAlign w:val="center"/>
            <w:hideMark/>
          </w:tcPr>
          <w:p w14:paraId="5073593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8,59</w:t>
            </w:r>
          </w:p>
        </w:tc>
        <w:tc>
          <w:tcPr>
            <w:tcW w:w="1304" w:type="dxa"/>
            <w:tcBorders>
              <w:top w:val="nil"/>
              <w:left w:val="nil"/>
              <w:bottom w:val="single" w:sz="4" w:space="0" w:color="auto"/>
              <w:right w:val="single" w:sz="4" w:space="0" w:color="auto"/>
            </w:tcBorders>
            <w:shd w:val="clear" w:color="auto" w:fill="auto"/>
            <w:noWrap/>
            <w:vAlign w:val="center"/>
            <w:hideMark/>
          </w:tcPr>
          <w:p w14:paraId="7432571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9,65</w:t>
            </w:r>
          </w:p>
        </w:tc>
        <w:tc>
          <w:tcPr>
            <w:tcW w:w="1304" w:type="dxa"/>
            <w:tcBorders>
              <w:top w:val="nil"/>
              <w:left w:val="nil"/>
              <w:bottom w:val="single" w:sz="4" w:space="0" w:color="auto"/>
              <w:right w:val="single" w:sz="4" w:space="0" w:color="auto"/>
            </w:tcBorders>
            <w:shd w:val="clear" w:color="auto" w:fill="auto"/>
            <w:noWrap/>
            <w:vAlign w:val="center"/>
            <w:hideMark/>
          </w:tcPr>
          <w:p w14:paraId="4A43EB7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11,07</w:t>
            </w:r>
          </w:p>
        </w:tc>
      </w:tr>
      <w:tr w:rsidR="00BF12D5" w:rsidRPr="00BD0223" w14:paraId="37581346"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CD090E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ADELIA</w:t>
            </w:r>
          </w:p>
        </w:tc>
        <w:tc>
          <w:tcPr>
            <w:tcW w:w="1304" w:type="dxa"/>
            <w:tcBorders>
              <w:top w:val="nil"/>
              <w:left w:val="nil"/>
              <w:bottom w:val="single" w:sz="4" w:space="0" w:color="auto"/>
              <w:right w:val="single" w:sz="4" w:space="0" w:color="auto"/>
            </w:tcBorders>
            <w:shd w:val="clear" w:color="auto" w:fill="auto"/>
            <w:noWrap/>
            <w:vAlign w:val="center"/>
            <w:hideMark/>
          </w:tcPr>
          <w:p w14:paraId="7853AB2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32,27</w:t>
            </w:r>
          </w:p>
        </w:tc>
        <w:tc>
          <w:tcPr>
            <w:tcW w:w="1304" w:type="dxa"/>
            <w:tcBorders>
              <w:top w:val="nil"/>
              <w:left w:val="nil"/>
              <w:bottom w:val="single" w:sz="4" w:space="0" w:color="auto"/>
              <w:right w:val="single" w:sz="4" w:space="0" w:color="auto"/>
            </w:tcBorders>
            <w:shd w:val="clear" w:color="auto" w:fill="auto"/>
            <w:noWrap/>
            <w:vAlign w:val="center"/>
            <w:hideMark/>
          </w:tcPr>
          <w:p w14:paraId="3CD9208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31,39</w:t>
            </w:r>
          </w:p>
        </w:tc>
        <w:tc>
          <w:tcPr>
            <w:tcW w:w="1304" w:type="dxa"/>
            <w:tcBorders>
              <w:top w:val="nil"/>
              <w:left w:val="nil"/>
              <w:bottom w:val="single" w:sz="4" w:space="0" w:color="auto"/>
              <w:right w:val="single" w:sz="4" w:space="0" w:color="auto"/>
            </w:tcBorders>
            <w:shd w:val="clear" w:color="auto" w:fill="auto"/>
            <w:noWrap/>
            <w:vAlign w:val="center"/>
            <w:hideMark/>
          </w:tcPr>
          <w:p w14:paraId="70C29BF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33,07</w:t>
            </w:r>
          </w:p>
        </w:tc>
        <w:tc>
          <w:tcPr>
            <w:tcW w:w="1304" w:type="dxa"/>
            <w:tcBorders>
              <w:top w:val="nil"/>
              <w:left w:val="nil"/>
              <w:bottom w:val="single" w:sz="4" w:space="0" w:color="auto"/>
              <w:right w:val="single" w:sz="4" w:space="0" w:color="auto"/>
            </w:tcBorders>
            <w:shd w:val="clear" w:color="auto" w:fill="auto"/>
            <w:noWrap/>
            <w:vAlign w:val="center"/>
            <w:hideMark/>
          </w:tcPr>
          <w:p w14:paraId="74E604E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33,70</w:t>
            </w:r>
          </w:p>
        </w:tc>
      </w:tr>
      <w:tr w:rsidR="00BF12D5" w:rsidRPr="00BD0223" w14:paraId="46BE525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8E8452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ALBERTINA</w:t>
            </w:r>
          </w:p>
        </w:tc>
        <w:tc>
          <w:tcPr>
            <w:tcW w:w="1304" w:type="dxa"/>
            <w:tcBorders>
              <w:top w:val="nil"/>
              <w:left w:val="nil"/>
              <w:bottom w:val="single" w:sz="4" w:space="0" w:color="auto"/>
              <w:right w:val="single" w:sz="4" w:space="0" w:color="auto"/>
            </w:tcBorders>
            <w:shd w:val="clear" w:color="auto" w:fill="auto"/>
            <w:noWrap/>
            <w:vAlign w:val="center"/>
            <w:hideMark/>
          </w:tcPr>
          <w:p w14:paraId="11B222D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9,54</w:t>
            </w:r>
          </w:p>
        </w:tc>
        <w:tc>
          <w:tcPr>
            <w:tcW w:w="1304" w:type="dxa"/>
            <w:tcBorders>
              <w:top w:val="nil"/>
              <w:left w:val="nil"/>
              <w:bottom w:val="single" w:sz="4" w:space="0" w:color="auto"/>
              <w:right w:val="single" w:sz="4" w:space="0" w:color="auto"/>
            </w:tcBorders>
            <w:shd w:val="clear" w:color="auto" w:fill="auto"/>
            <w:noWrap/>
            <w:vAlign w:val="center"/>
            <w:hideMark/>
          </w:tcPr>
          <w:p w14:paraId="79EF6FF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9,79</w:t>
            </w:r>
          </w:p>
        </w:tc>
        <w:tc>
          <w:tcPr>
            <w:tcW w:w="1304" w:type="dxa"/>
            <w:tcBorders>
              <w:top w:val="nil"/>
              <w:left w:val="nil"/>
              <w:bottom w:val="single" w:sz="4" w:space="0" w:color="auto"/>
              <w:right w:val="single" w:sz="4" w:space="0" w:color="auto"/>
            </w:tcBorders>
            <w:shd w:val="clear" w:color="auto" w:fill="auto"/>
            <w:noWrap/>
            <w:vAlign w:val="center"/>
            <w:hideMark/>
          </w:tcPr>
          <w:p w14:paraId="71A82D9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9,14</w:t>
            </w:r>
          </w:p>
        </w:tc>
        <w:tc>
          <w:tcPr>
            <w:tcW w:w="1304" w:type="dxa"/>
            <w:tcBorders>
              <w:top w:val="nil"/>
              <w:left w:val="nil"/>
              <w:bottom w:val="single" w:sz="4" w:space="0" w:color="auto"/>
              <w:right w:val="single" w:sz="4" w:space="0" w:color="auto"/>
            </w:tcBorders>
            <w:shd w:val="clear" w:color="auto" w:fill="auto"/>
            <w:noWrap/>
            <w:vAlign w:val="center"/>
            <w:hideMark/>
          </w:tcPr>
          <w:p w14:paraId="5BEA4DF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9,00</w:t>
            </w:r>
          </w:p>
        </w:tc>
      </w:tr>
      <w:tr w:rsidR="00BF12D5" w:rsidRPr="00BD0223" w14:paraId="6675B2AB"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E6A1B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CLARA D'OESTE</w:t>
            </w:r>
          </w:p>
        </w:tc>
        <w:tc>
          <w:tcPr>
            <w:tcW w:w="1304" w:type="dxa"/>
            <w:tcBorders>
              <w:top w:val="nil"/>
              <w:left w:val="nil"/>
              <w:bottom w:val="single" w:sz="4" w:space="0" w:color="auto"/>
              <w:right w:val="single" w:sz="4" w:space="0" w:color="auto"/>
            </w:tcBorders>
            <w:shd w:val="clear" w:color="auto" w:fill="auto"/>
            <w:noWrap/>
            <w:vAlign w:val="center"/>
            <w:hideMark/>
          </w:tcPr>
          <w:p w14:paraId="179D22E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0,17</w:t>
            </w:r>
          </w:p>
        </w:tc>
        <w:tc>
          <w:tcPr>
            <w:tcW w:w="1304" w:type="dxa"/>
            <w:tcBorders>
              <w:top w:val="nil"/>
              <w:left w:val="nil"/>
              <w:bottom w:val="single" w:sz="4" w:space="0" w:color="auto"/>
              <w:right w:val="single" w:sz="4" w:space="0" w:color="auto"/>
            </w:tcBorders>
            <w:shd w:val="clear" w:color="auto" w:fill="auto"/>
            <w:noWrap/>
            <w:vAlign w:val="center"/>
            <w:hideMark/>
          </w:tcPr>
          <w:p w14:paraId="02500B6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0,18</w:t>
            </w:r>
          </w:p>
        </w:tc>
        <w:tc>
          <w:tcPr>
            <w:tcW w:w="1304" w:type="dxa"/>
            <w:tcBorders>
              <w:top w:val="nil"/>
              <w:left w:val="nil"/>
              <w:bottom w:val="single" w:sz="4" w:space="0" w:color="auto"/>
              <w:right w:val="single" w:sz="4" w:space="0" w:color="auto"/>
            </w:tcBorders>
            <w:shd w:val="clear" w:color="auto" w:fill="auto"/>
            <w:noWrap/>
            <w:vAlign w:val="center"/>
            <w:hideMark/>
          </w:tcPr>
          <w:p w14:paraId="53D3077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0,15</w:t>
            </w:r>
          </w:p>
        </w:tc>
        <w:tc>
          <w:tcPr>
            <w:tcW w:w="1304" w:type="dxa"/>
            <w:tcBorders>
              <w:top w:val="nil"/>
              <w:left w:val="nil"/>
              <w:bottom w:val="single" w:sz="4" w:space="0" w:color="auto"/>
              <w:right w:val="single" w:sz="4" w:space="0" w:color="auto"/>
            </w:tcBorders>
            <w:shd w:val="clear" w:color="auto" w:fill="auto"/>
            <w:noWrap/>
            <w:vAlign w:val="center"/>
            <w:hideMark/>
          </w:tcPr>
          <w:p w14:paraId="61D2939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0,17</w:t>
            </w:r>
          </w:p>
        </w:tc>
      </w:tr>
      <w:tr w:rsidR="00BF12D5" w:rsidRPr="00BD0223" w14:paraId="27292169"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C5432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CRUZ DA ESPERANCA</w:t>
            </w:r>
          </w:p>
        </w:tc>
        <w:tc>
          <w:tcPr>
            <w:tcW w:w="1304" w:type="dxa"/>
            <w:tcBorders>
              <w:top w:val="nil"/>
              <w:left w:val="nil"/>
              <w:bottom w:val="single" w:sz="4" w:space="0" w:color="auto"/>
              <w:right w:val="single" w:sz="4" w:space="0" w:color="auto"/>
            </w:tcBorders>
            <w:shd w:val="clear" w:color="auto" w:fill="auto"/>
            <w:noWrap/>
            <w:vAlign w:val="center"/>
            <w:hideMark/>
          </w:tcPr>
          <w:p w14:paraId="5527CCB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2,94</w:t>
            </w:r>
          </w:p>
        </w:tc>
        <w:tc>
          <w:tcPr>
            <w:tcW w:w="1304" w:type="dxa"/>
            <w:tcBorders>
              <w:top w:val="nil"/>
              <w:left w:val="nil"/>
              <w:bottom w:val="single" w:sz="4" w:space="0" w:color="auto"/>
              <w:right w:val="single" w:sz="4" w:space="0" w:color="auto"/>
            </w:tcBorders>
            <w:shd w:val="clear" w:color="auto" w:fill="auto"/>
            <w:noWrap/>
            <w:vAlign w:val="center"/>
            <w:hideMark/>
          </w:tcPr>
          <w:p w14:paraId="72E479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2,32</w:t>
            </w:r>
          </w:p>
        </w:tc>
        <w:tc>
          <w:tcPr>
            <w:tcW w:w="1304" w:type="dxa"/>
            <w:tcBorders>
              <w:top w:val="nil"/>
              <w:left w:val="nil"/>
              <w:bottom w:val="single" w:sz="4" w:space="0" w:color="auto"/>
              <w:right w:val="single" w:sz="4" w:space="0" w:color="auto"/>
            </w:tcBorders>
            <w:shd w:val="clear" w:color="auto" w:fill="auto"/>
            <w:noWrap/>
            <w:vAlign w:val="center"/>
            <w:hideMark/>
          </w:tcPr>
          <w:p w14:paraId="4219872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3,02</w:t>
            </w:r>
          </w:p>
        </w:tc>
        <w:tc>
          <w:tcPr>
            <w:tcW w:w="1304" w:type="dxa"/>
            <w:tcBorders>
              <w:top w:val="nil"/>
              <w:left w:val="nil"/>
              <w:bottom w:val="single" w:sz="4" w:space="0" w:color="auto"/>
              <w:right w:val="single" w:sz="4" w:space="0" w:color="auto"/>
            </w:tcBorders>
            <w:shd w:val="clear" w:color="auto" w:fill="auto"/>
            <w:noWrap/>
            <w:vAlign w:val="center"/>
            <w:hideMark/>
          </w:tcPr>
          <w:p w14:paraId="686288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3,54</w:t>
            </w:r>
          </w:p>
        </w:tc>
      </w:tr>
      <w:tr w:rsidR="00BF12D5" w:rsidRPr="00BD0223" w14:paraId="110593FC"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FF3898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ERNESTINA</w:t>
            </w:r>
          </w:p>
        </w:tc>
        <w:tc>
          <w:tcPr>
            <w:tcW w:w="1304" w:type="dxa"/>
            <w:tcBorders>
              <w:top w:val="nil"/>
              <w:left w:val="nil"/>
              <w:bottom w:val="single" w:sz="4" w:space="0" w:color="auto"/>
              <w:right w:val="single" w:sz="4" w:space="0" w:color="auto"/>
            </w:tcBorders>
            <w:shd w:val="clear" w:color="auto" w:fill="auto"/>
            <w:noWrap/>
            <w:vAlign w:val="center"/>
            <w:hideMark/>
          </w:tcPr>
          <w:p w14:paraId="6CF06F8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0,56</w:t>
            </w:r>
          </w:p>
        </w:tc>
        <w:tc>
          <w:tcPr>
            <w:tcW w:w="1304" w:type="dxa"/>
            <w:tcBorders>
              <w:top w:val="nil"/>
              <w:left w:val="nil"/>
              <w:bottom w:val="single" w:sz="4" w:space="0" w:color="auto"/>
              <w:right w:val="single" w:sz="4" w:space="0" w:color="auto"/>
            </w:tcBorders>
            <w:shd w:val="clear" w:color="auto" w:fill="auto"/>
            <w:noWrap/>
            <w:vAlign w:val="center"/>
            <w:hideMark/>
          </w:tcPr>
          <w:p w14:paraId="5EF2E28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0,52</w:t>
            </w:r>
          </w:p>
        </w:tc>
        <w:tc>
          <w:tcPr>
            <w:tcW w:w="1304" w:type="dxa"/>
            <w:tcBorders>
              <w:top w:val="nil"/>
              <w:left w:val="nil"/>
              <w:bottom w:val="single" w:sz="4" w:space="0" w:color="auto"/>
              <w:right w:val="single" w:sz="4" w:space="0" w:color="auto"/>
            </w:tcBorders>
            <w:shd w:val="clear" w:color="auto" w:fill="auto"/>
            <w:noWrap/>
            <w:vAlign w:val="center"/>
            <w:hideMark/>
          </w:tcPr>
          <w:p w14:paraId="26E8810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0,45</w:t>
            </w:r>
          </w:p>
        </w:tc>
        <w:tc>
          <w:tcPr>
            <w:tcW w:w="1304" w:type="dxa"/>
            <w:tcBorders>
              <w:top w:val="nil"/>
              <w:left w:val="nil"/>
              <w:bottom w:val="single" w:sz="4" w:space="0" w:color="auto"/>
              <w:right w:val="single" w:sz="4" w:space="0" w:color="auto"/>
            </w:tcBorders>
            <w:shd w:val="clear" w:color="auto" w:fill="auto"/>
            <w:noWrap/>
            <w:vAlign w:val="center"/>
            <w:hideMark/>
          </w:tcPr>
          <w:p w14:paraId="40AB91C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0,55</w:t>
            </w:r>
          </w:p>
        </w:tc>
      </w:tr>
      <w:tr w:rsidR="00BF12D5" w:rsidRPr="00BD0223" w14:paraId="06EF6599"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E0ADF9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ROSA DE VITERBO</w:t>
            </w:r>
          </w:p>
        </w:tc>
        <w:tc>
          <w:tcPr>
            <w:tcW w:w="1304" w:type="dxa"/>
            <w:tcBorders>
              <w:top w:val="nil"/>
              <w:left w:val="nil"/>
              <w:bottom w:val="single" w:sz="4" w:space="0" w:color="auto"/>
              <w:right w:val="single" w:sz="4" w:space="0" w:color="auto"/>
            </w:tcBorders>
            <w:shd w:val="clear" w:color="auto" w:fill="auto"/>
            <w:noWrap/>
            <w:vAlign w:val="center"/>
            <w:hideMark/>
          </w:tcPr>
          <w:p w14:paraId="2230BB2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4,22</w:t>
            </w:r>
          </w:p>
        </w:tc>
        <w:tc>
          <w:tcPr>
            <w:tcW w:w="1304" w:type="dxa"/>
            <w:tcBorders>
              <w:top w:val="nil"/>
              <w:left w:val="nil"/>
              <w:bottom w:val="single" w:sz="4" w:space="0" w:color="auto"/>
              <w:right w:val="single" w:sz="4" w:space="0" w:color="auto"/>
            </w:tcBorders>
            <w:shd w:val="clear" w:color="auto" w:fill="auto"/>
            <w:noWrap/>
            <w:vAlign w:val="center"/>
            <w:hideMark/>
          </w:tcPr>
          <w:p w14:paraId="4287FD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3,56</w:t>
            </w:r>
          </w:p>
        </w:tc>
        <w:tc>
          <w:tcPr>
            <w:tcW w:w="1304" w:type="dxa"/>
            <w:tcBorders>
              <w:top w:val="nil"/>
              <w:left w:val="nil"/>
              <w:bottom w:val="single" w:sz="4" w:space="0" w:color="auto"/>
              <w:right w:val="single" w:sz="4" w:space="0" w:color="auto"/>
            </w:tcBorders>
            <w:shd w:val="clear" w:color="auto" w:fill="auto"/>
            <w:noWrap/>
            <w:vAlign w:val="center"/>
            <w:hideMark/>
          </w:tcPr>
          <w:p w14:paraId="760CD5F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3,72</w:t>
            </w:r>
          </w:p>
        </w:tc>
        <w:tc>
          <w:tcPr>
            <w:tcW w:w="1304" w:type="dxa"/>
            <w:tcBorders>
              <w:top w:val="nil"/>
              <w:left w:val="nil"/>
              <w:bottom w:val="single" w:sz="4" w:space="0" w:color="auto"/>
              <w:right w:val="single" w:sz="4" w:space="0" w:color="auto"/>
            </w:tcBorders>
            <w:shd w:val="clear" w:color="auto" w:fill="auto"/>
            <w:noWrap/>
            <w:vAlign w:val="center"/>
            <w:hideMark/>
          </w:tcPr>
          <w:p w14:paraId="6579A65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3,38</w:t>
            </w:r>
          </w:p>
        </w:tc>
      </w:tr>
      <w:tr w:rsidR="00BF12D5" w:rsidRPr="00BD0223" w14:paraId="59FFE7E1"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9195A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 SALETE</w:t>
            </w:r>
          </w:p>
        </w:tc>
        <w:tc>
          <w:tcPr>
            <w:tcW w:w="1304" w:type="dxa"/>
            <w:tcBorders>
              <w:top w:val="nil"/>
              <w:left w:val="nil"/>
              <w:bottom w:val="single" w:sz="4" w:space="0" w:color="auto"/>
              <w:right w:val="single" w:sz="4" w:space="0" w:color="auto"/>
            </w:tcBorders>
            <w:shd w:val="clear" w:color="auto" w:fill="auto"/>
            <w:noWrap/>
            <w:vAlign w:val="center"/>
            <w:hideMark/>
          </w:tcPr>
          <w:p w14:paraId="4CA16D4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0,38</w:t>
            </w:r>
          </w:p>
        </w:tc>
        <w:tc>
          <w:tcPr>
            <w:tcW w:w="1304" w:type="dxa"/>
            <w:tcBorders>
              <w:top w:val="nil"/>
              <w:left w:val="nil"/>
              <w:bottom w:val="single" w:sz="4" w:space="0" w:color="auto"/>
              <w:right w:val="single" w:sz="4" w:space="0" w:color="auto"/>
            </w:tcBorders>
            <w:shd w:val="clear" w:color="auto" w:fill="auto"/>
            <w:noWrap/>
            <w:vAlign w:val="center"/>
            <w:hideMark/>
          </w:tcPr>
          <w:p w14:paraId="67EA4FF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0,61</w:t>
            </w:r>
          </w:p>
        </w:tc>
        <w:tc>
          <w:tcPr>
            <w:tcW w:w="1304" w:type="dxa"/>
            <w:tcBorders>
              <w:top w:val="nil"/>
              <w:left w:val="nil"/>
              <w:bottom w:val="single" w:sz="4" w:space="0" w:color="auto"/>
              <w:right w:val="single" w:sz="4" w:space="0" w:color="auto"/>
            </w:tcBorders>
            <w:shd w:val="clear" w:color="auto" w:fill="auto"/>
            <w:noWrap/>
            <w:vAlign w:val="center"/>
            <w:hideMark/>
          </w:tcPr>
          <w:p w14:paraId="230A13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0,54</w:t>
            </w:r>
          </w:p>
        </w:tc>
        <w:tc>
          <w:tcPr>
            <w:tcW w:w="1304" w:type="dxa"/>
            <w:tcBorders>
              <w:top w:val="nil"/>
              <w:left w:val="nil"/>
              <w:bottom w:val="single" w:sz="4" w:space="0" w:color="auto"/>
              <w:right w:val="single" w:sz="4" w:space="0" w:color="auto"/>
            </w:tcBorders>
            <w:shd w:val="clear" w:color="auto" w:fill="auto"/>
            <w:noWrap/>
            <w:vAlign w:val="center"/>
            <w:hideMark/>
          </w:tcPr>
          <w:p w14:paraId="549E5A6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0,49</w:t>
            </w:r>
          </w:p>
        </w:tc>
      </w:tr>
      <w:tr w:rsidR="00BF12D5" w:rsidRPr="00BD0223" w14:paraId="15239978"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96F8C3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SANTANA DA PONTE PENSA</w:t>
            </w:r>
          </w:p>
        </w:tc>
        <w:tc>
          <w:tcPr>
            <w:tcW w:w="1304" w:type="dxa"/>
            <w:tcBorders>
              <w:top w:val="nil"/>
              <w:left w:val="nil"/>
              <w:bottom w:val="single" w:sz="4" w:space="0" w:color="auto"/>
              <w:right w:val="single" w:sz="4" w:space="0" w:color="auto"/>
            </w:tcBorders>
            <w:shd w:val="clear" w:color="auto" w:fill="auto"/>
            <w:noWrap/>
            <w:vAlign w:val="center"/>
            <w:hideMark/>
          </w:tcPr>
          <w:p w14:paraId="5763D06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0,27</w:t>
            </w:r>
          </w:p>
        </w:tc>
        <w:tc>
          <w:tcPr>
            <w:tcW w:w="1304" w:type="dxa"/>
            <w:tcBorders>
              <w:top w:val="nil"/>
              <w:left w:val="nil"/>
              <w:bottom w:val="single" w:sz="4" w:space="0" w:color="auto"/>
              <w:right w:val="single" w:sz="4" w:space="0" w:color="auto"/>
            </w:tcBorders>
            <w:shd w:val="clear" w:color="auto" w:fill="auto"/>
            <w:noWrap/>
            <w:vAlign w:val="center"/>
            <w:hideMark/>
          </w:tcPr>
          <w:p w14:paraId="2B3F143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0,19</w:t>
            </w:r>
          </w:p>
        </w:tc>
        <w:tc>
          <w:tcPr>
            <w:tcW w:w="1304" w:type="dxa"/>
            <w:tcBorders>
              <w:top w:val="nil"/>
              <w:left w:val="nil"/>
              <w:bottom w:val="single" w:sz="4" w:space="0" w:color="auto"/>
              <w:right w:val="single" w:sz="4" w:space="0" w:color="auto"/>
            </w:tcBorders>
            <w:shd w:val="clear" w:color="auto" w:fill="auto"/>
            <w:noWrap/>
            <w:vAlign w:val="center"/>
            <w:hideMark/>
          </w:tcPr>
          <w:p w14:paraId="2DF7C4D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0,19</w:t>
            </w:r>
          </w:p>
        </w:tc>
        <w:tc>
          <w:tcPr>
            <w:tcW w:w="1304" w:type="dxa"/>
            <w:tcBorders>
              <w:top w:val="nil"/>
              <w:left w:val="nil"/>
              <w:bottom w:val="single" w:sz="4" w:space="0" w:color="auto"/>
              <w:right w:val="single" w:sz="4" w:space="0" w:color="auto"/>
            </w:tcBorders>
            <w:shd w:val="clear" w:color="auto" w:fill="auto"/>
            <w:noWrap/>
            <w:vAlign w:val="center"/>
            <w:hideMark/>
          </w:tcPr>
          <w:p w14:paraId="154863A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0,20</w:t>
            </w:r>
          </w:p>
        </w:tc>
      </w:tr>
      <w:tr w:rsidR="00BF12D5" w:rsidRPr="00BD0223" w14:paraId="52D9340D"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1C352F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SANTO ANTONIO DA ALEGRIA</w:t>
            </w:r>
          </w:p>
        </w:tc>
        <w:tc>
          <w:tcPr>
            <w:tcW w:w="1304" w:type="dxa"/>
            <w:tcBorders>
              <w:top w:val="nil"/>
              <w:left w:val="nil"/>
              <w:bottom w:val="single" w:sz="4" w:space="0" w:color="auto"/>
              <w:right w:val="single" w:sz="4" w:space="0" w:color="auto"/>
            </w:tcBorders>
            <w:shd w:val="clear" w:color="auto" w:fill="auto"/>
            <w:noWrap/>
            <w:vAlign w:val="center"/>
            <w:hideMark/>
          </w:tcPr>
          <w:p w14:paraId="0D533E7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1,95</w:t>
            </w:r>
          </w:p>
        </w:tc>
        <w:tc>
          <w:tcPr>
            <w:tcW w:w="1304" w:type="dxa"/>
            <w:tcBorders>
              <w:top w:val="nil"/>
              <w:left w:val="nil"/>
              <w:bottom w:val="single" w:sz="4" w:space="0" w:color="auto"/>
              <w:right w:val="single" w:sz="4" w:space="0" w:color="auto"/>
            </w:tcBorders>
            <w:shd w:val="clear" w:color="auto" w:fill="auto"/>
            <w:noWrap/>
            <w:vAlign w:val="center"/>
            <w:hideMark/>
          </w:tcPr>
          <w:p w14:paraId="4D90994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2,26</w:t>
            </w:r>
          </w:p>
        </w:tc>
        <w:tc>
          <w:tcPr>
            <w:tcW w:w="1304" w:type="dxa"/>
            <w:tcBorders>
              <w:top w:val="nil"/>
              <w:left w:val="nil"/>
              <w:bottom w:val="single" w:sz="4" w:space="0" w:color="auto"/>
              <w:right w:val="single" w:sz="4" w:space="0" w:color="auto"/>
            </w:tcBorders>
            <w:shd w:val="clear" w:color="auto" w:fill="auto"/>
            <w:noWrap/>
            <w:vAlign w:val="center"/>
            <w:hideMark/>
          </w:tcPr>
          <w:p w14:paraId="3F53F84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2,18</w:t>
            </w:r>
          </w:p>
        </w:tc>
        <w:tc>
          <w:tcPr>
            <w:tcW w:w="1304" w:type="dxa"/>
            <w:tcBorders>
              <w:top w:val="nil"/>
              <w:left w:val="nil"/>
              <w:bottom w:val="single" w:sz="4" w:space="0" w:color="auto"/>
              <w:right w:val="single" w:sz="4" w:space="0" w:color="auto"/>
            </w:tcBorders>
            <w:shd w:val="clear" w:color="auto" w:fill="auto"/>
            <w:noWrap/>
            <w:vAlign w:val="center"/>
            <w:hideMark/>
          </w:tcPr>
          <w:p w14:paraId="136989D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2,29</w:t>
            </w:r>
          </w:p>
        </w:tc>
      </w:tr>
      <w:tr w:rsidR="00BF12D5" w:rsidRPr="00BD0223" w14:paraId="0E8C264B"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1AEACB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FRANCISCO</w:t>
            </w:r>
          </w:p>
        </w:tc>
        <w:tc>
          <w:tcPr>
            <w:tcW w:w="1304" w:type="dxa"/>
            <w:tcBorders>
              <w:top w:val="nil"/>
              <w:left w:val="nil"/>
              <w:bottom w:val="single" w:sz="4" w:space="0" w:color="auto"/>
              <w:right w:val="single" w:sz="4" w:space="0" w:color="auto"/>
            </w:tcBorders>
            <w:shd w:val="clear" w:color="auto" w:fill="auto"/>
            <w:noWrap/>
            <w:vAlign w:val="center"/>
            <w:hideMark/>
          </w:tcPr>
          <w:p w14:paraId="5525BC9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0,34</w:t>
            </w:r>
          </w:p>
        </w:tc>
        <w:tc>
          <w:tcPr>
            <w:tcW w:w="1304" w:type="dxa"/>
            <w:tcBorders>
              <w:top w:val="nil"/>
              <w:left w:val="nil"/>
              <w:bottom w:val="single" w:sz="4" w:space="0" w:color="auto"/>
              <w:right w:val="single" w:sz="4" w:space="0" w:color="auto"/>
            </w:tcBorders>
            <w:shd w:val="clear" w:color="auto" w:fill="auto"/>
            <w:noWrap/>
            <w:vAlign w:val="center"/>
            <w:hideMark/>
          </w:tcPr>
          <w:p w14:paraId="23C065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0,29</w:t>
            </w:r>
          </w:p>
        </w:tc>
        <w:tc>
          <w:tcPr>
            <w:tcW w:w="1304" w:type="dxa"/>
            <w:tcBorders>
              <w:top w:val="nil"/>
              <w:left w:val="nil"/>
              <w:bottom w:val="single" w:sz="4" w:space="0" w:color="auto"/>
              <w:right w:val="single" w:sz="4" w:space="0" w:color="auto"/>
            </w:tcBorders>
            <w:shd w:val="clear" w:color="auto" w:fill="auto"/>
            <w:noWrap/>
            <w:vAlign w:val="center"/>
            <w:hideMark/>
          </w:tcPr>
          <w:p w14:paraId="270613F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0,25</w:t>
            </w:r>
          </w:p>
        </w:tc>
        <w:tc>
          <w:tcPr>
            <w:tcW w:w="1304" w:type="dxa"/>
            <w:tcBorders>
              <w:top w:val="nil"/>
              <w:left w:val="nil"/>
              <w:bottom w:val="single" w:sz="4" w:space="0" w:color="auto"/>
              <w:right w:val="single" w:sz="4" w:space="0" w:color="auto"/>
            </w:tcBorders>
            <w:shd w:val="clear" w:color="auto" w:fill="auto"/>
            <w:noWrap/>
            <w:vAlign w:val="center"/>
            <w:hideMark/>
          </w:tcPr>
          <w:p w14:paraId="2F37E65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0,30</w:t>
            </w:r>
          </w:p>
        </w:tc>
      </w:tr>
      <w:tr w:rsidR="00BF12D5" w:rsidRPr="00BD0223" w14:paraId="41A3E175"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1A5D5C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JOAO DE IRACEMA</w:t>
            </w:r>
          </w:p>
        </w:tc>
        <w:tc>
          <w:tcPr>
            <w:tcW w:w="1304" w:type="dxa"/>
            <w:tcBorders>
              <w:top w:val="nil"/>
              <w:left w:val="nil"/>
              <w:bottom w:val="single" w:sz="4" w:space="0" w:color="auto"/>
              <w:right w:val="single" w:sz="4" w:space="0" w:color="auto"/>
            </w:tcBorders>
            <w:shd w:val="clear" w:color="auto" w:fill="auto"/>
            <w:noWrap/>
            <w:vAlign w:val="center"/>
            <w:hideMark/>
          </w:tcPr>
          <w:p w14:paraId="4207E9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0,16</w:t>
            </w:r>
          </w:p>
        </w:tc>
        <w:tc>
          <w:tcPr>
            <w:tcW w:w="1304" w:type="dxa"/>
            <w:tcBorders>
              <w:top w:val="nil"/>
              <w:left w:val="nil"/>
              <w:bottom w:val="single" w:sz="4" w:space="0" w:color="auto"/>
              <w:right w:val="single" w:sz="4" w:space="0" w:color="auto"/>
            </w:tcBorders>
            <w:shd w:val="clear" w:color="auto" w:fill="auto"/>
            <w:noWrap/>
            <w:vAlign w:val="center"/>
            <w:hideMark/>
          </w:tcPr>
          <w:p w14:paraId="4484477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0,14</w:t>
            </w:r>
          </w:p>
        </w:tc>
        <w:tc>
          <w:tcPr>
            <w:tcW w:w="1304" w:type="dxa"/>
            <w:tcBorders>
              <w:top w:val="nil"/>
              <w:left w:val="nil"/>
              <w:bottom w:val="single" w:sz="4" w:space="0" w:color="auto"/>
              <w:right w:val="single" w:sz="4" w:space="0" w:color="auto"/>
            </w:tcBorders>
            <w:shd w:val="clear" w:color="auto" w:fill="auto"/>
            <w:noWrap/>
            <w:vAlign w:val="center"/>
            <w:hideMark/>
          </w:tcPr>
          <w:p w14:paraId="21B5FB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0,15</w:t>
            </w:r>
          </w:p>
        </w:tc>
        <w:tc>
          <w:tcPr>
            <w:tcW w:w="1304" w:type="dxa"/>
            <w:tcBorders>
              <w:top w:val="nil"/>
              <w:left w:val="nil"/>
              <w:bottom w:val="single" w:sz="4" w:space="0" w:color="auto"/>
              <w:right w:val="single" w:sz="4" w:space="0" w:color="auto"/>
            </w:tcBorders>
            <w:shd w:val="clear" w:color="auto" w:fill="auto"/>
            <w:noWrap/>
            <w:vAlign w:val="center"/>
            <w:hideMark/>
          </w:tcPr>
          <w:p w14:paraId="5D8490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0,14</w:t>
            </w:r>
          </w:p>
        </w:tc>
      </w:tr>
      <w:tr w:rsidR="00BF12D5" w:rsidRPr="00BD0223" w14:paraId="2AE064CF"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70D27E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JOAQUIM DA BARRA</w:t>
            </w:r>
          </w:p>
        </w:tc>
        <w:tc>
          <w:tcPr>
            <w:tcW w:w="1304" w:type="dxa"/>
            <w:tcBorders>
              <w:top w:val="nil"/>
              <w:left w:val="nil"/>
              <w:bottom w:val="single" w:sz="4" w:space="0" w:color="auto"/>
              <w:right w:val="single" w:sz="4" w:space="0" w:color="auto"/>
            </w:tcBorders>
            <w:shd w:val="clear" w:color="auto" w:fill="auto"/>
            <w:noWrap/>
            <w:vAlign w:val="center"/>
            <w:hideMark/>
          </w:tcPr>
          <w:p w14:paraId="5EBFF5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28,79</w:t>
            </w:r>
          </w:p>
        </w:tc>
        <w:tc>
          <w:tcPr>
            <w:tcW w:w="1304" w:type="dxa"/>
            <w:tcBorders>
              <w:top w:val="nil"/>
              <w:left w:val="nil"/>
              <w:bottom w:val="single" w:sz="4" w:space="0" w:color="auto"/>
              <w:right w:val="single" w:sz="4" w:space="0" w:color="auto"/>
            </w:tcBorders>
            <w:shd w:val="clear" w:color="auto" w:fill="auto"/>
            <w:noWrap/>
            <w:vAlign w:val="center"/>
            <w:hideMark/>
          </w:tcPr>
          <w:p w14:paraId="0549488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27,71</w:t>
            </w:r>
          </w:p>
        </w:tc>
        <w:tc>
          <w:tcPr>
            <w:tcW w:w="1304" w:type="dxa"/>
            <w:tcBorders>
              <w:top w:val="nil"/>
              <w:left w:val="nil"/>
              <w:bottom w:val="single" w:sz="4" w:space="0" w:color="auto"/>
              <w:right w:val="single" w:sz="4" w:space="0" w:color="auto"/>
            </w:tcBorders>
            <w:shd w:val="clear" w:color="auto" w:fill="auto"/>
            <w:noWrap/>
            <w:vAlign w:val="center"/>
            <w:hideMark/>
          </w:tcPr>
          <w:p w14:paraId="676F4F6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28,16</w:t>
            </w:r>
          </w:p>
        </w:tc>
        <w:tc>
          <w:tcPr>
            <w:tcW w:w="1304" w:type="dxa"/>
            <w:tcBorders>
              <w:top w:val="nil"/>
              <w:left w:val="nil"/>
              <w:bottom w:val="single" w:sz="4" w:space="0" w:color="auto"/>
              <w:right w:val="single" w:sz="4" w:space="0" w:color="auto"/>
            </w:tcBorders>
            <w:shd w:val="clear" w:color="auto" w:fill="auto"/>
            <w:noWrap/>
            <w:vAlign w:val="center"/>
            <w:hideMark/>
          </w:tcPr>
          <w:p w14:paraId="3447359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29,97</w:t>
            </w:r>
          </w:p>
        </w:tc>
      </w:tr>
      <w:tr w:rsidR="00BF12D5" w:rsidRPr="00BD0223" w14:paraId="16782389"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D88297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JOSE DA BELA VISTA</w:t>
            </w:r>
          </w:p>
        </w:tc>
        <w:tc>
          <w:tcPr>
            <w:tcW w:w="1304" w:type="dxa"/>
            <w:tcBorders>
              <w:top w:val="nil"/>
              <w:left w:val="nil"/>
              <w:bottom w:val="single" w:sz="4" w:space="0" w:color="auto"/>
              <w:right w:val="single" w:sz="4" w:space="0" w:color="auto"/>
            </w:tcBorders>
            <w:shd w:val="clear" w:color="auto" w:fill="auto"/>
            <w:noWrap/>
            <w:vAlign w:val="center"/>
            <w:hideMark/>
          </w:tcPr>
          <w:p w14:paraId="6BAAE8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4,45</w:t>
            </w:r>
          </w:p>
        </w:tc>
        <w:tc>
          <w:tcPr>
            <w:tcW w:w="1304" w:type="dxa"/>
            <w:tcBorders>
              <w:top w:val="nil"/>
              <w:left w:val="nil"/>
              <w:bottom w:val="single" w:sz="4" w:space="0" w:color="auto"/>
              <w:right w:val="single" w:sz="4" w:space="0" w:color="auto"/>
            </w:tcBorders>
            <w:shd w:val="clear" w:color="auto" w:fill="auto"/>
            <w:noWrap/>
            <w:vAlign w:val="center"/>
            <w:hideMark/>
          </w:tcPr>
          <w:p w14:paraId="16B40FE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4,79</w:t>
            </w:r>
          </w:p>
        </w:tc>
        <w:tc>
          <w:tcPr>
            <w:tcW w:w="1304" w:type="dxa"/>
            <w:tcBorders>
              <w:top w:val="nil"/>
              <w:left w:val="nil"/>
              <w:bottom w:val="single" w:sz="4" w:space="0" w:color="auto"/>
              <w:right w:val="single" w:sz="4" w:space="0" w:color="auto"/>
            </w:tcBorders>
            <w:shd w:val="clear" w:color="auto" w:fill="auto"/>
            <w:noWrap/>
            <w:vAlign w:val="center"/>
            <w:hideMark/>
          </w:tcPr>
          <w:p w14:paraId="14D1B0A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5,01</w:t>
            </w:r>
          </w:p>
        </w:tc>
        <w:tc>
          <w:tcPr>
            <w:tcW w:w="1304" w:type="dxa"/>
            <w:tcBorders>
              <w:top w:val="nil"/>
              <w:left w:val="nil"/>
              <w:bottom w:val="single" w:sz="4" w:space="0" w:color="auto"/>
              <w:right w:val="single" w:sz="4" w:space="0" w:color="auto"/>
            </w:tcBorders>
            <w:shd w:val="clear" w:color="auto" w:fill="auto"/>
            <w:noWrap/>
            <w:vAlign w:val="center"/>
            <w:hideMark/>
          </w:tcPr>
          <w:p w14:paraId="4B73044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5,96</w:t>
            </w:r>
          </w:p>
        </w:tc>
      </w:tr>
      <w:tr w:rsidR="00BF12D5" w:rsidRPr="00BD0223" w14:paraId="270327F0"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9F80F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JOSE DO RIO PRETO</w:t>
            </w:r>
          </w:p>
        </w:tc>
        <w:tc>
          <w:tcPr>
            <w:tcW w:w="1304" w:type="dxa"/>
            <w:tcBorders>
              <w:top w:val="nil"/>
              <w:left w:val="nil"/>
              <w:bottom w:val="single" w:sz="4" w:space="0" w:color="auto"/>
              <w:right w:val="single" w:sz="4" w:space="0" w:color="auto"/>
            </w:tcBorders>
            <w:shd w:val="clear" w:color="auto" w:fill="auto"/>
            <w:noWrap/>
            <w:vAlign w:val="center"/>
            <w:hideMark/>
          </w:tcPr>
          <w:p w14:paraId="5C735A4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218,65</w:t>
            </w:r>
          </w:p>
        </w:tc>
        <w:tc>
          <w:tcPr>
            <w:tcW w:w="1304" w:type="dxa"/>
            <w:tcBorders>
              <w:top w:val="nil"/>
              <w:left w:val="nil"/>
              <w:bottom w:val="single" w:sz="4" w:space="0" w:color="auto"/>
              <w:right w:val="single" w:sz="4" w:space="0" w:color="auto"/>
            </w:tcBorders>
            <w:shd w:val="clear" w:color="auto" w:fill="auto"/>
            <w:noWrap/>
            <w:vAlign w:val="center"/>
            <w:hideMark/>
          </w:tcPr>
          <w:p w14:paraId="505A2AC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189,29</w:t>
            </w:r>
          </w:p>
        </w:tc>
        <w:tc>
          <w:tcPr>
            <w:tcW w:w="1304" w:type="dxa"/>
            <w:tcBorders>
              <w:top w:val="nil"/>
              <w:left w:val="nil"/>
              <w:bottom w:val="single" w:sz="4" w:space="0" w:color="auto"/>
              <w:right w:val="single" w:sz="4" w:space="0" w:color="auto"/>
            </w:tcBorders>
            <w:shd w:val="clear" w:color="auto" w:fill="auto"/>
            <w:noWrap/>
            <w:vAlign w:val="center"/>
            <w:hideMark/>
          </w:tcPr>
          <w:p w14:paraId="2E290D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187,27</w:t>
            </w:r>
          </w:p>
        </w:tc>
        <w:tc>
          <w:tcPr>
            <w:tcW w:w="1304" w:type="dxa"/>
            <w:tcBorders>
              <w:top w:val="nil"/>
              <w:left w:val="nil"/>
              <w:bottom w:val="single" w:sz="4" w:space="0" w:color="auto"/>
              <w:right w:val="single" w:sz="4" w:space="0" w:color="auto"/>
            </w:tcBorders>
            <w:shd w:val="clear" w:color="auto" w:fill="auto"/>
            <w:noWrap/>
            <w:vAlign w:val="center"/>
            <w:hideMark/>
          </w:tcPr>
          <w:p w14:paraId="77FFAFA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197,29</w:t>
            </w:r>
          </w:p>
        </w:tc>
      </w:tr>
      <w:tr w:rsidR="00BF12D5" w:rsidRPr="00BD0223" w14:paraId="1709A6C8"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F1FDC8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SAO SIMAO</w:t>
            </w:r>
          </w:p>
        </w:tc>
        <w:tc>
          <w:tcPr>
            <w:tcW w:w="1304" w:type="dxa"/>
            <w:tcBorders>
              <w:top w:val="nil"/>
              <w:left w:val="nil"/>
              <w:bottom w:val="single" w:sz="4" w:space="0" w:color="auto"/>
              <w:right w:val="single" w:sz="4" w:space="0" w:color="auto"/>
            </w:tcBorders>
            <w:shd w:val="clear" w:color="auto" w:fill="auto"/>
            <w:noWrap/>
            <w:vAlign w:val="center"/>
            <w:hideMark/>
          </w:tcPr>
          <w:p w14:paraId="445D208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39,77</w:t>
            </w:r>
          </w:p>
        </w:tc>
        <w:tc>
          <w:tcPr>
            <w:tcW w:w="1304" w:type="dxa"/>
            <w:tcBorders>
              <w:top w:val="nil"/>
              <w:left w:val="nil"/>
              <w:bottom w:val="single" w:sz="4" w:space="0" w:color="auto"/>
              <w:right w:val="single" w:sz="4" w:space="0" w:color="auto"/>
            </w:tcBorders>
            <w:shd w:val="clear" w:color="auto" w:fill="auto"/>
            <w:noWrap/>
            <w:vAlign w:val="center"/>
            <w:hideMark/>
          </w:tcPr>
          <w:p w14:paraId="43B5DF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35,69</w:t>
            </w:r>
          </w:p>
        </w:tc>
        <w:tc>
          <w:tcPr>
            <w:tcW w:w="1304" w:type="dxa"/>
            <w:tcBorders>
              <w:top w:val="nil"/>
              <w:left w:val="nil"/>
              <w:bottom w:val="single" w:sz="4" w:space="0" w:color="auto"/>
              <w:right w:val="single" w:sz="4" w:space="0" w:color="auto"/>
            </w:tcBorders>
            <w:shd w:val="clear" w:color="auto" w:fill="auto"/>
            <w:noWrap/>
            <w:vAlign w:val="center"/>
            <w:hideMark/>
          </w:tcPr>
          <w:p w14:paraId="33440A9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33,83</w:t>
            </w:r>
          </w:p>
        </w:tc>
        <w:tc>
          <w:tcPr>
            <w:tcW w:w="1304" w:type="dxa"/>
            <w:tcBorders>
              <w:top w:val="nil"/>
              <w:left w:val="nil"/>
              <w:bottom w:val="single" w:sz="4" w:space="0" w:color="auto"/>
              <w:right w:val="single" w:sz="4" w:space="0" w:color="auto"/>
            </w:tcBorders>
            <w:shd w:val="clear" w:color="auto" w:fill="auto"/>
            <w:noWrap/>
            <w:vAlign w:val="center"/>
            <w:hideMark/>
          </w:tcPr>
          <w:p w14:paraId="54568A6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33,98</w:t>
            </w:r>
          </w:p>
        </w:tc>
      </w:tr>
      <w:tr w:rsidR="00BF12D5" w:rsidRPr="00BD0223" w14:paraId="2A69EC1D"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850140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SEBASTIANOPOLIS DO SUL</w:t>
            </w:r>
          </w:p>
        </w:tc>
        <w:tc>
          <w:tcPr>
            <w:tcW w:w="1304" w:type="dxa"/>
            <w:tcBorders>
              <w:top w:val="nil"/>
              <w:left w:val="nil"/>
              <w:bottom w:val="single" w:sz="4" w:space="0" w:color="auto"/>
              <w:right w:val="single" w:sz="4" w:space="0" w:color="auto"/>
            </w:tcBorders>
            <w:shd w:val="clear" w:color="auto" w:fill="auto"/>
            <w:noWrap/>
            <w:vAlign w:val="center"/>
            <w:hideMark/>
          </w:tcPr>
          <w:p w14:paraId="631E4F4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4,35</w:t>
            </w:r>
          </w:p>
        </w:tc>
        <w:tc>
          <w:tcPr>
            <w:tcW w:w="1304" w:type="dxa"/>
            <w:tcBorders>
              <w:top w:val="nil"/>
              <w:left w:val="nil"/>
              <w:bottom w:val="single" w:sz="4" w:space="0" w:color="auto"/>
              <w:right w:val="single" w:sz="4" w:space="0" w:color="auto"/>
            </w:tcBorders>
            <w:shd w:val="clear" w:color="auto" w:fill="auto"/>
            <w:noWrap/>
            <w:vAlign w:val="center"/>
            <w:hideMark/>
          </w:tcPr>
          <w:p w14:paraId="1CD429B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15,18</w:t>
            </w:r>
          </w:p>
        </w:tc>
        <w:tc>
          <w:tcPr>
            <w:tcW w:w="1304" w:type="dxa"/>
            <w:tcBorders>
              <w:top w:val="nil"/>
              <w:left w:val="nil"/>
              <w:bottom w:val="single" w:sz="4" w:space="0" w:color="auto"/>
              <w:right w:val="single" w:sz="4" w:space="0" w:color="auto"/>
            </w:tcBorders>
            <w:shd w:val="clear" w:color="auto" w:fill="auto"/>
            <w:noWrap/>
            <w:vAlign w:val="center"/>
            <w:hideMark/>
          </w:tcPr>
          <w:p w14:paraId="1252146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16,11</w:t>
            </w:r>
          </w:p>
        </w:tc>
        <w:tc>
          <w:tcPr>
            <w:tcW w:w="1304" w:type="dxa"/>
            <w:tcBorders>
              <w:top w:val="nil"/>
              <w:left w:val="nil"/>
              <w:bottom w:val="single" w:sz="4" w:space="0" w:color="auto"/>
              <w:right w:val="single" w:sz="4" w:space="0" w:color="auto"/>
            </w:tcBorders>
            <w:shd w:val="clear" w:color="auto" w:fill="auto"/>
            <w:noWrap/>
            <w:vAlign w:val="center"/>
            <w:hideMark/>
          </w:tcPr>
          <w:p w14:paraId="71E6482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18,29</w:t>
            </w:r>
          </w:p>
        </w:tc>
      </w:tr>
      <w:tr w:rsidR="00BF12D5" w:rsidRPr="00BD0223" w14:paraId="7E12C81C"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C93CB0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SERRA AZUL</w:t>
            </w:r>
          </w:p>
        </w:tc>
        <w:tc>
          <w:tcPr>
            <w:tcW w:w="1304" w:type="dxa"/>
            <w:tcBorders>
              <w:top w:val="nil"/>
              <w:left w:val="nil"/>
              <w:bottom w:val="single" w:sz="4" w:space="0" w:color="auto"/>
              <w:right w:val="single" w:sz="4" w:space="0" w:color="auto"/>
            </w:tcBorders>
            <w:shd w:val="clear" w:color="auto" w:fill="auto"/>
            <w:noWrap/>
            <w:vAlign w:val="center"/>
            <w:hideMark/>
          </w:tcPr>
          <w:p w14:paraId="0CDFE79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0,78</w:t>
            </w:r>
          </w:p>
        </w:tc>
        <w:tc>
          <w:tcPr>
            <w:tcW w:w="1304" w:type="dxa"/>
            <w:tcBorders>
              <w:top w:val="nil"/>
              <w:left w:val="nil"/>
              <w:bottom w:val="single" w:sz="4" w:space="0" w:color="auto"/>
              <w:right w:val="single" w:sz="4" w:space="0" w:color="auto"/>
            </w:tcBorders>
            <w:shd w:val="clear" w:color="auto" w:fill="auto"/>
            <w:noWrap/>
            <w:vAlign w:val="center"/>
            <w:hideMark/>
          </w:tcPr>
          <w:p w14:paraId="04C459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0,60</w:t>
            </w:r>
          </w:p>
        </w:tc>
        <w:tc>
          <w:tcPr>
            <w:tcW w:w="1304" w:type="dxa"/>
            <w:tcBorders>
              <w:top w:val="nil"/>
              <w:left w:val="nil"/>
              <w:bottom w:val="single" w:sz="4" w:space="0" w:color="auto"/>
              <w:right w:val="single" w:sz="4" w:space="0" w:color="auto"/>
            </w:tcBorders>
            <w:shd w:val="clear" w:color="auto" w:fill="auto"/>
            <w:noWrap/>
            <w:vAlign w:val="center"/>
            <w:hideMark/>
          </w:tcPr>
          <w:p w14:paraId="7BB803C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0,56</w:t>
            </w:r>
          </w:p>
        </w:tc>
        <w:tc>
          <w:tcPr>
            <w:tcW w:w="1304" w:type="dxa"/>
            <w:tcBorders>
              <w:top w:val="nil"/>
              <w:left w:val="nil"/>
              <w:bottom w:val="single" w:sz="4" w:space="0" w:color="auto"/>
              <w:right w:val="single" w:sz="4" w:space="0" w:color="auto"/>
            </w:tcBorders>
            <w:shd w:val="clear" w:color="auto" w:fill="auto"/>
            <w:noWrap/>
            <w:vAlign w:val="center"/>
            <w:hideMark/>
          </w:tcPr>
          <w:p w14:paraId="5D7574E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0,77</w:t>
            </w:r>
          </w:p>
        </w:tc>
      </w:tr>
      <w:tr w:rsidR="00BF12D5" w:rsidRPr="00BD0223" w14:paraId="4B3CC83D"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193E69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SERRANA</w:t>
            </w:r>
          </w:p>
        </w:tc>
        <w:tc>
          <w:tcPr>
            <w:tcW w:w="1304" w:type="dxa"/>
            <w:tcBorders>
              <w:top w:val="nil"/>
              <w:left w:val="nil"/>
              <w:bottom w:val="single" w:sz="4" w:space="0" w:color="auto"/>
              <w:right w:val="single" w:sz="4" w:space="0" w:color="auto"/>
            </w:tcBorders>
            <w:shd w:val="clear" w:color="auto" w:fill="auto"/>
            <w:noWrap/>
            <w:vAlign w:val="center"/>
            <w:hideMark/>
          </w:tcPr>
          <w:p w14:paraId="1201F19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20,08</w:t>
            </w:r>
          </w:p>
        </w:tc>
        <w:tc>
          <w:tcPr>
            <w:tcW w:w="1304" w:type="dxa"/>
            <w:tcBorders>
              <w:top w:val="nil"/>
              <w:left w:val="nil"/>
              <w:bottom w:val="single" w:sz="4" w:space="0" w:color="auto"/>
              <w:right w:val="single" w:sz="4" w:space="0" w:color="auto"/>
            </w:tcBorders>
            <w:shd w:val="clear" w:color="auto" w:fill="auto"/>
            <w:noWrap/>
            <w:vAlign w:val="center"/>
            <w:hideMark/>
          </w:tcPr>
          <w:p w14:paraId="6F9F0E2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20,63</w:t>
            </w:r>
          </w:p>
        </w:tc>
        <w:tc>
          <w:tcPr>
            <w:tcW w:w="1304" w:type="dxa"/>
            <w:tcBorders>
              <w:top w:val="nil"/>
              <w:left w:val="nil"/>
              <w:bottom w:val="single" w:sz="4" w:space="0" w:color="auto"/>
              <w:right w:val="single" w:sz="4" w:space="0" w:color="auto"/>
            </w:tcBorders>
            <w:shd w:val="clear" w:color="auto" w:fill="auto"/>
            <w:noWrap/>
            <w:vAlign w:val="center"/>
            <w:hideMark/>
          </w:tcPr>
          <w:p w14:paraId="43EF644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20,16</w:t>
            </w:r>
          </w:p>
        </w:tc>
        <w:tc>
          <w:tcPr>
            <w:tcW w:w="1304" w:type="dxa"/>
            <w:tcBorders>
              <w:top w:val="nil"/>
              <w:left w:val="nil"/>
              <w:bottom w:val="single" w:sz="4" w:space="0" w:color="auto"/>
              <w:right w:val="single" w:sz="4" w:space="0" w:color="auto"/>
            </w:tcBorders>
            <w:shd w:val="clear" w:color="auto" w:fill="auto"/>
            <w:noWrap/>
            <w:vAlign w:val="center"/>
            <w:hideMark/>
          </w:tcPr>
          <w:p w14:paraId="51E7F8B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18,55</w:t>
            </w:r>
          </w:p>
        </w:tc>
      </w:tr>
      <w:tr w:rsidR="00BF12D5" w:rsidRPr="00BD0223" w14:paraId="3D4B0948"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5DAA47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SERTAOZINHO</w:t>
            </w:r>
          </w:p>
        </w:tc>
        <w:tc>
          <w:tcPr>
            <w:tcW w:w="1304" w:type="dxa"/>
            <w:tcBorders>
              <w:top w:val="nil"/>
              <w:left w:val="nil"/>
              <w:bottom w:val="single" w:sz="4" w:space="0" w:color="auto"/>
              <w:right w:val="single" w:sz="4" w:space="0" w:color="auto"/>
            </w:tcBorders>
            <w:shd w:val="clear" w:color="auto" w:fill="auto"/>
            <w:noWrap/>
            <w:vAlign w:val="center"/>
            <w:hideMark/>
          </w:tcPr>
          <w:p w14:paraId="5FE5A24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55,79</w:t>
            </w:r>
          </w:p>
        </w:tc>
        <w:tc>
          <w:tcPr>
            <w:tcW w:w="1304" w:type="dxa"/>
            <w:tcBorders>
              <w:top w:val="nil"/>
              <w:left w:val="nil"/>
              <w:bottom w:val="single" w:sz="4" w:space="0" w:color="auto"/>
              <w:right w:val="single" w:sz="4" w:space="0" w:color="auto"/>
            </w:tcBorders>
            <w:shd w:val="clear" w:color="auto" w:fill="auto"/>
            <w:noWrap/>
            <w:vAlign w:val="center"/>
            <w:hideMark/>
          </w:tcPr>
          <w:p w14:paraId="078E9D3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61,62</w:t>
            </w:r>
          </w:p>
        </w:tc>
        <w:tc>
          <w:tcPr>
            <w:tcW w:w="1304" w:type="dxa"/>
            <w:tcBorders>
              <w:top w:val="nil"/>
              <w:left w:val="nil"/>
              <w:bottom w:val="single" w:sz="4" w:space="0" w:color="auto"/>
              <w:right w:val="single" w:sz="4" w:space="0" w:color="auto"/>
            </w:tcBorders>
            <w:shd w:val="clear" w:color="auto" w:fill="auto"/>
            <w:noWrap/>
            <w:vAlign w:val="center"/>
            <w:hideMark/>
          </w:tcPr>
          <w:p w14:paraId="0531F54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65,22</w:t>
            </w:r>
          </w:p>
        </w:tc>
        <w:tc>
          <w:tcPr>
            <w:tcW w:w="1304" w:type="dxa"/>
            <w:tcBorders>
              <w:top w:val="nil"/>
              <w:left w:val="nil"/>
              <w:bottom w:val="single" w:sz="4" w:space="0" w:color="auto"/>
              <w:right w:val="single" w:sz="4" w:space="0" w:color="auto"/>
            </w:tcBorders>
            <w:shd w:val="clear" w:color="auto" w:fill="auto"/>
            <w:noWrap/>
            <w:vAlign w:val="center"/>
            <w:hideMark/>
          </w:tcPr>
          <w:p w14:paraId="689BD51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63,47</w:t>
            </w:r>
          </w:p>
        </w:tc>
      </w:tr>
      <w:tr w:rsidR="00BF12D5" w:rsidRPr="00BD0223" w14:paraId="48E00C8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2AFE9E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SEVERINIA</w:t>
            </w:r>
          </w:p>
        </w:tc>
        <w:tc>
          <w:tcPr>
            <w:tcW w:w="1304" w:type="dxa"/>
            <w:tcBorders>
              <w:top w:val="nil"/>
              <w:left w:val="nil"/>
              <w:bottom w:val="single" w:sz="4" w:space="0" w:color="auto"/>
              <w:right w:val="single" w:sz="4" w:space="0" w:color="auto"/>
            </w:tcBorders>
            <w:shd w:val="clear" w:color="auto" w:fill="auto"/>
            <w:noWrap/>
            <w:vAlign w:val="center"/>
            <w:hideMark/>
          </w:tcPr>
          <w:p w14:paraId="31ACCEC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7,73</w:t>
            </w:r>
          </w:p>
        </w:tc>
        <w:tc>
          <w:tcPr>
            <w:tcW w:w="1304" w:type="dxa"/>
            <w:tcBorders>
              <w:top w:val="nil"/>
              <w:left w:val="nil"/>
              <w:bottom w:val="single" w:sz="4" w:space="0" w:color="auto"/>
              <w:right w:val="single" w:sz="4" w:space="0" w:color="auto"/>
            </w:tcBorders>
            <w:shd w:val="clear" w:color="auto" w:fill="auto"/>
            <w:noWrap/>
            <w:vAlign w:val="center"/>
            <w:hideMark/>
          </w:tcPr>
          <w:p w14:paraId="4D84B6C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6,04</w:t>
            </w:r>
          </w:p>
        </w:tc>
        <w:tc>
          <w:tcPr>
            <w:tcW w:w="1304" w:type="dxa"/>
            <w:tcBorders>
              <w:top w:val="nil"/>
              <w:left w:val="nil"/>
              <w:bottom w:val="single" w:sz="4" w:space="0" w:color="auto"/>
              <w:right w:val="single" w:sz="4" w:space="0" w:color="auto"/>
            </w:tcBorders>
            <w:shd w:val="clear" w:color="auto" w:fill="auto"/>
            <w:noWrap/>
            <w:vAlign w:val="center"/>
            <w:hideMark/>
          </w:tcPr>
          <w:p w14:paraId="7764DA0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7,30</w:t>
            </w:r>
          </w:p>
        </w:tc>
        <w:tc>
          <w:tcPr>
            <w:tcW w:w="1304" w:type="dxa"/>
            <w:tcBorders>
              <w:top w:val="nil"/>
              <w:left w:val="nil"/>
              <w:bottom w:val="single" w:sz="4" w:space="0" w:color="auto"/>
              <w:right w:val="single" w:sz="4" w:space="0" w:color="auto"/>
            </w:tcBorders>
            <w:shd w:val="clear" w:color="auto" w:fill="auto"/>
            <w:noWrap/>
            <w:vAlign w:val="center"/>
            <w:hideMark/>
          </w:tcPr>
          <w:p w14:paraId="730CB0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8,63</w:t>
            </w:r>
          </w:p>
        </w:tc>
      </w:tr>
      <w:tr w:rsidR="00BF12D5" w:rsidRPr="00BD0223" w14:paraId="5E4AA429"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564DE9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TABAPUA</w:t>
            </w:r>
          </w:p>
        </w:tc>
        <w:tc>
          <w:tcPr>
            <w:tcW w:w="1304" w:type="dxa"/>
            <w:tcBorders>
              <w:top w:val="nil"/>
              <w:left w:val="nil"/>
              <w:bottom w:val="single" w:sz="4" w:space="0" w:color="auto"/>
              <w:right w:val="single" w:sz="4" w:space="0" w:color="auto"/>
            </w:tcBorders>
            <w:shd w:val="clear" w:color="auto" w:fill="auto"/>
            <w:noWrap/>
            <w:vAlign w:val="center"/>
            <w:hideMark/>
          </w:tcPr>
          <w:p w14:paraId="05F3105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5,82</w:t>
            </w:r>
          </w:p>
        </w:tc>
        <w:tc>
          <w:tcPr>
            <w:tcW w:w="1304" w:type="dxa"/>
            <w:tcBorders>
              <w:top w:val="nil"/>
              <w:left w:val="nil"/>
              <w:bottom w:val="single" w:sz="4" w:space="0" w:color="auto"/>
              <w:right w:val="single" w:sz="4" w:space="0" w:color="auto"/>
            </w:tcBorders>
            <w:shd w:val="clear" w:color="auto" w:fill="auto"/>
            <w:noWrap/>
            <w:vAlign w:val="center"/>
            <w:hideMark/>
          </w:tcPr>
          <w:p w14:paraId="58C680F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4,55</w:t>
            </w:r>
          </w:p>
        </w:tc>
        <w:tc>
          <w:tcPr>
            <w:tcW w:w="1304" w:type="dxa"/>
            <w:tcBorders>
              <w:top w:val="nil"/>
              <w:left w:val="nil"/>
              <w:bottom w:val="single" w:sz="4" w:space="0" w:color="auto"/>
              <w:right w:val="single" w:sz="4" w:space="0" w:color="auto"/>
            </w:tcBorders>
            <w:shd w:val="clear" w:color="auto" w:fill="auto"/>
            <w:noWrap/>
            <w:vAlign w:val="center"/>
            <w:hideMark/>
          </w:tcPr>
          <w:p w14:paraId="524D854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4,17</w:t>
            </w:r>
          </w:p>
        </w:tc>
        <w:tc>
          <w:tcPr>
            <w:tcW w:w="1304" w:type="dxa"/>
            <w:tcBorders>
              <w:top w:val="nil"/>
              <w:left w:val="nil"/>
              <w:bottom w:val="single" w:sz="4" w:space="0" w:color="auto"/>
              <w:right w:val="single" w:sz="4" w:space="0" w:color="auto"/>
            </w:tcBorders>
            <w:shd w:val="clear" w:color="auto" w:fill="auto"/>
            <w:noWrap/>
            <w:vAlign w:val="center"/>
            <w:hideMark/>
          </w:tcPr>
          <w:p w14:paraId="02FDD1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3,56</w:t>
            </w:r>
          </w:p>
        </w:tc>
      </w:tr>
      <w:tr w:rsidR="00BF12D5" w:rsidRPr="00BD0223" w14:paraId="3C93E166"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7088A6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TAIACU</w:t>
            </w:r>
          </w:p>
        </w:tc>
        <w:tc>
          <w:tcPr>
            <w:tcW w:w="1304" w:type="dxa"/>
            <w:tcBorders>
              <w:top w:val="nil"/>
              <w:left w:val="nil"/>
              <w:bottom w:val="single" w:sz="4" w:space="0" w:color="auto"/>
              <w:right w:val="single" w:sz="4" w:space="0" w:color="auto"/>
            </w:tcBorders>
            <w:shd w:val="clear" w:color="auto" w:fill="auto"/>
            <w:noWrap/>
            <w:vAlign w:val="center"/>
            <w:hideMark/>
          </w:tcPr>
          <w:p w14:paraId="4557BD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0,85</w:t>
            </w:r>
          </w:p>
        </w:tc>
        <w:tc>
          <w:tcPr>
            <w:tcW w:w="1304" w:type="dxa"/>
            <w:tcBorders>
              <w:top w:val="nil"/>
              <w:left w:val="nil"/>
              <w:bottom w:val="single" w:sz="4" w:space="0" w:color="auto"/>
              <w:right w:val="single" w:sz="4" w:space="0" w:color="auto"/>
            </w:tcBorders>
            <w:shd w:val="clear" w:color="auto" w:fill="auto"/>
            <w:noWrap/>
            <w:vAlign w:val="center"/>
            <w:hideMark/>
          </w:tcPr>
          <w:p w14:paraId="5211BEA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0,87</w:t>
            </w:r>
          </w:p>
        </w:tc>
        <w:tc>
          <w:tcPr>
            <w:tcW w:w="1304" w:type="dxa"/>
            <w:tcBorders>
              <w:top w:val="nil"/>
              <w:left w:val="nil"/>
              <w:bottom w:val="single" w:sz="4" w:space="0" w:color="auto"/>
              <w:right w:val="single" w:sz="4" w:space="0" w:color="auto"/>
            </w:tcBorders>
            <w:shd w:val="clear" w:color="auto" w:fill="auto"/>
            <w:noWrap/>
            <w:vAlign w:val="center"/>
            <w:hideMark/>
          </w:tcPr>
          <w:p w14:paraId="0DCBA9E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0,92</w:t>
            </w:r>
          </w:p>
        </w:tc>
        <w:tc>
          <w:tcPr>
            <w:tcW w:w="1304" w:type="dxa"/>
            <w:tcBorders>
              <w:top w:val="nil"/>
              <w:left w:val="nil"/>
              <w:bottom w:val="single" w:sz="4" w:space="0" w:color="auto"/>
              <w:right w:val="single" w:sz="4" w:space="0" w:color="auto"/>
            </w:tcBorders>
            <w:shd w:val="clear" w:color="auto" w:fill="auto"/>
            <w:noWrap/>
            <w:vAlign w:val="center"/>
            <w:hideMark/>
          </w:tcPr>
          <w:p w14:paraId="5941638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0,75</w:t>
            </w:r>
          </w:p>
        </w:tc>
      </w:tr>
      <w:tr w:rsidR="00BF12D5" w:rsidRPr="00BD0223" w14:paraId="096439BE"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03AD81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TAIUVA</w:t>
            </w:r>
          </w:p>
        </w:tc>
        <w:tc>
          <w:tcPr>
            <w:tcW w:w="1304" w:type="dxa"/>
            <w:tcBorders>
              <w:top w:val="nil"/>
              <w:left w:val="nil"/>
              <w:bottom w:val="single" w:sz="4" w:space="0" w:color="auto"/>
              <w:right w:val="single" w:sz="4" w:space="0" w:color="auto"/>
            </w:tcBorders>
            <w:shd w:val="clear" w:color="auto" w:fill="auto"/>
            <w:noWrap/>
            <w:vAlign w:val="center"/>
            <w:hideMark/>
          </w:tcPr>
          <w:p w14:paraId="3C81335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1,28</w:t>
            </w:r>
          </w:p>
        </w:tc>
        <w:tc>
          <w:tcPr>
            <w:tcW w:w="1304" w:type="dxa"/>
            <w:tcBorders>
              <w:top w:val="nil"/>
              <w:left w:val="nil"/>
              <w:bottom w:val="single" w:sz="4" w:space="0" w:color="auto"/>
              <w:right w:val="single" w:sz="4" w:space="0" w:color="auto"/>
            </w:tcBorders>
            <w:shd w:val="clear" w:color="auto" w:fill="auto"/>
            <w:noWrap/>
            <w:vAlign w:val="center"/>
            <w:hideMark/>
          </w:tcPr>
          <w:p w14:paraId="439A640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0,95</w:t>
            </w:r>
          </w:p>
        </w:tc>
        <w:tc>
          <w:tcPr>
            <w:tcW w:w="1304" w:type="dxa"/>
            <w:tcBorders>
              <w:top w:val="nil"/>
              <w:left w:val="nil"/>
              <w:bottom w:val="single" w:sz="4" w:space="0" w:color="auto"/>
              <w:right w:val="single" w:sz="4" w:space="0" w:color="auto"/>
            </w:tcBorders>
            <w:shd w:val="clear" w:color="auto" w:fill="auto"/>
            <w:noWrap/>
            <w:vAlign w:val="center"/>
            <w:hideMark/>
          </w:tcPr>
          <w:p w14:paraId="14FCEDF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0,64</w:t>
            </w:r>
          </w:p>
        </w:tc>
        <w:tc>
          <w:tcPr>
            <w:tcW w:w="1304" w:type="dxa"/>
            <w:tcBorders>
              <w:top w:val="nil"/>
              <w:left w:val="nil"/>
              <w:bottom w:val="single" w:sz="4" w:space="0" w:color="auto"/>
              <w:right w:val="single" w:sz="4" w:space="0" w:color="auto"/>
            </w:tcBorders>
            <w:shd w:val="clear" w:color="auto" w:fill="auto"/>
            <w:noWrap/>
            <w:vAlign w:val="center"/>
            <w:hideMark/>
          </w:tcPr>
          <w:p w14:paraId="4642BD4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0,62</w:t>
            </w:r>
          </w:p>
        </w:tc>
      </w:tr>
      <w:tr w:rsidR="00BF12D5" w:rsidRPr="00BD0223" w14:paraId="281D1F37"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507E58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TANABI</w:t>
            </w:r>
          </w:p>
        </w:tc>
        <w:tc>
          <w:tcPr>
            <w:tcW w:w="1304" w:type="dxa"/>
            <w:tcBorders>
              <w:top w:val="nil"/>
              <w:left w:val="nil"/>
              <w:bottom w:val="single" w:sz="4" w:space="0" w:color="auto"/>
              <w:right w:val="single" w:sz="4" w:space="0" w:color="auto"/>
            </w:tcBorders>
            <w:shd w:val="clear" w:color="auto" w:fill="auto"/>
            <w:noWrap/>
            <w:vAlign w:val="center"/>
            <w:hideMark/>
          </w:tcPr>
          <w:p w14:paraId="7AFDF62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14,90</w:t>
            </w:r>
          </w:p>
        </w:tc>
        <w:tc>
          <w:tcPr>
            <w:tcW w:w="1304" w:type="dxa"/>
            <w:tcBorders>
              <w:top w:val="nil"/>
              <w:left w:val="nil"/>
              <w:bottom w:val="single" w:sz="4" w:space="0" w:color="auto"/>
              <w:right w:val="single" w:sz="4" w:space="0" w:color="auto"/>
            </w:tcBorders>
            <w:shd w:val="clear" w:color="auto" w:fill="auto"/>
            <w:noWrap/>
            <w:vAlign w:val="center"/>
            <w:hideMark/>
          </w:tcPr>
          <w:p w14:paraId="7BDA707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23,49</w:t>
            </w:r>
          </w:p>
        </w:tc>
        <w:tc>
          <w:tcPr>
            <w:tcW w:w="1304" w:type="dxa"/>
            <w:tcBorders>
              <w:top w:val="nil"/>
              <w:left w:val="nil"/>
              <w:bottom w:val="single" w:sz="4" w:space="0" w:color="auto"/>
              <w:right w:val="single" w:sz="4" w:space="0" w:color="auto"/>
            </w:tcBorders>
            <w:shd w:val="clear" w:color="auto" w:fill="auto"/>
            <w:noWrap/>
            <w:vAlign w:val="center"/>
            <w:hideMark/>
          </w:tcPr>
          <w:p w14:paraId="06198E2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29,14</w:t>
            </w:r>
          </w:p>
        </w:tc>
        <w:tc>
          <w:tcPr>
            <w:tcW w:w="1304" w:type="dxa"/>
            <w:tcBorders>
              <w:top w:val="nil"/>
              <w:left w:val="nil"/>
              <w:bottom w:val="single" w:sz="4" w:space="0" w:color="auto"/>
              <w:right w:val="single" w:sz="4" w:space="0" w:color="auto"/>
            </w:tcBorders>
            <w:shd w:val="clear" w:color="auto" w:fill="auto"/>
            <w:noWrap/>
            <w:vAlign w:val="center"/>
            <w:hideMark/>
          </w:tcPr>
          <w:p w14:paraId="1D6E361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29,28</w:t>
            </w:r>
          </w:p>
        </w:tc>
      </w:tr>
      <w:tr w:rsidR="00BF12D5" w:rsidRPr="00BD0223" w14:paraId="2B414F74"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043502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TAQUARAL</w:t>
            </w:r>
          </w:p>
        </w:tc>
        <w:tc>
          <w:tcPr>
            <w:tcW w:w="1304" w:type="dxa"/>
            <w:tcBorders>
              <w:top w:val="nil"/>
              <w:left w:val="nil"/>
              <w:bottom w:val="single" w:sz="4" w:space="0" w:color="auto"/>
              <w:right w:val="single" w:sz="4" w:space="0" w:color="auto"/>
            </w:tcBorders>
            <w:shd w:val="clear" w:color="auto" w:fill="auto"/>
            <w:noWrap/>
            <w:vAlign w:val="center"/>
            <w:hideMark/>
          </w:tcPr>
          <w:p w14:paraId="3167CE5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0,36</w:t>
            </w:r>
          </w:p>
        </w:tc>
        <w:tc>
          <w:tcPr>
            <w:tcW w:w="1304" w:type="dxa"/>
            <w:tcBorders>
              <w:top w:val="nil"/>
              <w:left w:val="nil"/>
              <w:bottom w:val="single" w:sz="4" w:space="0" w:color="auto"/>
              <w:right w:val="single" w:sz="4" w:space="0" w:color="auto"/>
            </w:tcBorders>
            <w:shd w:val="clear" w:color="auto" w:fill="auto"/>
            <w:noWrap/>
            <w:vAlign w:val="center"/>
            <w:hideMark/>
          </w:tcPr>
          <w:p w14:paraId="7663294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0,42</w:t>
            </w:r>
          </w:p>
        </w:tc>
        <w:tc>
          <w:tcPr>
            <w:tcW w:w="1304" w:type="dxa"/>
            <w:tcBorders>
              <w:top w:val="nil"/>
              <w:left w:val="nil"/>
              <w:bottom w:val="single" w:sz="4" w:space="0" w:color="auto"/>
              <w:right w:val="single" w:sz="4" w:space="0" w:color="auto"/>
            </w:tcBorders>
            <w:shd w:val="clear" w:color="auto" w:fill="auto"/>
            <w:noWrap/>
            <w:vAlign w:val="center"/>
            <w:hideMark/>
          </w:tcPr>
          <w:p w14:paraId="5533A34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0,42</w:t>
            </w:r>
          </w:p>
        </w:tc>
        <w:tc>
          <w:tcPr>
            <w:tcW w:w="1304" w:type="dxa"/>
            <w:tcBorders>
              <w:top w:val="nil"/>
              <w:left w:val="nil"/>
              <w:bottom w:val="single" w:sz="4" w:space="0" w:color="auto"/>
              <w:right w:val="single" w:sz="4" w:space="0" w:color="auto"/>
            </w:tcBorders>
            <w:shd w:val="clear" w:color="auto" w:fill="auto"/>
            <w:noWrap/>
            <w:vAlign w:val="center"/>
            <w:hideMark/>
          </w:tcPr>
          <w:p w14:paraId="390C631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0,70</w:t>
            </w:r>
          </w:p>
        </w:tc>
      </w:tr>
      <w:tr w:rsidR="00BF12D5" w:rsidRPr="00BD0223" w14:paraId="7E3081AD"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0391EB8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TAQUARITINGA</w:t>
            </w:r>
          </w:p>
        </w:tc>
        <w:tc>
          <w:tcPr>
            <w:tcW w:w="1304" w:type="dxa"/>
            <w:tcBorders>
              <w:top w:val="nil"/>
              <w:left w:val="nil"/>
              <w:bottom w:val="single" w:sz="4" w:space="0" w:color="auto"/>
              <w:right w:val="single" w:sz="4" w:space="0" w:color="auto"/>
            </w:tcBorders>
            <w:shd w:val="clear" w:color="auto" w:fill="auto"/>
            <w:noWrap/>
            <w:vAlign w:val="center"/>
            <w:hideMark/>
          </w:tcPr>
          <w:p w14:paraId="1005AAC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20,55</w:t>
            </w:r>
          </w:p>
        </w:tc>
        <w:tc>
          <w:tcPr>
            <w:tcW w:w="1304" w:type="dxa"/>
            <w:tcBorders>
              <w:top w:val="nil"/>
              <w:left w:val="nil"/>
              <w:bottom w:val="single" w:sz="4" w:space="0" w:color="auto"/>
              <w:right w:val="single" w:sz="4" w:space="0" w:color="auto"/>
            </w:tcBorders>
            <w:shd w:val="clear" w:color="auto" w:fill="auto"/>
            <w:noWrap/>
            <w:vAlign w:val="center"/>
            <w:hideMark/>
          </w:tcPr>
          <w:p w14:paraId="447677F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15,39</w:t>
            </w:r>
          </w:p>
        </w:tc>
        <w:tc>
          <w:tcPr>
            <w:tcW w:w="1304" w:type="dxa"/>
            <w:tcBorders>
              <w:top w:val="nil"/>
              <w:left w:val="nil"/>
              <w:bottom w:val="single" w:sz="4" w:space="0" w:color="auto"/>
              <w:right w:val="single" w:sz="4" w:space="0" w:color="auto"/>
            </w:tcBorders>
            <w:shd w:val="clear" w:color="auto" w:fill="auto"/>
            <w:noWrap/>
            <w:vAlign w:val="center"/>
            <w:hideMark/>
          </w:tcPr>
          <w:p w14:paraId="0FE5952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13,19</w:t>
            </w:r>
          </w:p>
        </w:tc>
        <w:tc>
          <w:tcPr>
            <w:tcW w:w="1304" w:type="dxa"/>
            <w:tcBorders>
              <w:top w:val="nil"/>
              <w:left w:val="nil"/>
              <w:bottom w:val="single" w:sz="4" w:space="0" w:color="auto"/>
              <w:right w:val="single" w:sz="4" w:space="0" w:color="auto"/>
            </w:tcBorders>
            <w:shd w:val="clear" w:color="auto" w:fill="auto"/>
            <w:noWrap/>
            <w:vAlign w:val="center"/>
            <w:hideMark/>
          </w:tcPr>
          <w:p w14:paraId="7598B3A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11,86</w:t>
            </w:r>
          </w:p>
        </w:tc>
      </w:tr>
      <w:tr w:rsidR="00BF12D5" w:rsidRPr="00BD0223" w14:paraId="3CB60967"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5EBC7A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TERRA ROXA</w:t>
            </w:r>
          </w:p>
        </w:tc>
        <w:tc>
          <w:tcPr>
            <w:tcW w:w="1304" w:type="dxa"/>
            <w:tcBorders>
              <w:top w:val="nil"/>
              <w:left w:val="nil"/>
              <w:bottom w:val="single" w:sz="4" w:space="0" w:color="auto"/>
              <w:right w:val="single" w:sz="4" w:space="0" w:color="auto"/>
            </w:tcBorders>
            <w:shd w:val="clear" w:color="auto" w:fill="auto"/>
            <w:noWrap/>
            <w:vAlign w:val="center"/>
            <w:hideMark/>
          </w:tcPr>
          <w:p w14:paraId="61572A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0,96</w:t>
            </w:r>
          </w:p>
        </w:tc>
        <w:tc>
          <w:tcPr>
            <w:tcW w:w="1304" w:type="dxa"/>
            <w:tcBorders>
              <w:top w:val="nil"/>
              <w:left w:val="nil"/>
              <w:bottom w:val="single" w:sz="4" w:space="0" w:color="auto"/>
              <w:right w:val="single" w:sz="4" w:space="0" w:color="auto"/>
            </w:tcBorders>
            <w:shd w:val="clear" w:color="auto" w:fill="auto"/>
            <w:noWrap/>
            <w:vAlign w:val="center"/>
            <w:hideMark/>
          </w:tcPr>
          <w:p w14:paraId="680A6D7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0,95</w:t>
            </w:r>
          </w:p>
        </w:tc>
        <w:tc>
          <w:tcPr>
            <w:tcW w:w="1304" w:type="dxa"/>
            <w:tcBorders>
              <w:top w:val="nil"/>
              <w:left w:val="nil"/>
              <w:bottom w:val="single" w:sz="4" w:space="0" w:color="auto"/>
              <w:right w:val="single" w:sz="4" w:space="0" w:color="auto"/>
            </w:tcBorders>
            <w:shd w:val="clear" w:color="auto" w:fill="auto"/>
            <w:noWrap/>
            <w:vAlign w:val="center"/>
            <w:hideMark/>
          </w:tcPr>
          <w:p w14:paraId="7315B94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0,83</w:t>
            </w:r>
          </w:p>
        </w:tc>
        <w:tc>
          <w:tcPr>
            <w:tcW w:w="1304" w:type="dxa"/>
            <w:tcBorders>
              <w:top w:val="nil"/>
              <w:left w:val="nil"/>
              <w:bottom w:val="single" w:sz="4" w:space="0" w:color="auto"/>
              <w:right w:val="single" w:sz="4" w:space="0" w:color="auto"/>
            </w:tcBorders>
            <w:shd w:val="clear" w:color="auto" w:fill="auto"/>
            <w:noWrap/>
            <w:vAlign w:val="center"/>
            <w:hideMark/>
          </w:tcPr>
          <w:p w14:paraId="2370E2B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0,75</w:t>
            </w:r>
          </w:p>
        </w:tc>
      </w:tr>
      <w:tr w:rsidR="00BF12D5" w:rsidRPr="00BD0223" w14:paraId="74785D3B"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2E93917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TRES FRONTEIRAS</w:t>
            </w:r>
          </w:p>
        </w:tc>
        <w:tc>
          <w:tcPr>
            <w:tcW w:w="1304" w:type="dxa"/>
            <w:tcBorders>
              <w:top w:val="nil"/>
              <w:left w:val="nil"/>
              <w:bottom w:val="single" w:sz="4" w:space="0" w:color="auto"/>
              <w:right w:val="single" w:sz="4" w:space="0" w:color="auto"/>
            </w:tcBorders>
            <w:shd w:val="clear" w:color="auto" w:fill="auto"/>
            <w:noWrap/>
            <w:vAlign w:val="center"/>
            <w:hideMark/>
          </w:tcPr>
          <w:p w14:paraId="6E40E616"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0,35</w:t>
            </w:r>
          </w:p>
        </w:tc>
        <w:tc>
          <w:tcPr>
            <w:tcW w:w="1304" w:type="dxa"/>
            <w:tcBorders>
              <w:top w:val="nil"/>
              <w:left w:val="nil"/>
              <w:bottom w:val="single" w:sz="4" w:space="0" w:color="auto"/>
              <w:right w:val="single" w:sz="4" w:space="0" w:color="auto"/>
            </w:tcBorders>
            <w:shd w:val="clear" w:color="auto" w:fill="auto"/>
            <w:noWrap/>
            <w:vAlign w:val="center"/>
            <w:hideMark/>
          </w:tcPr>
          <w:p w14:paraId="4AC7C1F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0,34</w:t>
            </w:r>
          </w:p>
        </w:tc>
        <w:tc>
          <w:tcPr>
            <w:tcW w:w="1304" w:type="dxa"/>
            <w:tcBorders>
              <w:top w:val="nil"/>
              <w:left w:val="nil"/>
              <w:bottom w:val="single" w:sz="4" w:space="0" w:color="auto"/>
              <w:right w:val="single" w:sz="4" w:space="0" w:color="auto"/>
            </w:tcBorders>
            <w:shd w:val="clear" w:color="auto" w:fill="auto"/>
            <w:noWrap/>
            <w:vAlign w:val="center"/>
            <w:hideMark/>
          </w:tcPr>
          <w:p w14:paraId="6C6A0B9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0,36</w:t>
            </w:r>
          </w:p>
        </w:tc>
        <w:tc>
          <w:tcPr>
            <w:tcW w:w="1304" w:type="dxa"/>
            <w:tcBorders>
              <w:top w:val="nil"/>
              <w:left w:val="nil"/>
              <w:bottom w:val="single" w:sz="4" w:space="0" w:color="auto"/>
              <w:right w:val="single" w:sz="4" w:space="0" w:color="auto"/>
            </w:tcBorders>
            <w:shd w:val="clear" w:color="auto" w:fill="auto"/>
            <w:noWrap/>
            <w:vAlign w:val="center"/>
            <w:hideMark/>
          </w:tcPr>
          <w:p w14:paraId="3B4C2D7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0,37</w:t>
            </w:r>
          </w:p>
        </w:tc>
      </w:tr>
      <w:tr w:rsidR="00BF12D5" w:rsidRPr="00BD0223" w14:paraId="47FFC094"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89D931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TURMALINA</w:t>
            </w:r>
          </w:p>
        </w:tc>
        <w:tc>
          <w:tcPr>
            <w:tcW w:w="1304" w:type="dxa"/>
            <w:tcBorders>
              <w:top w:val="nil"/>
              <w:left w:val="nil"/>
              <w:bottom w:val="single" w:sz="4" w:space="0" w:color="auto"/>
              <w:right w:val="single" w:sz="4" w:space="0" w:color="auto"/>
            </w:tcBorders>
            <w:shd w:val="clear" w:color="auto" w:fill="auto"/>
            <w:noWrap/>
            <w:vAlign w:val="center"/>
            <w:hideMark/>
          </w:tcPr>
          <w:p w14:paraId="6020167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0,21</w:t>
            </w:r>
          </w:p>
        </w:tc>
        <w:tc>
          <w:tcPr>
            <w:tcW w:w="1304" w:type="dxa"/>
            <w:tcBorders>
              <w:top w:val="nil"/>
              <w:left w:val="nil"/>
              <w:bottom w:val="single" w:sz="4" w:space="0" w:color="auto"/>
              <w:right w:val="single" w:sz="4" w:space="0" w:color="auto"/>
            </w:tcBorders>
            <w:shd w:val="clear" w:color="auto" w:fill="auto"/>
            <w:noWrap/>
            <w:vAlign w:val="center"/>
            <w:hideMark/>
          </w:tcPr>
          <w:p w14:paraId="4A09E56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0,45</w:t>
            </w:r>
          </w:p>
        </w:tc>
        <w:tc>
          <w:tcPr>
            <w:tcW w:w="1304" w:type="dxa"/>
            <w:tcBorders>
              <w:top w:val="nil"/>
              <w:left w:val="nil"/>
              <w:bottom w:val="single" w:sz="4" w:space="0" w:color="auto"/>
              <w:right w:val="single" w:sz="4" w:space="0" w:color="auto"/>
            </w:tcBorders>
            <w:shd w:val="clear" w:color="auto" w:fill="auto"/>
            <w:noWrap/>
            <w:vAlign w:val="center"/>
            <w:hideMark/>
          </w:tcPr>
          <w:p w14:paraId="78B1D5D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0,48</w:t>
            </w:r>
          </w:p>
        </w:tc>
        <w:tc>
          <w:tcPr>
            <w:tcW w:w="1304" w:type="dxa"/>
            <w:tcBorders>
              <w:top w:val="nil"/>
              <w:left w:val="nil"/>
              <w:bottom w:val="single" w:sz="4" w:space="0" w:color="auto"/>
              <w:right w:val="single" w:sz="4" w:space="0" w:color="auto"/>
            </w:tcBorders>
            <w:shd w:val="clear" w:color="auto" w:fill="auto"/>
            <w:noWrap/>
            <w:vAlign w:val="center"/>
            <w:hideMark/>
          </w:tcPr>
          <w:p w14:paraId="5966636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0,35</w:t>
            </w:r>
          </w:p>
        </w:tc>
      </w:tr>
      <w:tr w:rsidR="00BF12D5" w:rsidRPr="00BD0223" w14:paraId="2039E780"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98BD20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UBARANA</w:t>
            </w:r>
          </w:p>
        </w:tc>
        <w:tc>
          <w:tcPr>
            <w:tcW w:w="1304" w:type="dxa"/>
            <w:tcBorders>
              <w:top w:val="nil"/>
              <w:left w:val="nil"/>
              <w:bottom w:val="single" w:sz="4" w:space="0" w:color="auto"/>
              <w:right w:val="single" w:sz="4" w:space="0" w:color="auto"/>
            </w:tcBorders>
            <w:shd w:val="clear" w:color="auto" w:fill="auto"/>
            <w:noWrap/>
            <w:vAlign w:val="center"/>
            <w:hideMark/>
          </w:tcPr>
          <w:p w14:paraId="4404E50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9,78</w:t>
            </w:r>
          </w:p>
        </w:tc>
        <w:tc>
          <w:tcPr>
            <w:tcW w:w="1304" w:type="dxa"/>
            <w:tcBorders>
              <w:top w:val="nil"/>
              <w:left w:val="nil"/>
              <w:bottom w:val="single" w:sz="4" w:space="0" w:color="auto"/>
              <w:right w:val="single" w:sz="4" w:space="0" w:color="auto"/>
            </w:tcBorders>
            <w:shd w:val="clear" w:color="auto" w:fill="auto"/>
            <w:noWrap/>
            <w:vAlign w:val="center"/>
            <w:hideMark/>
          </w:tcPr>
          <w:p w14:paraId="0AD2336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10,91</w:t>
            </w:r>
          </w:p>
        </w:tc>
        <w:tc>
          <w:tcPr>
            <w:tcW w:w="1304" w:type="dxa"/>
            <w:tcBorders>
              <w:top w:val="nil"/>
              <w:left w:val="nil"/>
              <w:bottom w:val="single" w:sz="4" w:space="0" w:color="auto"/>
              <w:right w:val="single" w:sz="4" w:space="0" w:color="auto"/>
            </w:tcBorders>
            <w:shd w:val="clear" w:color="auto" w:fill="auto"/>
            <w:noWrap/>
            <w:vAlign w:val="center"/>
            <w:hideMark/>
          </w:tcPr>
          <w:p w14:paraId="3D09C5D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10,57</w:t>
            </w:r>
          </w:p>
        </w:tc>
        <w:tc>
          <w:tcPr>
            <w:tcW w:w="1304" w:type="dxa"/>
            <w:tcBorders>
              <w:top w:val="nil"/>
              <w:left w:val="nil"/>
              <w:bottom w:val="single" w:sz="4" w:space="0" w:color="auto"/>
              <w:right w:val="single" w:sz="4" w:space="0" w:color="auto"/>
            </w:tcBorders>
            <w:shd w:val="clear" w:color="auto" w:fill="auto"/>
            <w:noWrap/>
            <w:vAlign w:val="center"/>
            <w:hideMark/>
          </w:tcPr>
          <w:p w14:paraId="3AF6918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8,93</w:t>
            </w:r>
          </w:p>
        </w:tc>
      </w:tr>
      <w:tr w:rsidR="00BF12D5" w:rsidRPr="00BD0223" w14:paraId="6C1C44B9"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872CBD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UCHOA</w:t>
            </w:r>
          </w:p>
        </w:tc>
        <w:tc>
          <w:tcPr>
            <w:tcW w:w="1304" w:type="dxa"/>
            <w:tcBorders>
              <w:top w:val="nil"/>
              <w:left w:val="nil"/>
              <w:bottom w:val="single" w:sz="4" w:space="0" w:color="auto"/>
              <w:right w:val="single" w:sz="4" w:space="0" w:color="auto"/>
            </w:tcBorders>
            <w:shd w:val="clear" w:color="auto" w:fill="auto"/>
            <w:noWrap/>
            <w:vAlign w:val="center"/>
            <w:hideMark/>
          </w:tcPr>
          <w:p w14:paraId="1703466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1,43</w:t>
            </w:r>
          </w:p>
        </w:tc>
        <w:tc>
          <w:tcPr>
            <w:tcW w:w="1304" w:type="dxa"/>
            <w:tcBorders>
              <w:top w:val="nil"/>
              <w:left w:val="nil"/>
              <w:bottom w:val="single" w:sz="4" w:space="0" w:color="auto"/>
              <w:right w:val="single" w:sz="4" w:space="0" w:color="auto"/>
            </w:tcBorders>
            <w:shd w:val="clear" w:color="auto" w:fill="auto"/>
            <w:noWrap/>
            <w:vAlign w:val="center"/>
            <w:hideMark/>
          </w:tcPr>
          <w:p w14:paraId="73B1DAC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1,36</w:t>
            </w:r>
          </w:p>
        </w:tc>
        <w:tc>
          <w:tcPr>
            <w:tcW w:w="1304" w:type="dxa"/>
            <w:tcBorders>
              <w:top w:val="nil"/>
              <w:left w:val="nil"/>
              <w:bottom w:val="single" w:sz="4" w:space="0" w:color="auto"/>
              <w:right w:val="single" w:sz="4" w:space="0" w:color="auto"/>
            </w:tcBorders>
            <w:shd w:val="clear" w:color="auto" w:fill="auto"/>
            <w:noWrap/>
            <w:vAlign w:val="center"/>
            <w:hideMark/>
          </w:tcPr>
          <w:p w14:paraId="0923D97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1,47</w:t>
            </w:r>
          </w:p>
        </w:tc>
        <w:tc>
          <w:tcPr>
            <w:tcW w:w="1304" w:type="dxa"/>
            <w:tcBorders>
              <w:top w:val="nil"/>
              <w:left w:val="nil"/>
              <w:bottom w:val="single" w:sz="4" w:space="0" w:color="auto"/>
              <w:right w:val="single" w:sz="4" w:space="0" w:color="auto"/>
            </w:tcBorders>
            <w:shd w:val="clear" w:color="auto" w:fill="auto"/>
            <w:noWrap/>
            <w:vAlign w:val="center"/>
            <w:hideMark/>
          </w:tcPr>
          <w:p w14:paraId="3F599E5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1,12</w:t>
            </w:r>
          </w:p>
        </w:tc>
      </w:tr>
      <w:tr w:rsidR="00BF12D5" w:rsidRPr="00BD0223" w14:paraId="4F8F35CC"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1385543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UNIAO PAULISTA</w:t>
            </w:r>
          </w:p>
        </w:tc>
        <w:tc>
          <w:tcPr>
            <w:tcW w:w="1304" w:type="dxa"/>
            <w:tcBorders>
              <w:top w:val="nil"/>
              <w:left w:val="nil"/>
              <w:bottom w:val="single" w:sz="4" w:space="0" w:color="auto"/>
              <w:right w:val="single" w:sz="4" w:space="0" w:color="auto"/>
            </w:tcBorders>
            <w:shd w:val="clear" w:color="auto" w:fill="auto"/>
            <w:noWrap/>
            <w:vAlign w:val="center"/>
            <w:hideMark/>
          </w:tcPr>
          <w:p w14:paraId="7CFD525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0,16</w:t>
            </w:r>
          </w:p>
        </w:tc>
        <w:tc>
          <w:tcPr>
            <w:tcW w:w="1304" w:type="dxa"/>
            <w:tcBorders>
              <w:top w:val="nil"/>
              <w:left w:val="nil"/>
              <w:bottom w:val="single" w:sz="4" w:space="0" w:color="auto"/>
              <w:right w:val="single" w:sz="4" w:space="0" w:color="auto"/>
            </w:tcBorders>
            <w:shd w:val="clear" w:color="auto" w:fill="auto"/>
            <w:noWrap/>
            <w:vAlign w:val="center"/>
            <w:hideMark/>
          </w:tcPr>
          <w:p w14:paraId="1D4CDD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0,13</w:t>
            </w:r>
          </w:p>
        </w:tc>
        <w:tc>
          <w:tcPr>
            <w:tcW w:w="1304" w:type="dxa"/>
            <w:tcBorders>
              <w:top w:val="nil"/>
              <w:left w:val="nil"/>
              <w:bottom w:val="single" w:sz="4" w:space="0" w:color="auto"/>
              <w:right w:val="single" w:sz="4" w:space="0" w:color="auto"/>
            </w:tcBorders>
            <w:shd w:val="clear" w:color="auto" w:fill="auto"/>
            <w:noWrap/>
            <w:vAlign w:val="center"/>
            <w:hideMark/>
          </w:tcPr>
          <w:p w14:paraId="28EA8C9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0,13</w:t>
            </w:r>
          </w:p>
        </w:tc>
        <w:tc>
          <w:tcPr>
            <w:tcW w:w="1304" w:type="dxa"/>
            <w:tcBorders>
              <w:top w:val="nil"/>
              <w:left w:val="nil"/>
              <w:bottom w:val="single" w:sz="4" w:space="0" w:color="auto"/>
              <w:right w:val="single" w:sz="4" w:space="0" w:color="auto"/>
            </w:tcBorders>
            <w:shd w:val="clear" w:color="auto" w:fill="auto"/>
            <w:noWrap/>
            <w:vAlign w:val="center"/>
            <w:hideMark/>
          </w:tcPr>
          <w:p w14:paraId="491F446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0,11</w:t>
            </w:r>
          </w:p>
        </w:tc>
      </w:tr>
      <w:tr w:rsidR="00BF12D5" w:rsidRPr="00BD0223" w14:paraId="402F2866"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40FB6E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URANIA</w:t>
            </w:r>
          </w:p>
        </w:tc>
        <w:tc>
          <w:tcPr>
            <w:tcW w:w="1304" w:type="dxa"/>
            <w:tcBorders>
              <w:top w:val="nil"/>
              <w:left w:val="nil"/>
              <w:bottom w:val="single" w:sz="4" w:space="0" w:color="auto"/>
              <w:right w:val="single" w:sz="4" w:space="0" w:color="auto"/>
            </w:tcBorders>
            <w:shd w:val="clear" w:color="auto" w:fill="auto"/>
            <w:noWrap/>
            <w:vAlign w:val="center"/>
            <w:hideMark/>
          </w:tcPr>
          <w:p w14:paraId="29E906C0"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3,08</w:t>
            </w:r>
          </w:p>
        </w:tc>
        <w:tc>
          <w:tcPr>
            <w:tcW w:w="1304" w:type="dxa"/>
            <w:tcBorders>
              <w:top w:val="nil"/>
              <w:left w:val="nil"/>
              <w:bottom w:val="single" w:sz="4" w:space="0" w:color="auto"/>
              <w:right w:val="single" w:sz="4" w:space="0" w:color="auto"/>
            </w:tcBorders>
            <w:shd w:val="clear" w:color="auto" w:fill="auto"/>
            <w:noWrap/>
            <w:vAlign w:val="center"/>
            <w:hideMark/>
          </w:tcPr>
          <w:p w14:paraId="6BB4C21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2,51</w:t>
            </w:r>
          </w:p>
        </w:tc>
        <w:tc>
          <w:tcPr>
            <w:tcW w:w="1304" w:type="dxa"/>
            <w:tcBorders>
              <w:top w:val="nil"/>
              <w:left w:val="nil"/>
              <w:bottom w:val="single" w:sz="4" w:space="0" w:color="auto"/>
              <w:right w:val="single" w:sz="4" w:space="0" w:color="auto"/>
            </w:tcBorders>
            <w:shd w:val="clear" w:color="auto" w:fill="auto"/>
            <w:noWrap/>
            <w:vAlign w:val="center"/>
            <w:hideMark/>
          </w:tcPr>
          <w:p w14:paraId="10881F5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2,25</w:t>
            </w:r>
          </w:p>
        </w:tc>
        <w:tc>
          <w:tcPr>
            <w:tcW w:w="1304" w:type="dxa"/>
            <w:tcBorders>
              <w:top w:val="nil"/>
              <w:left w:val="nil"/>
              <w:bottom w:val="single" w:sz="4" w:space="0" w:color="auto"/>
              <w:right w:val="single" w:sz="4" w:space="0" w:color="auto"/>
            </w:tcBorders>
            <w:shd w:val="clear" w:color="auto" w:fill="auto"/>
            <w:noWrap/>
            <w:vAlign w:val="center"/>
            <w:hideMark/>
          </w:tcPr>
          <w:p w14:paraId="51262A3C"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10,55</w:t>
            </w:r>
          </w:p>
        </w:tc>
      </w:tr>
      <w:tr w:rsidR="00BF12D5" w:rsidRPr="00BD0223" w14:paraId="28807800"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C2D9A6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URUPES</w:t>
            </w:r>
          </w:p>
        </w:tc>
        <w:tc>
          <w:tcPr>
            <w:tcW w:w="1304" w:type="dxa"/>
            <w:tcBorders>
              <w:top w:val="nil"/>
              <w:left w:val="nil"/>
              <w:bottom w:val="single" w:sz="4" w:space="0" w:color="auto"/>
              <w:right w:val="single" w:sz="4" w:space="0" w:color="auto"/>
            </w:tcBorders>
            <w:shd w:val="clear" w:color="auto" w:fill="auto"/>
            <w:noWrap/>
            <w:vAlign w:val="center"/>
            <w:hideMark/>
          </w:tcPr>
          <w:p w14:paraId="2C89815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3,09</w:t>
            </w:r>
          </w:p>
        </w:tc>
        <w:tc>
          <w:tcPr>
            <w:tcW w:w="1304" w:type="dxa"/>
            <w:tcBorders>
              <w:top w:val="nil"/>
              <w:left w:val="nil"/>
              <w:bottom w:val="single" w:sz="4" w:space="0" w:color="auto"/>
              <w:right w:val="single" w:sz="4" w:space="0" w:color="auto"/>
            </w:tcBorders>
            <w:shd w:val="clear" w:color="auto" w:fill="auto"/>
            <w:noWrap/>
            <w:vAlign w:val="center"/>
            <w:hideMark/>
          </w:tcPr>
          <w:p w14:paraId="3232CBE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3,00</w:t>
            </w:r>
          </w:p>
        </w:tc>
        <w:tc>
          <w:tcPr>
            <w:tcW w:w="1304" w:type="dxa"/>
            <w:tcBorders>
              <w:top w:val="nil"/>
              <w:left w:val="nil"/>
              <w:bottom w:val="single" w:sz="4" w:space="0" w:color="auto"/>
              <w:right w:val="single" w:sz="4" w:space="0" w:color="auto"/>
            </w:tcBorders>
            <w:shd w:val="clear" w:color="auto" w:fill="auto"/>
            <w:noWrap/>
            <w:vAlign w:val="center"/>
            <w:hideMark/>
          </w:tcPr>
          <w:p w14:paraId="61C44D3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3,34</w:t>
            </w:r>
          </w:p>
        </w:tc>
        <w:tc>
          <w:tcPr>
            <w:tcW w:w="1304" w:type="dxa"/>
            <w:tcBorders>
              <w:top w:val="nil"/>
              <w:left w:val="nil"/>
              <w:bottom w:val="single" w:sz="4" w:space="0" w:color="auto"/>
              <w:right w:val="single" w:sz="4" w:space="0" w:color="auto"/>
            </w:tcBorders>
            <w:shd w:val="clear" w:color="auto" w:fill="auto"/>
            <w:noWrap/>
            <w:vAlign w:val="center"/>
            <w:hideMark/>
          </w:tcPr>
          <w:p w14:paraId="42D2B542"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4,72</w:t>
            </w:r>
          </w:p>
        </w:tc>
      </w:tr>
      <w:tr w:rsidR="00BF12D5" w:rsidRPr="00BD0223" w14:paraId="37C5D3C5"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6388555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VALENTIM GENTIL</w:t>
            </w:r>
          </w:p>
        </w:tc>
        <w:tc>
          <w:tcPr>
            <w:tcW w:w="1304" w:type="dxa"/>
            <w:tcBorders>
              <w:top w:val="nil"/>
              <w:left w:val="nil"/>
              <w:bottom w:val="single" w:sz="4" w:space="0" w:color="auto"/>
              <w:right w:val="single" w:sz="4" w:space="0" w:color="auto"/>
            </w:tcBorders>
            <w:shd w:val="clear" w:color="auto" w:fill="auto"/>
            <w:noWrap/>
            <w:vAlign w:val="center"/>
            <w:hideMark/>
          </w:tcPr>
          <w:p w14:paraId="003FC7ED"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2,18</w:t>
            </w:r>
          </w:p>
        </w:tc>
        <w:tc>
          <w:tcPr>
            <w:tcW w:w="1304" w:type="dxa"/>
            <w:tcBorders>
              <w:top w:val="nil"/>
              <w:left w:val="nil"/>
              <w:bottom w:val="single" w:sz="4" w:space="0" w:color="auto"/>
              <w:right w:val="single" w:sz="4" w:space="0" w:color="auto"/>
            </w:tcBorders>
            <w:shd w:val="clear" w:color="auto" w:fill="auto"/>
            <w:noWrap/>
            <w:vAlign w:val="center"/>
            <w:hideMark/>
          </w:tcPr>
          <w:p w14:paraId="29E57B3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2,32</w:t>
            </w:r>
          </w:p>
        </w:tc>
        <w:tc>
          <w:tcPr>
            <w:tcW w:w="1304" w:type="dxa"/>
            <w:tcBorders>
              <w:top w:val="nil"/>
              <w:left w:val="nil"/>
              <w:bottom w:val="single" w:sz="4" w:space="0" w:color="auto"/>
              <w:right w:val="single" w:sz="4" w:space="0" w:color="auto"/>
            </w:tcBorders>
            <w:shd w:val="clear" w:color="auto" w:fill="auto"/>
            <w:noWrap/>
            <w:vAlign w:val="center"/>
            <w:hideMark/>
          </w:tcPr>
          <w:p w14:paraId="63B55FBF"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2,32</w:t>
            </w:r>
          </w:p>
        </w:tc>
        <w:tc>
          <w:tcPr>
            <w:tcW w:w="1304" w:type="dxa"/>
            <w:tcBorders>
              <w:top w:val="nil"/>
              <w:left w:val="nil"/>
              <w:bottom w:val="single" w:sz="4" w:space="0" w:color="auto"/>
              <w:right w:val="single" w:sz="4" w:space="0" w:color="auto"/>
            </w:tcBorders>
            <w:shd w:val="clear" w:color="auto" w:fill="auto"/>
            <w:noWrap/>
            <w:vAlign w:val="center"/>
            <w:hideMark/>
          </w:tcPr>
          <w:p w14:paraId="40271E65"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2,82</w:t>
            </w:r>
          </w:p>
        </w:tc>
      </w:tr>
      <w:tr w:rsidR="00BF12D5" w:rsidRPr="00BD0223" w14:paraId="3FE4C91A"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3B5A068E"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VIRADOURO</w:t>
            </w:r>
          </w:p>
        </w:tc>
        <w:tc>
          <w:tcPr>
            <w:tcW w:w="1304" w:type="dxa"/>
            <w:tcBorders>
              <w:top w:val="nil"/>
              <w:left w:val="nil"/>
              <w:bottom w:val="single" w:sz="4" w:space="0" w:color="auto"/>
              <w:right w:val="single" w:sz="4" w:space="0" w:color="auto"/>
            </w:tcBorders>
            <w:shd w:val="clear" w:color="auto" w:fill="auto"/>
            <w:noWrap/>
            <w:vAlign w:val="center"/>
            <w:hideMark/>
          </w:tcPr>
          <w:p w14:paraId="07BA5533"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1,25</w:t>
            </w:r>
          </w:p>
        </w:tc>
        <w:tc>
          <w:tcPr>
            <w:tcW w:w="1304" w:type="dxa"/>
            <w:tcBorders>
              <w:top w:val="nil"/>
              <w:left w:val="nil"/>
              <w:bottom w:val="single" w:sz="4" w:space="0" w:color="auto"/>
              <w:right w:val="single" w:sz="4" w:space="0" w:color="auto"/>
            </w:tcBorders>
            <w:shd w:val="clear" w:color="auto" w:fill="auto"/>
            <w:noWrap/>
            <w:vAlign w:val="center"/>
            <w:hideMark/>
          </w:tcPr>
          <w:p w14:paraId="12633051"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1,77</w:t>
            </w:r>
          </w:p>
        </w:tc>
        <w:tc>
          <w:tcPr>
            <w:tcW w:w="1304" w:type="dxa"/>
            <w:tcBorders>
              <w:top w:val="nil"/>
              <w:left w:val="nil"/>
              <w:bottom w:val="single" w:sz="4" w:space="0" w:color="auto"/>
              <w:right w:val="single" w:sz="4" w:space="0" w:color="auto"/>
            </w:tcBorders>
            <w:shd w:val="clear" w:color="auto" w:fill="auto"/>
            <w:noWrap/>
            <w:vAlign w:val="center"/>
            <w:hideMark/>
          </w:tcPr>
          <w:p w14:paraId="02413C0A"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2,72</w:t>
            </w:r>
          </w:p>
        </w:tc>
        <w:tc>
          <w:tcPr>
            <w:tcW w:w="1304" w:type="dxa"/>
            <w:tcBorders>
              <w:top w:val="nil"/>
              <w:left w:val="nil"/>
              <w:bottom w:val="single" w:sz="4" w:space="0" w:color="auto"/>
              <w:right w:val="single" w:sz="4" w:space="0" w:color="auto"/>
            </w:tcBorders>
            <w:shd w:val="clear" w:color="auto" w:fill="auto"/>
            <w:noWrap/>
            <w:vAlign w:val="center"/>
            <w:hideMark/>
          </w:tcPr>
          <w:p w14:paraId="1BA91058"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3,13</w:t>
            </w:r>
          </w:p>
        </w:tc>
      </w:tr>
      <w:tr w:rsidR="00BF12D5" w:rsidRPr="00BD0223" w14:paraId="1241372B" w14:textId="77777777" w:rsidTr="0039539B">
        <w:trPr>
          <w:trHeight w:val="317"/>
        </w:trPr>
        <w:tc>
          <w:tcPr>
            <w:tcW w:w="3873" w:type="dxa"/>
            <w:tcBorders>
              <w:top w:val="nil"/>
              <w:left w:val="single" w:sz="4" w:space="0" w:color="auto"/>
              <w:bottom w:val="single" w:sz="4" w:space="0" w:color="auto"/>
              <w:right w:val="single" w:sz="4" w:space="0" w:color="auto"/>
            </w:tcBorders>
            <w:shd w:val="clear" w:color="auto" w:fill="auto"/>
            <w:noWrap/>
            <w:vAlign w:val="center"/>
            <w:hideMark/>
          </w:tcPr>
          <w:p w14:paraId="4703BFB7"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VISTA ALEGRE DO ALTO</w:t>
            </w:r>
          </w:p>
        </w:tc>
        <w:tc>
          <w:tcPr>
            <w:tcW w:w="1304" w:type="dxa"/>
            <w:tcBorders>
              <w:top w:val="nil"/>
              <w:left w:val="nil"/>
              <w:bottom w:val="single" w:sz="4" w:space="0" w:color="auto"/>
              <w:right w:val="single" w:sz="4" w:space="0" w:color="auto"/>
            </w:tcBorders>
            <w:shd w:val="clear" w:color="auto" w:fill="auto"/>
            <w:noWrap/>
            <w:vAlign w:val="center"/>
            <w:hideMark/>
          </w:tcPr>
          <w:p w14:paraId="75DE9E14"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21,50</w:t>
            </w:r>
          </w:p>
        </w:tc>
        <w:tc>
          <w:tcPr>
            <w:tcW w:w="1304" w:type="dxa"/>
            <w:tcBorders>
              <w:top w:val="nil"/>
              <w:left w:val="nil"/>
              <w:bottom w:val="single" w:sz="4" w:space="0" w:color="auto"/>
              <w:right w:val="single" w:sz="4" w:space="0" w:color="auto"/>
            </w:tcBorders>
            <w:shd w:val="clear" w:color="auto" w:fill="auto"/>
            <w:noWrap/>
            <w:vAlign w:val="center"/>
            <w:hideMark/>
          </w:tcPr>
          <w:p w14:paraId="786353DB"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20,59</w:t>
            </w:r>
          </w:p>
        </w:tc>
        <w:tc>
          <w:tcPr>
            <w:tcW w:w="1304" w:type="dxa"/>
            <w:tcBorders>
              <w:top w:val="nil"/>
              <w:left w:val="nil"/>
              <w:bottom w:val="single" w:sz="4" w:space="0" w:color="auto"/>
              <w:right w:val="single" w:sz="4" w:space="0" w:color="auto"/>
            </w:tcBorders>
            <w:shd w:val="clear" w:color="auto" w:fill="auto"/>
            <w:noWrap/>
            <w:vAlign w:val="center"/>
            <w:hideMark/>
          </w:tcPr>
          <w:p w14:paraId="1594FCA9" w14:textId="77777777" w:rsidR="00BF12D5" w:rsidRPr="00BD0223" w:rsidRDefault="00BF12D5" w:rsidP="0039539B">
            <w:pPr>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19,59</w:t>
            </w:r>
          </w:p>
        </w:tc>
        <w:tc>
          <w:tcPr>
            <w:tcW w:w="1304" w:type="dxa"/>
            <w:tcBorders>
              <w:top w:val="nil"/>
              <w:left w:val="nil"/>
              <w:bottom w:val="single" w:sz="4" w:space="0" w:color="auto"/>
              <w:right w:val="single" w:sz="4" w:space="0" w:color="auto"/>
            </w:tcBorders>
            <w:shd w:val="clear" w:color="auto" w:fill="auto"/>
            <w:noWrap/>
            <w:vAlign w:val="center"/>
            <w:hideMark/>
          </w:tcPr>
          <w:p w14:paraId="0FAD9BDD" w14:textId="77777777" w:rsidR="00BF12D5" w:rsidRPr="00BD0223" w:rsidRDefault="00BF12D5" w:rsidP="0039539B">
            <w:pPr>
              <w:keepNext/>
              <w:spacing w:line="240" w:lineRule="auto"/>
              <w:ind w:firstLine="0"/>
              <w:jc w:val="center"/>
              <w:rPr>
                <w:rFonts w:ascii="Times New Roman" w:eastAsia="Times New Roman" w:hAnsi="Times New Roman" w:cs="Times New Roman"/>
                <w:color w:val="000000"/>
                <w:sz w:val="24"/>
                <w:szCs w:val="24"/>
                <w:lang w:eastAsia="pt-BR"/>
              </w:rPr>
            </w:pPr>
            <w:r w:rsidRPr="00BD0223">
              <w:rPr>
                <w:rFonts w:ascii="Times New Roman" w:eastAsia="Times New Roman" w:hAnsi="Times New Roman" w:cs="Times New Roman"/>
                <w:color w:val="000000"/>
                <w:sz w:val="24"/>
                <w:szCs w:val="24"/>
                <w:lang w:eastAsia="pt-BR"/>
              </w:rPr>
              <w:t>18,65</w:t>
            </w:r>
          </w:p>
        </w:tc>
      </w:tr>
    </w:tbl>
    <w:p w14:paraId="6AEE23D7" w14:textId="77777777" w:rsidR="00BF12D5" w:rsidRPr="00906965" w:rsidRDefault="00BF12D5" w:rsidP="00BF12D5">
      <w:pPr>
        <w:pStyle w:val="Ttabela-fonte"/>
        <w:rPr>
          <w:color w:val="FF0000"/>
        </w:rPr>
      </w:pPr>
      <w:r w:rsidRPr="00BD0223">
        <w:t>Fonte: ANP</w:t>
      </w:r>
      <w:r>
        <w:t xml:space="preserve">. </w:t>
      </w:r>
      <w:r w:rsidRPr="00906965">
        <w:t>Elaboração do Autor</w:t>
      </w:r>
      <w:r w:rsidRPr="008D398D">
        <w:rPr>
          <w:color w:val="FF0000"/>
        </w:rPr>
        <w:t>.</w:t>
      </w:r>
    </w:p>
    <w:sectPr w:rsidR="00BF12D5" w:rsidRPr="00906965" w:rsidSect="00E31C01">
      <w:headerReference w:type="default" r:id="rId49"/>
      <w:pgSz w:w="11906" w:h="16838" w:code="9"/>
      <w:pgMar w:top="1701" w:right="1134"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88945" w14:textId="77777777" w:rsidR="00F5352D" w:rsidRDefault="00F5352D" w:rsidP="002F4F51">
      <w:pPr>
        <w:spacing w:line="240" w:lineRule="auto"/>
      </w:pPr>
      <w:r>
        <w:separator/>
      </w:r>
    </w:p>
  </w:endnote>
  <w:endnote w:type="continuationSeparator" w:id="0">
    <w:p w14:paraId="5ACA1C88" w14:textId="77777777" w:rsidR="00F5352D" w:rsidRDefault="00F5352D" w:rsidP="002F4F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altName w:val="@MS Mincho"/>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71102" w14:textId="77777777" w:rsidR="00F5352D" w:rsidRDefault="00F5352D" w:rsidP="002F4F51">
      <w:pPr>
        <w:spacing w:line="240" w:lineRule="auto"/>
      </w:pPr>
      <w:r>
        <w:separator/>
      </w:r>
    </w:p>
  </w:footnote>
  <w:footnote w:type="continuationSeparator" w:id="0">
    <w:p w14:paraId="25D0C3D9" w14:textId="77777777" w:rsidR="00F5352D" w:rsidRDefault="00F5352D" w:rsidP="002F4F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2524009"/>
      <w:docPartObj>
        <w:docPartGallery w:val="Page Numbers (Top of Page)"/>
        <w:docPartUnique/>
      </w:docPartObj>
    </w:sdtPr>
    <w:sdtEndPr>
      <w:rPr>
        <w:rFonts w:ascii="Times New Roman" w:hAnsi="Times New Roman" w:cs="Times New Roman"/>
        <w:color w:val="FFFFFF" w:themeColor="background1"/>
        <w:sz w:val="24"/>
        <w:szCs w:val="24"/>
      </w:rPr>
    </w:sdtEndPr>
    <w:sdtContent>
      <w:p w14:paraId="34EF35F7" w14:textId="16590BBA" w:rsidR="004F409C" w:rsidRPr="00E31C01" w:rsidRDefault="004F409C">
        <w:pPr>
          <w:pStyle w:val="Cabealho"/>
          <w:jc w:val="right"/>
          <w:rPr>
            <w:rFonts w:ascii="Times New Roman" w:hAnsi="Times New Roman" w:cs="Times New Roman"/>
            <w:color w:val="FFFFFF" w:themeColor="background1"/>
            <w:sz w:val="24"/>
            <w:szCs w:val="24"/>
          </w:rPr>
        </w:pPr>
        <w:r w:rsidRPr="00E31C01">
          <w:rPr>
            <w:rFonts w:ascii="Times New Roman" w:hAnsi="Times New Roman" w:cs="Times New Roman"/>
            <w:color w:val="FFFFFF" w:themeColor="background1"/>
            <w:sz w:val="24"/>
            <w:szCs w:val="24"/>
          </w:rPr>
          <w:fldChar w:fldCharType="begin"/>
        </w:r>
        <w:r w:rsidRPr="00E31C01">
          <w:rPr>
            <w:rFonts w:ascii="Times New Roman" w:hAnsi="Times New Roman" w:cs="Times New Roman"/>
            <w:color w:val="FFFFFF" w:themeColor="background1"/>
            <w:sz w:val="24"/>
            <w:szCs w:val="24"/>
          </w:rPr>
          <w:instrText>PAGE   \* MERGEFORMAT</w:instrText>
        </w:r>
        <w:r w:rsidRPr="00E31C01">
          <w:rPr>
            <w:rFonts w:ascii="Times New Roman" w:hAnsi="Times New Roman" w:cs="Times New Roman"/>
            <w:color w:val="FFFFFF" w:themeColor="background1"/>
            <w:sz w:val="24"/>
            <w:szCs w:val="24"/>
          </w:rPr>
          <w:fldChar w:fldCharType="separate"/>
        </w:r>
        <w:r>
          <w:rPr>
            <w:rFonts w:ascii="Times New Roman" w:hAnsi="Times New Roman" w:cs="Times New Roman"/>
            <w:noProof/>
            <w:color w:val="FFFFFF" w:themeColor="background1"/>
            <w:sz w:val="24"/>
            <w:szCs w:val="24"/>
          </w:rPr>
          <w:t>0</w:t>
        </w:r>
        <w:r w:rsidRPr="00E31C01">
          <w:rPr>
            <w:rFonts w:ascii="Times New Roman" w:hAnsi="Times New Roman" w:cs="Times New Roman"/>
            <w:color w:val="FFFFFF" w:themeColor="background1"/>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8411706"/>
      <w:docPartObj>
        <w:docPartGallery w:val="Page Numbers (Top of Page)"/>
        <w:docPartUnique/>
      </w:docPartObj>
    </w:sdtPr>
    <w:sdtEndPr>
      <w:rPr>
        <w:rFonts w:ascii="Times New Roman" w:hAnsi="Times New Roman" w:cs="Times New Roman"/>
        <w:sz w:val="24"/>
        <w:szCs w:val="24"/>
      </w:rPr>
    </w:sdtEndPr>
    <w:sdtContent>
      <w:p w14:paraId="6CB2C22E" w14:textId="77777777" w:rsidR="004F409C" w:rsidRPr="00E31C01" w:rsidRDefault="004F409C">
        <w:pPr>
          <w:pStyle w:val="Cabealho"/>
          <w:jc w:val="right"/>
          <w:rPr>
            <w:rFonts w:ascii="Times New Roman" w:hAnsi="Times New Roman" w:cs="Times New Roman"/>
            <w:sz w:val="24"/>
            <w:szCs w:val="24"/>
          </w:rPr>
        </w:pPr>
        <w:r w:rsidRPr="00E31C01">
          <w:rPr>
            <w:rFonts w:ascii="Times New Roman" w:hAnsi="Times New Roman" w:cs="Times New Roman"/>
            <w:sz w:val="24"/>
            <w:szCs w:val="24"/>
          </w:rPr>
          <w:fldChar w:fldCharType="begin"/>
        </w:r>
        <w:r w:rsidRPr="00E31C01">
          <w:rPr>
            <w:rFonts w:ascii="Times New Roman" w:hAnsi="Times New Roman" w:cs="Times New Roman"/>
            <w:sz w:val="24"/>
            <w:szCs w:val="24"/>
          </w:rPr>
          <w:instrText>PAGE   \* MERGEFORMAT</w:instrText>
        </w:r>
        <w:r w:rsidRPr="00E31C01">
          <w:rPr>
            <w:rFonts w:ascii="Times New Roman" w:hAnsi="Times New Roman" w:cs="Times New Roman"/>
            <w:sz w:val="24"/>
            <w:szCs w:val="24"/>
          </w:rPr>
          <w:fldChar w:fldCharType="separate"/>
        </w:r>
        <w:r>
          <w:rPr>
            <w:rFonts w:ascii="Times New Roman" w:hAnsi="Times New Roman" w:cs="Times New Roman"/>
            <w:noProof/>
            <w:sz w:val="24"/>
            <w:szCs w:val="24"/>
          </w:rPr>
          <w:t>89</w:t>
        </w:r>
        <w:r w:rsidRPr="00E31C01">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D1D38"/>
    <w:multiLevelType w:val="hybridMultilevel"/>
    <w:tmpl w:val="92DC881E"/>
    <w:lvl w:ilvl="0" w:tplc="BCA0D4C8">
      <w:start w:val="1"/>
      <w:numFmt w:val="decimal"/>
      <w:lvlText w:val="%1"/>
      <w:lvlJc w:val="left"/>
      <w:pPr>
        <w:ind w:left="720" w:hanging="360"/>
      </w:pPr>
      <w:rPr>
        <w:rFonts w:ascii="Times New Roman" w:eastAsiaTheme="minorHAnsi" w:hAnsi="Times New Roman" w:cs="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B5A00E0"/>
    <w:multiLevelType w:val="multilevel"/>
    <w:tmpl w:val="5FACB19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BA668DD"/>
    <w:multiLevelType w:val="multilevel"/>
    <w:tmpl w:val="6A4E9902"/>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63E4EE8"/>
    <w:multiLevelType w:val="multilevel"/>
    <w:tmpl w:val="C79433D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7312AE9"/>
    <w:multiLevelType w:val="hybridMultilevel"/>
    <w:tmpl w:val="6B98488E"/>
    <w:lvl w:ilvl="0" w:tplc="02D2A7F4">
      <w:start w:val="1"/>
      <w:numFmt w:val="lowerLetter"/>
      <w:pStyle w:val="TMARCADORletra"/>
      <w:lvlText w:val="%1)"/>
      <w:lvlJc w:val="left"/>
      <w:pPr>
        <w:ind w:left="1068" w:hanging="360"/>
      </w:pPr>
      <w:rPr>
        <w:rFonts w:ascii="Arial" w:hAnsi="Arial" w:hint="default"/>
        <w:b w:val="0"/>
        <w:i w:val="0"/>
        <w:sz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2AA8340D"/>
    <w:multiLevelType w:val="hybridMultilevel"/>
    <w:tmpl w:val="919455F6"/>
    <w:lvl w:ilvl="0" w:tplc="0C3A8BFA">
      <w:start w:val="1"/>
      <w:numFmt w:val="decimal"/>
      <w:lvlText w:val="%1-"/>
      <w:lvlJc w:val="left"/>
      <w:pPr>
        <w:ind w:left="1129" w:hanging="360"/>
      </w:pPr>
      <w:rPr>
        <w:rFonts w:hint="default"/>
      </w:rPr>
    </w:lvl>
    <w:lvl w:ilvl="1" w:tplc="04160019" w:tentative="1">
      <w:start w:val="1"/>
      <w:numFmt w:val="lowerLetter"/>
      <w:lvlText w:val="%2."/>
      <w:lvlJc w:val="left"/>
      <w:pPr>
        <w:ind w:left="1849" w:hanging="360"/>
      </w:pPr>
    </w:lvl>
    <w:lvl w:ilvl="2" w:tplc="0416001B" w:tentative="1">
      <w:start w:val="1"/>
      <w:numFmt w:val="lowerRoman"/>
      <w:lvlText w:val="%3."/>
      <w:lvlJc w:val="right"/>
      <w:pPr>
        <w:ind w:left="2569" w:hanging="180"/>
      </w:pPr>
    </w:lvl>
    <w:lvl w:ilvl="3" w:tplc="0416000F" w:tentative="1">
      <w:start w:val="1"/>
      <w:numFmt w:val="decimal"/>
      <w:lvlText w:val="%4."/>
      <w:lvlJc w:val="left"/>
      <w:pPr>
        <w:ind w:left="3289" w:hanging="360"/>
      </w:pPr>
    </w:lvl>
    <w:lvl w:ilvl="4" w:tplc="04160019" w:tentative="1">
      <w:start w:val="1"/>
      <w:numFmt w:val="lowerLetter"/>
      <w:lvlText w:val="%5."/>
      <w:lvlJc w:val="left"/>
      <w:pPr>
        <w:ind w:left="4009" w:hanging="360"/>
      </w:pPr>
    </w:lvl>
    <w:lvl w:ilvl="5" w:tplc="0416001B" w:tentative="1">
      <w:start w:val="1"/>
      <w:numFmt w:val="lowerRoman"/>
      <w:lvlText w:val="%6."/>
      <w:lvlJc w:val="right"/>
      <w:pPr>
        <w:ind w:left="4729" w:hanging="180"/>
      </w:pPr>
    </w:lvl>
    <w:lvl w:ilvl="6" w:tplc="0416000F" w:tentative="1">
      <w:start w:val="1"/>
      <w:numFmt w:val="decimal"/>
      <w:lvlText w:val="%7."/>
      <w:lvlJc w:val="left"/>
      <w:pPr>
        <w:ind w:left="5449" w:hanging="360"/>
      </w:pPr>
    </w:lvl>
    <w:lvl w:ilvl="7" w:tplc="04160019" w:tentative="1">
      <w:start w:val="1"/>
      <w:numFmt w:val="lowerLetter"/>
      <w:lvlText w:val="%8."/>
      <w:lvlJc w:val="left"/>
      <w:pPr>
        <w:ind w:left="6169" w:hanging="360"/>
      </w:pPr>
    </w:lvl>
    <w:lvl w:ilvl="8" w:tplc="0416001B" w:tentative="1">
      <w:start w:val="1"/>
      <w:numFmt w:val="lowerRoman"/>
      <w:lvlText w:val="%9."/>
      <w:lvlJc w:val="right"/>
      <w:pPr>
        <w:ind w:left="6889" w:hanging="180"/>
      </w:pPr>
    </w:lvl>
  </w:abstractNum>
  <w:abstractNum w:abstractNumId="6" w15:restartNumberingAfterBreak="0">
    <w:nsid w:val="3AC255F1"/>
    <w:multiLevelType w:val="hybridMultilevel"/>
    <w:tmpl w:val="5F6C4B4C"/>
    <w:lvl w:ilvl="0" w:tplc="F642C5FA">
      <w:start w:val="1"/>
      <w:numFmt w:val="bullet"/>
      <w:pStyle w:val="TMARCADOR"/>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15:restartNumberingAfterBreak="0">
    <w:nsid w:val="3AE52130"/>
    <w:multiLevelType w:val="hybridMultilevel"/>
    <w:tmpl w:val="7B5E5BD6"/>
    <w:lvl w:ilvl="0" w:tplc="8C24A618">
      <w:start w:val="1"/>
      <w:numFmt w:val="decimal"/>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8A3B7E"/>
    <w:multiLevelType w:val="hybridMultilevel"/>
    <w:tmpl w:val="EA14ADEC"/>
    <w:lvl w:ilvl="0" w:tplc="2BC6DA08">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C755FAB"/>
    <w:multiLevelType w:val="multilevel"/>
    <w:tmpl w:val="C2E6870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64855EE"/>
    <w:multiLevelType w:val="multilevel"/>
    <w:tmpl w:val="8F506ED8"/>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59BC3A77"/>
    <w:multiLevelType w:val="multilevel"/>
    <w:tmpl w:val="FC2A6F9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2AA6505"/>
    <w:multiLevelType w:val="hybridMultilevel"/>
    <w:tmpl w:val="9CCE2AE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6589021E"/>
    <w:multiLevelType w:val="hybridMultilevel"/>
    <w:tmpl w:val="86A635A8"/>
    <w:lvl w:ilvl="0" w:tplc="63D4577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6A9F12EE"/>
    <w:multiLevelType w:val="hybridMultilevel"/>
    <w:tmpl w:val="3BA0E616"/>
    <w:lvl w:ilvl="0" w:tplc="588C557C">
      <w:start w:val="1"/>
      <w:numFmt w:val="decimal"/>
      <w:pStyle w:val="TMARCADORnumero"/>
      <w:lvlText w:val="%1."/>
      <w:lvlJc w:val="left"/>
      <w:pPr>
        <w:ind w:left="1068" w:hanging="360"/>
      </w:pPr>
      <w:rPr>
        <w:rFonts w:hint="default"/>
        <w:color w:val="auto"/>
        <w:u w:val="none"/>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5" w15:restartNumberingAfterBreak="0">
    <w:nsid w:val="6EA1653F"/>
    <w:multiLevelType w:val="multilevel"/>
    <w:tmpl w:val="C0B690F0"/>
    <w:lvl w:ilvl="0">
      <w:start w:val="1"/>
      <w:numFmt w:val="decimal"/>
      <w:pStyle w:val="TIT1"/>
      <w:lvlText w:val="%1"/>
      <w:lvlJc w:val="left"/>
      <w:pPr>
        <w:ind w:left="720" w:hanging="360"/>
      </w:pPr>
      <w:rPr>
        <w:rFonts w:hint="default"/>
      </w:rPr>
    </w:lvl>
    <w:lvl w:ilvl="1">
      <w:start w:val="1"/>
      <w:numFmt w:val="decimal"/>
      <w:pStyle w:val="TIT2"/>
      <w:isLgl/>
      <w:lvlText w:val="%1.%2"/>
      <w:lvlJc w:val="left"/>
      <w:pPr>
        <w:ind w:left="405" w:hanging="405"/>
      </w:pPr>
      <w:rPr>
        <w:rFonts w:hint="default"/>
      </w:rPr>
    </w:lvl>
    <w:lvl w:ilvl="2">
      <w:start w:val="1"/>
      <w:numFmt w:val="decimal"/>
      <w:pStyle w:val="TIT3"/>
      <w:isLgl/>
      <w:lvlText w:val="%1.%2.%3"/>
      <w:lvlJc w:val="left"/>
      <w:pPr>
        <w:ind w:left="1778" w:hanging="720"/>
      </w:pPr>
      <w:rPr>
        <w:rFonts w:hint="default"/>
      </w:rPr>
    </w:lvl>
    <w:lvl w:ilvl="3">
      <w:start w:val="1"/>
      <w:numFmt w:val="decimal"/>
      <w:pStyle w:val="TIT4"/>
      <w:isLgl/>
      <w:lvlText w:val="%1.%2.%3.%4"/>
      <w:lvlJc w:val="left"/>
      <w:pPr>
        <w:ind w:left="2487" w:hanging="1080"/>
      </w:pPr>
      <w:rPr>
        <w:rFonts w:hint="default"/>
      </w:rPr>
    </w:lvl>
    <w:lvl w:ilvl="4">
      <w:start w:val="1"/>
      <w:numFmt w:val="decimal"/>
      <w:pStyle w:val="TIT5"/>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76992BF9"/>
    <w:multiLevelType w:val="multilevel"/>
    <w:tmpl w:val="94B093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E695122"/>
    <w:multiLevelType w:val="hybridMultilevel"/>
    <w:tmpl w:val="5E5C6940"/>
    <w:lvl w:ilvl="0" w:tplc="6ACEF37C">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8"/>
  </w:num>
  <w:num w:numId="2">
    <w:abstractNumId w:val="1"/>
  </w:num>
  <w:num w:numId="3">
    <w:abstractNumId w:val="2"/>
  </w:num>
  <w:num w:numId="4">
    <w:abstractNumId w:val="9"/>
  </w:num>
  <w:num w:numId="5">
    <w:abstractNumId w:val="10"/>
  </w:num>
  <w:num w:numId="6">
    <w:abstractNumId w:val="3"/>
  </w:num>
  <w:num w:numId="7">
    <w:abstractNumId w:val="5"/>
  </w:num>
  <w:num w:numId="8">
    <w:abstractNumId w:val="13"/>
  </w:num>
  <w:num w:numId="9">
    <w:abstractNumId w:val="17"/>
  </w:num>
  <w:num w:numId="10">
    <w:abstractNumId w:val="0"/>
  </w:num>
  <w:num w:numId="11">
    <w:abstractNumId w:val="6"/>
  </w:num>
  <w:num w:numId="12">
    <w:abstractNumId w:val="14"/>
  </w:num>
  <w:num w:numId="13">
    <w:abstractNumId w:val="4"/>
  </w:num>
  <w:num w:numId="14">
    <w:abstractNumId w:val="15"/>
  </w:num>
  <w:num w:numId="15">
    <w:abstractNumId w:val="12"/>
  </w:num>
  <w:num w:numId="16">
    <w:abstractNumId w:val="16"/>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AA"/>
    <w:rsid w:val="00002222"/>
    <w:rsid w:val="00005F94"/>
    <w:rsid w:val="0000722A"/>
    <w:rsid w:val="00012A67"/>
    <w:rsid w:val="00013603"/>
    <w:rsid w:val="00016269"/>
    <w:rsid w:val="0002091C"/>
    <w:rsid w:val="00021B7E"/>
    <w:rsid w:val="0004079C"/>
    <w:rsid w:val="00040CEC"/>
    <w:rsid w:val="00041EA9"/>
    <w:rsid w:val="000420B2"/>
    <w:rsid w:val="00050F84"/>
    <w:rsid w:val="0005288C"/>
    <w:rsid w:val="0005331A"/>
    <w:rsid w:val="000674A6"/>
    <w:rsid w:val="00070E0D"/>
    <w:rsid w:val="00086D00"/>
    <w:rsid w:val="00093223"/>
    <w:rsid w:val="00093E18"/>
    <w:rsid w:val="000959D5"/>
    <w:rsid w:val="00095F14"/>
    <w:rsid w:val="000A6570"/>
    <w:rsid w:val="000A7980"/>
    <w:rsid w:val="000A7C71"/>
    <w:rsid w:val="000B4737"/>
    <w:rsid w:val="000B5BEB"/>
    <w:rsid w:val="000C0C8F"/>
    <w:rsid w:val="000C4D6B"/>
    <w:rsid w:val="000D2E6F"/>
    <w:rsid w:val="000D2E96"/>
    <w:rsid w:val="000D5659"/>
    <w:rsid w:val="000D6CBE"/>
    <w:rsid w:val="000E4B28"/>
    <w:rsid w:val="000E565F"/>
    <w:rsid w:val="000F0A4F"/>
    <w:rsid w:val="000F12C3"/>
    <w:rsid w:val="000F23A2"/>
    <w:rsid w:val="000F6AAB"/>
    <w:rsid w:val="00102CC0"/>
    <w:rsid w:val="001155A8"/>
    <w:rsid w:val="00120BB7"/>
    <w:rsid w:val="00123A44"/>
    <w:rsid w:val="00131DFD"/>
    <w:rsid w:val="00133C78"/>
    <w:rsid w:val="00135795"/>
    <w:rsid w:val="00142B6E"/>
    <w:rsid w:val="00144336"/>
    <w:rsid w:val="00146ACF"/>
    <w:rsid w:val="001505E0"/>
    <w:rsid w:val="001506A7"/>
    <w:rsid w:val="00151E89"/>
    <w:rsid w:val="0015281D"/>
    <w:rsid w:val="00155C43"/>
    <w:rsid w:val="0015777D"/>
    <w:rsid w:val="0016129D"/>
    <w:rsid w:val="001677B9"/>
    <w:rsid w:val="001774FB"/>
    <w:rsid w:val="00186DF1"/>
    <w:rsid w:val="00192628"/>
    <w:rsid w:val="001A7FA5"/>
    <w:rsid w:val="001B3558"/>
    <w:rsid w:val="001B526B"/>
    <w:rsid w:val="001B5DFB"/>
    <w:rsid w:val="001C03A7"/>
    <w:rsid w:val="001C395B"/>
    <w:rsid w:val="001C3A20"/>
    <w:rsid w:val="001C3AEF"/>
    <w:rsid w:val="001C3EDC"/>
    <w:rsid w:val="001C43A4"/>
    <w:rsid w:val="001E3AC3"/>
    <w:rsid w:val="001E57B0"/>
    <w:rsid w:val="001F6BC5"/>
    <w:rsid w:val="00201EC7"/>
    <w:rsid w:val="002048AB"/>
    <w:rsid w:val="00204E1D"/>
    <w:rsid w:val="00206403"/>
    <w:rsid w:val="00210536"/>
    <w:rsid w:val="00211528"/>
    <w:rsid w:val="00220481"/>
    <w:rsid w:val="00222608"/>
    <w:rsid w:val="00224B07"/>
    <w:rsid w:val="00225216"/>
    <w:rsid w:val="00226D2E"/>
    <w:rsid w:val="00232681"/>
    <w:rsid w:val="002345BD"/>
    <w:rsid w:val="00235503"/>
    <w:rsid w:val="00241302"/>
    <w:rsid w:val="00243252"/>
    <w:rsid w:val="00264152"/>
    <w:rsid w:val="002651BC"/>
    <w:rsid w:val="00284AF1"/>
    <w:rsid w:val="00284D06"/>
    <w:rsid w:val="002A3CE6"/>
    <w:rsid w:val="002A4BF7"/>
    <w:rsid w:val="002A5332"/>
    <w:rsid w:val="002A70E2"/>
    <w:rsid w:val="002B0051"/>
    <w:rsid w:val="002B24C4"/>
    <w:rsid w:val="002C30EE"/>
    <w:rsid w:val="002C3923"/>
    <w:rsid w:val="002C62E3"/>
    <w:rsid w:val="002D093E"/>
    <w:rsid w:val="002D1AD7"/>
    <w:rsid w:val="002E10CD"/>
    <w:rsid w:val="002E1408"/>
    <w:rsid w:val="002E170E"/>
    <w:rsid w:val="002E1C68"/>
    <w:rsid w:val="002E2E0A"/>
    <w:rsid w:val="002F0EB3"/>
    <w:rsid w:val="002F372D"/>
    <w:rsid w:val="002F4F51"/>
    <w:rsid w:val="002F6E9D"/>
    <w:rsid w:val="00302498"/>
    <w:rsid w:val="003105AA"/>
    <w:rsid w:val="00311CFB"/>
    <w:rsid w:val="003224AE"/>
    <w:rsid w:val="003334E3"/>
    <w:rsid w:val="00334581"/>
    <w:rsid w:val="00336D5F"/>
    <w:rsid w:val="00337074"/>
    <w:rsid w:val="00341195"/>
    <w:rsid w:val="003428CB"/>
    <w:rsid w:val="00343FD5"/>
    <w:rsid w:val="00344864"/>
    <w:rsid w:val="00346465"/>
    <w:rsid w:val="00347081"/>
    <w:rsid w:val="00350324"/>
    <w:rsid w:val="00351C23"/>
    <w:rsid w:val="00352A57"/>
    <w:rsid w:val="0035642E"/>
    <w:rsid w:val="00362787"/>
    <w:rsid w:val="003658FC"/>
    <w:rsid w:val="00365E1F"/>
    <w:rsid w:val="00365F1A"/>
    <w:rsid w:val="00373E77"/>
    <w:rsid w:val="00374C86"/>
    <w:rsid w:val="00383286"/>
    <w:rsid w:val="00383D31"/>
    <w:rsid w:val="00384DD6"/>
    <w:rsid w:val="0038614F"/>
    <w:rsid w:val="00390C16"/>
    <w:rsid w:val="003915FE"/>
    <w:rsid w:val="0039539B"/>
    <w:rsid w:val="003A0290"/>
    <w:rsid w:val="003A48F1"/>
    <w:rsid w:val="003B5AA5"/>
    <w:rsid w:val="003B67E0"/>
    <w:rsid w:val="003C105E"/>
    <w:rsid w:val="003C31FB"/>
    <w:rsid w:val="003C526A"/>
    <w:rsid w:val="003C6867"/>
    <w:rsid w:val="003D2662"/>
    <w:rsid w:val="003E0EC0"/>
    <w:rsid w:val="003E4366"/>
    <w:rsid w:val="003F37A3"/>
    <w:rsid w:val="003F3931"/>
    <w:rsid w:val="003F4FCD"/>
    <w:rsid w:val="00400077"/>
    <w:rsid w:val="0042199A"/>
    <w:rsid w:val="00421A81"/>
    <w:rsid w:val="00424C77"/>
    <w:rsid w:val="00426DE8"/>
    <w:rsid w:val="00431AB7"/>
    <w:rsid w:val="00432507"/>
    <w:rsid w:val="00432F70"/>
    <w:rsid w:val="00441F17"/>
    <w:rsid w:val="00451CBC"/>
    <w:rsid w:val="00453370"/>
    <w:rsid w:val="00463057"/>
    <w:rsid w:val="00463873"/>
    <w:rsid w:val="004769AC"/>
    <w:rsid w:val="004872A2"/>
    <w:rsid w:val="00494D01"/>
    <w:rsid w:val="00497180"/>
    <w:rsid w:val="004A00E8"/>
    <w:rsid w:val="004A035C"/>
    <w:rsid w:val="004A0375"/>
    <w:rsid w:val="004A0FCE"/>
    <w:rsid w:val="004A2F1E"/>
    <w:rsid w:val="004A4C75"/>
    <w:rsid w:val="004A5705"/>
    <w:rsid w:val="004B026D"/>
    <w:rsid w:val="004B39FB"/>
    <w:rsid w:val="004C0BCA"/>
    <w:rsid w:val="004C4878"/>
    <w:rsid w:val="004C674A"/>
    <w:rsid w:val="004E42EF"/>
    <w:rsid w:val="004F409C"/>
    <w:rsid w:val="00500E73"/>
    <w:rsid w:val="00501756"/>
    <w:rsid w:val="00502AC9"/>
    <w:rsid w:val="00503D1C"/>
    <w:rsid w:val="00504E04"/>
    <w:rsid w:val="00505530"/>
    <w:rsid w:val="00507158"/>
    <w:rsid w:val="005072CC"/>
    <w:rsid w:val="00516FFA"/>
    <w:rsid w:val="00524AF8"/>
    <w:rsid w:val="005277B0"/>
    <w:rsid w:val="00533D42"/>
    <w:rsid w:val="00540BA3"/>
    <w:rsid w:val="005415A2"/>
    <w:rsid w:val="00542F3F"/>
    <w:rsid w:val="0054749D"/>
    <w:rsid w:val="00554CB5"/>
    <w:rsid w:val="00566B67"/>
    <w:rsid w:val="00566FE6"/>
    <w:rsid w:val="00570A34"/>
    <w:rsid w:val="0057791F"/>
    <w:rsid w:val="005930D2"/>
    <w:rsid w:val="00593E80"/>
    <w:rsid w:val="005A75F1"/>
    <w:rsid w:val="005B22AC"/>
    <w:rsid w:val="005B3C7E"/>
    <w:rsid w:val="005B681C"/>
    <w:rsid w:val="005C76E0"/>
    <w:rsid w:val="005D0D80"/>
    <w:rsid w:val="005D4A88"/>
    <w:rsid w:val="005E01D5"/>
    <w:rsid w:val="00605EEF"/>
    <w:rsid w:val="00610837"/>
    <w:rsid w:val="00611B88"/>
    <w:rsid w:val="006139E1"/>
    <w:rsid w:val="00616D5C"/>
    <w:rsid w:val="006260EF"/>
    <w:rsid w:val="00627B1A"/>
    <w:rsid w:val="00632FD5"/>
    <w:rsid w:val="00635AB6"/>
    <w:rsid w:val="00636018"/>
    <w:rsid w:val="00640DCC"/>
    <w:rsid w:val="00647689"/>
    <w:rsid w:val="00665049"/>
    <w:rsid w:val="00667830"/>
    <w:rsid w:val="00670619"/>
    <w:rsid w:val="006814F4"/>
    <w:rsid w:val="0068657F"/>
    <w:rsid w:val="00687348"/>
    <w:rsid w:val="006A0D5E"/>
    <w:rsid w:val="006A18ED"/>
    <w:rsid w:val="006A6980"/>
    <w:rsid w:val="006A7EF5"/>
    <w:rsid w:val="006C6657"/>
    <w:rsid w:val="006D0261"/>
    <w:rsid w:val="006D3163"/>
    <w:rsid w:val="006D40F6"/>
    <w:rsid w:val="006E165E"/>
    <w:rsid w:val="006E3F3E"/>
    <w:rsid w:val="006E4C25"/>
    <w:rsid w:val="006E589C"/>
    <w:rsid w:val="006E73BA"/>
    <w:rsid w:val="006F4E48"/>
    <w:rsid w:val="0070384D"/>
    <w:rsid w:val="007072C3"/>
    <w:rsid w:val="00714B02"/>
    <w:rsid w:val="0072156F"/>
    <w:rsid w:val="00726239"/>
    <w:rsid w:val="00734D03"/>
    <w:rsid w:val="007360B2"/>
    <w:rsid w:val="00736724"/>
    <w:rsid w:val="00742808"/>
    <w:rsid w:val="00744939"/>
    <w:rsid w:val="0074535C"/>
    <w:rsid w:val="0075021F"/>
    <w:rsid w:val="00750E90"/>
    <w:rsid w:val="00752EA7"/>
    <w:rsid w:val="00763B11"/>
    <w:rsid w:val="00763D12"/>
    <w:rsid w:val="00764C85"/>
    <w:rsid w:val="0076781F"/>
    <w:rsid w:val="0077242E"/>
    <w:rsid w:val="007777ED"/>
    <w:rsid w:val="007833E1"/>
    <w:rsid w:val="00784AA3"/>
    <w:rsid w:val="007855D9"/>
    <w:rsid w:val="00794FC2"/>
    <w:rsid w:val="007953BA"/>
    <w:rsid w:val="00795C70"/>
    <w:rsid w:val="00796CA1"/>
    <w:rsid w:val="007A0511"/>
    <w:rsid w:val="007A3CF3"/>
    <w:rsid w:val="007A55C5"/>
    <w:rsid w:val="007B0A26"/>
    <w:rsid w:val="007B73B9"/>
    <w:rsid w:val="007B7E33"/>
    <w:rsid w:val="007C0824"/>
    <w:rsid w:val="007C6721"/>
    <w:rsid w:val="007C7905"/>
    <w:rsid w:val="007D7A19"/>
    <w:rsid w:val="007E224E"/>
    <w:rsid w:val="007E34E0"/>
    <w:rsid w:val="007E76C1"/>
    <w:rsid w:val="007F4357"/>
    <w:rsid w:val="007F644E"/>
    <w:rsid w:val="00803224"/>
    <w:rsid w:val="00816E33"/>
    <w:rsid w:val="0082627D"/>
    <w:rsid w:val="0084239C"/>
    <w:rsid w:val="00842A29"/>
    <w:rsid w:val="008449D8"/>
    <w:rsid w:val="00851C05"/>
    <w:rsid w:val="00855683"/>
    <w:rsid w:val="00855A35"/>
    <w:rsid w:val="00856FCC"/>
    <w:rsid w:val="00862CCA"/>
    <w:rsid w:val="00870E6B"/>
    <w:rsid w:val="00880B63"/>
    <w:rsid w:val="00881C17"/>
    <w:rsid w:val="00882A47"/>
    <w:rsid w:val="008841D4"/>
    <w:rsid w:val="00884548"/>
    <w:rsid w:val="008851AE"/>
    <w:rsid w:val="00891D7C"/>
    <w:rsid w:val="008936D6"/>
    <w:rsid w:val="00897F3C"/>
    <w:rsid w:val="008A46C4"/>
    <w:rsid w:val="008C006A"/>
    <w:rsid w:val="008C01E7"/>
    <w:rsid w:val="008C4917"/>
    <w:rsid w:val="008C52EF"/>
    <w:rsid w:val="008C587F"/>
    <w:rsid w:val="008D0479"/>
    <w:rsid w:val="008D0925"/>
    <w:rsid w:val="008D398D"/>
    <w:rsid w:val="008D5C8E"/>
    <w:rsid w:val="008E54E4"/>
    <w:rsid w:val="008E5F6A"/>
    <w:rsid w:val="008F1DEC"/>
    <w:rsid w:val="008F6045"/>
    <w:rsid w:val="00900472"/>
    <w:rsid w:val="009034B1"/>
    <w:rsid w:val="009123A0"/>
    <w:rsid w:val="009167B3"/>
    <w:rsid w:val="00916E95"/>
    <w:rsid w:val="0092203E"/>
    <w:rsid w:val="009257FA"/>
    <w:rsid w:val="0092751A"/>
    <w:rsid w:val="00930F17"/>
    <w:rsid w:val="00941782"/>
    <w:rsid w:val="00943C5F"/>
    <w:rsid w:val="00945988"/>
    <w:rsid w:val="00945B6C"/>
    <w:rsid w:val="009566DF"/>
    <w:rsid w:val="0096280C"/>
    <w:rsid w:val="009646A6"/>
    <w:rsid w:val="00965817"/>
    <w:rsid w:val="00970A10"/>
    <w:rsid w:val="00974809"/>
    <w:rsid w:val="00981BEB"/>
    <w:rsid w:val="009838EE"/>
    <w:rsid w:val="009855B2"/>
    <w:rsid w:val="00993375"/>
    <w:rsid w:val="009949A6"/>
    <w:rsid w:val="00995906"/>
    <w:rsid w:val="009959F4"/>
    <w:rsid w:val="009A0F72"/>
    <w:rsid w:val="009A209F"/>
    <w:rsid w:val="009A3F0F"/>
    <w:rsid w:val="009A5BEE"/>
    <w:rsid w:val="009A61E7"/>
    <w:rsid w:val="009A777A"/>
    <w:rsid w:val="009B3B80"/>
    <w:rsid w:val="009B4E4D"/>
    <w:rsid w:val="009B67B5"/>
    <w:rsid w:val="009C374A"/>
    <w:rsid w:val="009C51EF"/>
    <w:rsid w:val="009E0B1E"/>
    <w:rsid w:val="009E1F4E"/>
    <w:rsid w:val="009E4F44"/>
    <w:rsid w:val="009F26E7"/>
    <w:rsid w:val="009F38A6"/>
    <w:rsid w:val="009F419D"/>
    <w:rsid w:val="009F6869"/>
    <w:rsid w:val="009F6E7F"/>
    <w:rsid w:val="00A04F4D"/>
    <w:rsid w:val="00A077E5"/>
    <w:rsid w:val="00A10DAA"/>
    <w:rsid w:val="00A20F8D"/>
    <w:rsid w:val="00A24CD5"/>
    <w:rsid w:val="00A31997"/>
    <w:rsid w:val="00A32CBB"/>
    <w:rsid w:val="00A334E5"/>
    <w:rsid w:val="00A37F83"/>
    <w:rsid w:val="00A54E85"/>
    <w:rsid w:val="00A558B6"/>
    <w:rsid w:val="00A56969"/>
    <w:rsid w:val="00A96972"/>
    <w:rsid w:val="00A96EA8"/>
    <w:rsid w:val="00AA2EF4"/>
    <w:rsid w:val="00AA364C"/>
    <w:rsid w:val="00AA39C9"/>
    <w:rsid w:val="00AA4D1B"/>
    <w:rsid w:val="00AA5036"/>
    <w:rsid w:val="00AB6AC1"/>
    <w:rsid w:val="00AC221F"/>
    <w:rsid w:val="00AD04A3"/>
    <w:rsid w:val="00AE03A1"/>
    <w:rsid w:val="00AE2D84"/>
    <w:rsid w:val="00AE3D96"/>
    <w:rsid w:val="00AF350C"/>
    <w:rsid w:val="00AF5736"/>
    <w:rsid w:val="00AF6E39"/>
    <w:rsid w:val="00B00E99"/>
    <w:rsid w:val="00B106B1"/>
    <w:rsid w:val="00B10EFF"/>
    <w:rsid w:val="00B21098"/>
    <w:rsid w:val="00B21F9A"/>
    <w:rsid w:val="00B2420D"/>
    <w:rsid w:val="00B33964"/>
    <w:rsid w:val="00B42260"/>
    <w:rsid w:val="00B51E00"/>
    <w:rsid w:val="00B54FB9"/>
    <w:rsid w:val="00B64E20"/>
    <w:rsid w:val="00B669C7"/>
    <w:rsid w:val="00B67650"/>
    <w:rsid w:val="00B70BDD"/>
    <w:rsid w:val="00B72471"/>
    <w:rsid w:val="00B74207"/>
    <w:rsid w:val="00B7491D"/>
    <w:rsid w:val="00B80411"/>
    <w:rsid w:val="00B87405"/>
    <w:rsid w:val="00B91205"/>
    <w:rsid w:val="00B93161"/>
    <w:rsid w:val="00BA0470"/>
    <w:rsid w:val="00BA29F1"/>
    <w:rsid w:val="00BA2B91"/>
    <w:rsid w:val="00BA41E7"/>
    <w:rsid w:val="00BA63C9"/>
    <w:rsid w:val="00BB60F7"/>
    <w:rsid w:val="00BB6A01"/>
    <w:rsid w:val="00BC2A66"/>
    <w:rsid w:val="00BC7E72"/>
    <w:rsid w:val="00BD0223"/>
    <w:rsid w:val="00BD4862"/>
    <w:rsid w:val="00BD7A1B"/>
    <w:rsid w:val="00BE0832"/>
    <w:rsid w:val="00BE63DB"/>
    <w:rsid w:val="00BE7859"/>
    <w:rsid w:val="00BF12D5"/>
    <w:rsid w:val="00BF3FBB"/>
    <w:rsid w:val="00C010A1"/>
    <w:rsid w:val="00C019E1"/>
    <w:rsid w:val="00C0239C"/>
    <w:rsid w:val="00C06AA4"/>
    <w:rsid w:val="00C06F50"/>
    <w:rsid w:val="00C117F2"/>
    <w:rsid w:val="00C31918"/>
    <w:rsid w:val="00C34859"/>
    <w:rsid w:val="00C379CB"/>
    <w:rsid w:val="00C41EA2"/>
    <w:rsid w:val="00C44DFC"/>
    <w:rsid w:val="00C523B1"/>
    <w:rsid w:val="00C57FFE"/>
    <w:rsid w:val="00C6022F"/>
    <w:rsid w:val="00C65C6C"/>
    <w:rsid w:val="00C67110"/>
    <w:rsid w:val="00C771FA"/>
    <w:rsid w:val="00C82AC3"/>
    <w:rsid w:val="00C83CF2"/>
    <w:rsid w:val="00C854B3"/>
    <w:rsid w:val="00C85B5D"/>
    <w:rsid w:val="00C90F95"/>
    <w:rsid w:val="00C93C97"/>
    <w:rsid w:val="00C94EE5"/>
    <w:rsid w:val="00C976FA"/>
    <w:rsid w:val="00C97A1D"/>
    <w:rsid w:val="00CA4FF5"/>
    <w:rsid w:val="00CB230B"/>
    <w:rsid w:val="00CB28B5"/>
    <w:rsid w:val="00CB33E3"/>
    <w:rsid w:val="00CC0810"/>
    <w:rsid w:val="00CC425C"/>
    <w:rsid w:val="00CC51C7"/>
    <w:rsid w:val="00CC798F"/>
    <w:rsid w:val="00CD582A"/>
    <w:rsid w:val="00CD6E5A"/>
    <w:rsid w:val="00CE09F8"/>
    <w:rsid w:val="00CE5A19"/>
    <w:rsid w:val="00CE6340"/>
    <w:rsid w:val="00CF26A4"/>
    <w:rsid w:val="00CF4553"/>
    <w:rsid w:val="00D06090"/>
    <w:rsid w:val="00D15275"/>
    <w:rsid w:val="00D225F6"/>
    <w:rsid w:val="00D26E2D"/>
    <w:rsid w:val="00D33C45"/>
    <w:rsid w:val="00D419E7"/>
    <w:rsid w:val="00D4755A"/>
    <w:rsid w:val="00D47CE0"/>
    <w:rsid w:val="00D5713E"/>
    <w:rsid w:val="00D622A3"/>
    <w:rsid w:val="00D76433"/>
    <w:rsid w:val="00D80AB4"/>
    <w:rsid w:val="00D8324A"/>
    <w:rsid w:val="00D84CF3"/>
    <w:rsid w:val="00D85734"/>
    <w:rsid w:val="00D87017"/>
    <w:rsid w:val="00D926C7"/>
    <w:rsid w:val="00D9352B"/>
    <w:rsid w:val="00D93C66"/>
    <w:rsid w:val="00D9691F"/>
    <w:rsid w:val="00DA14B7"/>
    <w:rsid w:val="00DA2550"/>
    <w:rsid w:val="00DA76F5"/>
    <w:rsid w:val="00DA79BA"/>
    <w:rsid w:val="00DB09C2"/>
    <w:rsid w:val="00DB1630"/>
    <w:rsid w:val="00DB69F8"/>
    <w:rsid w:val="00DC02F1"/>
    <w:rsid w:val="00DC3E12"/>
    <w:rsid w:val="00DC40F4"/>
    <w:rsid w:val="00DC5766"/>
    <w:rsid w:val="00DD623E"/>
    <w:rsid w:val="00DD7064"/>
    <w:rsid w:val="00DE0650"/>
    <w:rsid w:val="00DE40A5"/>
    <w:rsid w:val="00DF2897"/>
    <w:rsid w:val="00DF3177"/>
    <w:rsid w:val="00DF5223"/>
    <w:rsid w:val="00DF6627"/>
    <w:rsid w:val="00DF684F"/>
    <w:rsid w:val="00E06F54"/>
    <w:rsid w:val="00E07795"/>
    <w:rsid w:val="00E1077B"/>
    <w:rsid w:val="00E1089D"/>
    <w:rsid w:val="00E1335F"/>
    <w:rsid w:val="00E16FCE"/>
    <w:rsid w:val="00E22BA1"/>
    <w:rsid w:val="00E300DF"/>
    <w:rsid w:val="00E30DEB"/>
    <w:rsid w:val="00E31C01"/>
    <w:rsid w:val="00E41E4E"/>
    <w:rsid w:val="00E47632"/>
    <w:rsid w:val="00E56233"/>
    <w:rsid w:val="00E61580"/>
    <w:rsid w:val="00E72AEC"/>
    <w:rsid w:val="00E77ED2"/>
    <w:rsid w:val="00E834B8"/>
    <w:rsid w:val="00E83552"/>
    <w:rsid w:val="00E86E32"/>
    <w:rsid w:val="00EA0CDB"/>
    <w:rsid w:val="00EA54A8"/>
    <w:rsid w:val="00EB07F0"/>
    <w:rsid w:val="00EB5C96"/>
    <w:rsid w:val="00EC05B7"/>
    <w:rsid w:val="00EC62CB"/>
    <w:rsid w:val="00EC6C03"/>
    <w:rsid w:val="00EE387D"/>
    <w:rsid w:val="00EE6F26"/>
    <w:rsid w:val="00EF0026"/>
    <w:rsid w:val="00EF3F7A"/>
    <w:rsid w:val="00F01802"/>
    <w:rsid w:val="00F20823"/>
    <w:rsid w:val="00F20B1C"/>
    <w:rsid w:val="00F23458"/>
    <w:rsid w:val="00F357B8"/>
    <w:rsid w:val="00F37B1D"/>
    <w:rsid w:val="00F40309"/>
    <w:rsid w:val="00F4269A"/>
    <w:rsid w:val="00F442CB"/>
    <w:rsid w:val="00F46BEF"/>
    <w:rsid w:val="00F51D90"/>
    <w:rsid w:val="00F53249"/>
    <w:rsid w:val="00F5352D"/>
    <w:rsid w:val="00F538C3"/>
    <w:rsid w:val="00F547B7"/>
    <w:rsid w:val="00F6674B"/>
    <w:rsid w:val="00F72D7F"/>
    <w:rsid w:val="00F76FD2"/>
    <w:rsid w:val="00F939B0"/>
    <w:rsid w:val="00F96D23"/>
    <w:rsid w:val="00FA1FCD"/>
    <w:rsid w:val="00FB000B"/>
    <w:rsid w:val="00FB05D3"/>
    <w:rsid w:val="00FB14A2"/>
    <w:rsid w:val="00FB77EA"/>
    <w:rsid w:val="00FC36CD"/>
    <w:rsid w:val="00FC5F46"/>
    <w:rsid w:val="00FD52BB"/>
    <w:rsid w:val="00FE31D6"/>
    <w:rsid w:val="00FE5C58"/>
    <w:rsid w:val="00FF2038"/>
    <w:rsid w:val="00FF2257"/>
    <w:rsid w:val="00FF3563"/>
    <w:rsid w:val="00FF6E05"/>
    <w:rsid w:val="00FF7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9624"/>
  <w15:docId w15:val="{D6078282-6281-4230-A703-D140C860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F4F5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05AA"/>
    <w:pPr>
      <w:ind w:left="720"/>
      <w:contextualSpacing/>
    </w:pPr>
  </w:style>
  <w:style w:type="paragraph" w:styleId="Legenda">
    <w:name w:val="caption"/>
    <w:basedOn w:val="Normal"/>
    <w:next w:val="Normal"/>
    <w:uiPriority w:val="35"/>
    <w:unhideWhenUsed/>
    <w:qFormat/>
    <w:rsid w:val="00BA0470"/>
    <w:pPr>
      <w:spacing w:after="200" w:line="240" w:lineRule="auto"/>
    </w:pPr>
    <w:rPr>
      <w:i/>
      <w:iCs/>
      <w:color w:val="44546A" w:themeColor="text2"/>
      <w:sz w:val="18"/>
      <w:szCs w:val="18"/>
    </w:rPr>
  </w:style>
  <w:style w:type="table" w:styleId="Tabelacomgrade">
    <w:name w:val="Table Grid"/>
    <w:basedOn w:val="Tabelanormal"/>
    <w:uiPriority w:val="59"/>
    <w:rsid w:val="00DC40F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B91205"/>
    <w:rPr>
      <w:i/>
      <w:iCs/>
    </w:rPr>
  </w:style>
  <w:style w:type="character" w:customStyle="1" w:styleId="Ttulo1Char">
    <w:name w:val="Título 1 Char"/>
    <w:basedOn w:val="Fontepargpadro"/>
    <w:link w:val="Ttulo1"/>
    <w:uiPriority w:val="9"/>
    <w:rsid w:val="002F4F51"/>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2F4F51"/>
    <w:pPr>
      <w:spacing w:line="259" w:lineRule="auto"/>
      <w:ind w:firstLine="0"/>
      <w:jc w:val="left"/>
      <w:outlineLvl w:val="9"/>
    </w:pPr>
    <w:rPr>
      <w:lang w:eastAsia="pt-BR"/>
    </w:rPr>
  </w:style>
  <w:style w:type="paragraph" w:styleId="Sumrio2">
    <w:name w:val="toc 2"/>
    <w:basedOn w:val="TSUMARIO"/>
    <w:next w:val="Normal"/>
    <w:autoRedefine/>
    <w:uiPriority w:val="39"/>
    <w:unhideWhenUsed/>
    <w:rsid w:val="00E31C01"/>
    <w:rPr>
      <w:noProof/>
    </w:rPr>
  </w:style>
  <w:style w:type="paragraph" w:styleId="Sumrio1">
    <w:name w:val="toc 1"/>
    <w:basedOn w:val="TSUMARIO"/>
    <w:next w:val="Normal"/>
    <w:autoRedefine/>
    <w:uiPriority w:val="39"/>
    <w:unhideWhenUsed/>
    <w:rsid w:val="001C03A7"/>
    <w:pPr>
      <w:spacing w:before="200"/>
      <w:ind w:right="567"/>
    </w:pPr>
    <w:rPr>
      <w:b/>
      <w:noProof/>
    </w:rPr>
  </w:style>
  <w:style w:type="paragraph" w:styleId="Sumrio3">
    <w:name w:val="toc 3"/>
    <w:basedOn w:val="TSUMARIO"/>
    <w:next w:val="Normal"/>
    <w:autoRedefine/>
    <w:uiPriority w:val="39"/>
    <w:unhideWhenUsed/>
    <w:rsid w:val="00E31C01"/>
    <w:rPr>
      <w:b/>
      <w:noProof/>
    </w:rPr>
  </w:style>
  <w:style w:type="paragraph" w:styleId="Cabealho">
    <w:name w:val="header"/>
    <w:basedOn w:val="Normal"/>
    <w:link w:val="CabealhoChar"/>
    <w:uiPriority w:val="99"/>
    <w:unhideWhenUsed/>
    <w:rsid w:val="002F4F51"/>
    <w:pPr>
      <w:tabs>
        <w:tab w:val="center" w:pos="4252"/>
        <w:tab w:val="right" w:pos="8504"/>
      </w:tabs>
      <w:spacing w:line="240" w:lineRule="auto"/>
    </w:pPr>
  </w:style>
  <w:style w:type="character" w:customStyle="1" w:styleId="CabealhoChar">
    <w:name w:val="Cabeçalho Char"/>
    <w:basedOn w:val="Fontepargpadro"/>
    <w:link w:val="Cabealho"/>
    <w:uiPriority w:val="99"/>
    <w:rsid w:val="002F4F51"/>
  </w:style>
  <w:style w:type="paragraph" w:styleId="Rodap">
    <w:name w:val="footer"/>
    <w:basedOn w:val="Normal"/>
    <w:link w:val="RodapChar"/>
    <w:uiPriority w:val="99"/>
    <w:unhideWhenUsed/>
    <w:rsid w:val="002F4F51"/>
    <w:pPr>
      <w:tabs>
        <w:tab w:val="center" w:pos="4252"/>
        <w:tab w:val="right" w:pos="8504"/>
      </w:tabs>
      <w:spacing w:line="240" w:lineRule="auto"/>
    </w:pPr>
  </w:style>
  <w:style w:type="character" w:customStyle="1" w:styleId="RodapChar">
    <w:name w:val="Rodapé Char"/>
    <w:basedOn w:val="Fontepargpadro"/>
    <w:link w:val="Rodap"/>
    <w:uiPriority w:val="99"/>
    <w:rsid w:val="002F4F51"/>
  </w:style>
  <w:style w:type="character" w:styleId="Hyperlink">
    <w:name w:val="Hyperlink"/>
    <w:basedOn w:val="Fontepargpadro"/>
    <w:uiPriority w:val="99"/>
    <w:unhideWhenUsed/>
    <w:rsid w:val="00D926C7"/>
    <w:rPr>
      <w:color w:val="0000FF"/>
      <w:u w:val="single"/>
    </w:rPr>
  </w:style>
  <w:style w:type="character" w:customStyle="1" w:styleId="article-title">
    <w:name w:val="article-title"/>
    <w:basedOn w:val="Fontepargpadro"/>
    <w:rsid w:val="00D926C7"/>
  </w:style>
  <w:style w:type="paragraph" w:customStyle="1" w:styleId="TMARCADORnumero">
    <w:name w:val="T MARCADOR numero"/>
    <w:basedOn w:val="TMARCADOR"/>
    <w:next w:val="TNORMAL"/>
    <w:rsid w:val="00C117F2"/>
    <w:pPr>
      <w:numPr>
        <w:numId w:val="12"/>
      </w:numPr>
    </w:pPr>
  </w:style>
  <w:style w:type="paragraph" w:customStyle="1" w:styleId="TMARCADORletra">
    <w:name w:val="T MARCADOR letra"/>
    <w:basedOn w:val="TMARCADOR"/>
    <w:next w:val="TNORMAL"/>
    <w:rsid w:val="00C117F2"/>
    <w:pPr>
      <w:numPr>
        <w:numId w:val="13"/>
      </w:numPr>
      <w:ind w:left="1066" w:hanging="357"/>
    </w:pPr>
  </w:style>
  <w:style w:type="paragraph" w:customStyle="1" w:styleId="TNORMAL">
    <w:name w:val="T NORMAL"/>
    <w:basedOn w:val="Normal"/>
    <w:rsid w:val="00C117F2"/>
    <w:pPr>
      <w:autoSpaceDE w:val="0"/>
      <w:autoSpaceDN w:val="0"/>
      <w:adjustRightInd w:val="0"/>
    </w:pPr>
    <w:rPr>
      <w:rFonts w:ascii="Times New Roman" w:eastAsia="Times New Roman" w:hAnsi="Times New Roman" w:cs="Calibri"/>
      <w:sz w:val="24"/>
      <w:lang w:val="pt" w:eastAsia="pt-BR"/>
    </w:rPr>
  </w:style>
  <w:style w:type="paragraph" w:customStyle="1" w:styleId="TIT1pre-textuais">
    <w:name w:val="TIT 1 pre-textuais"/>
    <w:basedOn w:val="TNORMAL"/>
    <w:next w:val="TNORMAL"/>
    <w:rsid w:val="00C117F2"/>
    <w:pPr>
      <w:pageBreakBefore/>
      <w:spacing w:after="720"/>
      <w:ind w:firstLine="0"/>
      <w:jc w:val="center"/>
    </w:pPr>
    <w:rPr>
      <w:rFonts w:eastAsia="@Arial Unicode MS"/>
      <w:b/>
      <w:caps/>
    </w:rPr>
  </w:style>
  <w:style w:type="paragraph" w:customStyle="1" w:styleId="TIT1pos-textuais">
    <w:name w:val="TIT 1 pos-textuais"/>
    <w:basedOn w:val="TIT1pre-textuais"/>
    <w:next w:val="TNORMAL"/>
    <w:rsid w:val="00C117F2"/>
    <w:pPr>
      <w:spacing w:after="480"/>
      <w:outlineLvl w:val="0"/>
    </w:pPr>
  </w:style>
  <w:style w:type="paragraph" w:customStyle="1" w:styleId="TCITACAO">
    <w:name w:val="T CITACAO"/>
    <w:basedOn w:val="TNORMAL"/>
    <w:next w:val="TNORMAL"/>
    <w:rsid w:val="00C117F2"/>
    <w:pPr>
      <w:spacing w:before="400" w:after="400" w:line="240" w:lineRule="auto"/>
      <w:ind w:left="2268" w:firstLine="0"/>
      <w:contextualSpacing/>
    </w:pPr>
    <w:rPr>
      <w:rFonts w:cs="Arial"/>
      <w:sz w:val="20"/>
      <w:szCs w:val="24"/>
      <w:lang w:eastAsia="pt-PT"/>
    </w:rPr>
  </w:style>
  <w:style w:type="paragraph" w:customStyle="1" w:styleId="Ttabela-titulo">
    <w:name w:val="T tabela - titulo"/>
    <w:next w:val="TNORMAL"/>
    <w:rsid w:val="00C117F2"/>
    <w:pPr>
      <w:keepNext/>
      <w:spacing w:before="400" w:after="200" w:line="240" w:lineRule="auto"/>
      <w:ind w:firstLine="0"/>
    </w:pPr>
    <w:rPr>
      <w:rFonts w:ascii="Times New Roman" w:eastAsia="Times New Roman" w:hAnsi="Times New Roman" w:cs="Arial"/>
      <w:sz w:val="24"/>
      <w:szCs w:val="24"/>
      <w:lang w:val="pt-PT" w:eastAsia="pt-PT"/>
    </w:rPr>
  </w:style>
  <w:style w:type="paragraph" w:customStyle="1" w:styleId="Ttabela-fonte">
    <w:name w:val="T tabela - fonte"/>
    <w:basedOn w:val="Normal"/>
    <w:next w:val="TNORMAL"/>
    <w:rsid w:val="00C117F2"/>
    <w:pPr>
      <w:spacing w:before="100" w:after="500" w:line="240" w:lineRule="auto"/>
      <w:ind w:firstLine="0"/>
    </w:pPr>
    <w:rPr>
      <w:rFonts w:ascii="Times New Roman" w:eastAsia="Times New Roman" w:hAnsi="Times New Roman" w:cs="Arial"/>
      <w:sz w:val="20"/>
      <w:szCs w:val="24"/>
      <w:lang w:eastAsia="pt-PT"/>
    </w:rPr>
  </w:style>
  <w:style w:type="paragraph" w:customStyle="1" w:styleId="Tfigura-titulo">
    <w:name w:val="T figura - titulo"/>
    <w:next w:val="Tfigura-figura"/>
    <w:rsid w:val="00C117F2"/>
    <w:pPr>
      <w:keepNext/>
      <w:spacing w:before="500" w:after="200" w:line="240" w:lineRule="auto"/>
      <w:ind w:firstLine="0"/>
      <w:jc w:val="center"/>
    </w:pPr>
    <w:rPr>
      <w:rFonts w:ascii="Times New Roman" w:eastAsia="Times New Roman" w:hAnsi="Times New Roman" w:cs="Arial"/>
      <w:sz w:val="24"/>
      <w:szCs w:val="24"/>
      <w:lang w:val="pt-PT" w:eastAsia="pt-PT"/>
    </w:rPr>
  </w:style>
  <w:style w:type="paragraph" w:customStyle="1" w:styleId="Tfigura-fonte">
    <w:name w:val="T figura - fonte"/>
    <w:basedOn w:val="TNORMAL"/>
    <w:next w:val="TNORMAL"/>
    <w:rsid w:val="00C117F2"/>
    <w:pPr>
      <w:spacing w:before="100" w:after="500" w:line="240" w:lineRule="auto"/>
      <w:ind w:firstLine="0"/>
      <w:jc w:val="center"/>
    </w:pPr>
    <w:rPr>
      <w:rFonts w:cs="Arial"/>
      <w:sz w:val="20"/>
      <w:szCs w:val="24"/>
      <w:lang w:eastAsia="pt-PT"/>
    </w:rPr>
  </w:style>
  <w:style w:type="paragraph" w:customStyle="1" w:styleId="Tfigura-figura">
    <w:name w:val="T figura - figura"/>
    <w:next w:val="Tfigura-fonte"/>
    <w:rsid w:val="00C117F2"/>
    <w:pPr>
      <w:keepNext/>
      <w:spacing w:line="240" w:lineRule="auto"/>
      <w:ind w:firstLine="0"/>
      <w:jc w:val="center"/>
    </w:pPr>
    <w:rPr>
      <w:rFonts w:ascii="Times New Roman" w:eastAsia="Times New Roman" w:hAnsi="Times New Roman" w:cs="Arial"/>
      <w:noProof/>
      <w:sz w:val="24"/>
      <w:szCs w:val="24"/>
      <w:lang w:eastAsia="pt-BR"/>
    </w:rPr>
  </w:style>
  <w:style w:type="paragraph" w:customStyle="1" w:styleId="TMARCADOR">
    <w:name w:val="T MARCADOR"/>
    <w:basedOn w:val="TNORMAL"/>
    <w:rsid w:val="00C117F2"/>
    <w:pPr>
      <w:numPr>
        <w:numId w:val="11"/>
      </w:numPr>
      <w:spacing w:before="200" w:after="200"/>
      <w:ind w:left="1066" w:hanging="357"/>
      <w:contextualSpacing/>
    </w:pPr>
  </w:style>
  <w:style w:type="paragraph" w:customStyle="1" w:styleId="TIT1">
    <w:name w:val="TIT 1"/>
    <w:basedOn w:val="TNORMAL"/>
    <w:next w:val="TNORMAL"/>
    <w:rsid w:val="00C117F2"/>
    <w:pPr>
      <w:pageBreakBefore/>
      <w:numPr>
        <w:numId w:val="14"/>
      </w:numPr>
      <w:spacing w:after="480"/>
      <w:ind w:left="357" w:hanging="357"/>
      <w:outlineLvl w:val="0"/>
    </w:pPr>
    <w:rPr>
      <w:b/>
      <w:caps/>
    </w:rPr>
  </w:style>
  <w:style w:type="paragraph" w:customStyle="1" w:styleId="TIT2">
    <w:name w:val="TIT 2"/>
    <w:basedOn w:val="TNORMAL"/>
    <w:next w:val="TNORMAL"/>
    <w:rsid w:val="00C117F2"/>
    <w:pPr>
      <w:keepNext/>
      <w:numPr>
        <w:ilvl w:val="1"/>
        <w:numId w:val="14"/>
      </w:numPr>
      <w:spacing w:before="480" w:after="480"/>
      <w:ind w:left="482" w:hanging="482"/>
      <w:outlineLvl w:val="1"/>
    </w:pPr>
    <w:rPr>
      <w:rFonts w:cs="Arial"/>
      <w:caps/>
      <w:szCs w:val="24"/>
      <w:lang w:val="pt-PT" w:eastAsia="pt-PT"/>
    </w:rPr>
  </w:style>
  <w:style w:type="paragraph" w:customStyle="1" w:styleId="TIT3">
    <w:name w:val="TIT 3"/>
    <w:basedOn w:val="TNORMAL"/>
    <w:next w:val="TNORMAL"/>
    <w:rsid w:val="00C117F2"/>
    <w:pPr>
      <w:keepNext/>
      <w:numPr>
        <w:ilvl w:val="2"/>
        <w:numId w:val="14"/>
      </w:numPr>
      <w:spacing w:before="480" w:after="480"/>
      <w:ind w:left="720"/>
      <w:outlineLvl w:val="2"/>
    </w:pPr>
    <w:rPr>
      <w:rFonts w:cs="Arial"/>
      <w:b/>
      <w:szCs w:val="24"/>
      <w:lang w:val="pt-PT" w:eastAsia="pt-PT"/>
    </w:rPr>
  </w:style>
  <w:style w:type="paragraph" w:customStyle="1" w:styleId="TIT4">
    <w:name w:val="TIT 4"/>
    <w:basedOn w:val="TNORMAL"/>
    <w:next w:val="TNORMAL"/>
    <w:rsid w:val="00C117F2"/>
    <w:pPr>
      <w:keepNext/>
      <w:numPr>
        <w:ilvl w:val="3"/>
        <w:numId w:val="14"/>
      </w:numPr>
      <w:spacing w:before="480" w:after="480"/>
      <w:ind w:left="1077" w:hanging="1077"/>
      <w:outlineLvl w:val="3"/>
    </w:pPr>
    <w:rPr>
      <w:rFonts w:cs="Arial"/>
      <w:szCs w:val="24"/>
      <w:lang w:val="pt-PT" w:eastAsia="pt-PT"/>
    </w:rPr>
  </w:style>
  <w:style w:type="paragraph" w:customStyle="1" w:styleId="TFORMULA">
    <w:name w:val="T FORMULA"/>
    <w:next w:val="TNORMAL"/>
    <w:rsid w:val="00C117F2"/>
    <w:pPr>
      <w:spacing w:before="480" w:after="480" w:line="240" w:lineRule="auto"/>
      <w:ind w:firstLine="0"/>
      <w:contextualSpacing/>
      <w:jc w:val="center"/>
    </w:pPr>
    <w:rPr>
      <w:rFonts w:ascii="Cambria Math" w:eastAsia="Calibri" w:hAnsi="Cambria Math" w:cs="Times New Roman"/>
      <w:sz w:val="24"/>
    </w:rPr>
  </w:style>
  <w:style w:type="paragraph" w:customStyle="1" w:styleId="TSUMARIO">
    <w:name w:val="T SUMARIO"/>
    <w:rsid w:val="00C117F2"/>
    <w:pPr>
      <w:tabs>
        <w:tab w:val="left" w:pos="851"/>
        <w:tab w:val="right" w:leader="dot" w:pos="9072"/>
      </w:tabs>
      <w:ind w:left="851" w:right="566" w:hanging="851"/>
      <w:jc w:val="left"/>
    </w:pPr>
    <w:rPr>
      <w:rFonts w:ascii="Times New Roman" w:eastAsia="Arial" w:hAnsi="Times New Roman" w:cs="Arial"/>
      <w:sz w:val="24"/>
      <w:szCs w:val="24"/>
    </w:rPr>
  </w:style>
  <w:style w:type="paragraph" w:customStyle="1" w:styleId="Tindicedeilustracoes">
    <w:name w:val="T indice de ilustracoes"/>
    <w:basedOn w:val="ndicedeilustraes"/>
    <w:rsid w:val="00C117F2"/>
    <w:pPr>
      <w:tabs>
        <w:tab w:val="right" w:leader="dot" w:pos="9072"/>
      </w:tabs>
      <w:ind w:left="1418" w:right="425" w:hanging="1418"/>
    </w:pPr>
    <w:rPr>
      <w:rFonts w:ascii="Times New Roman" w:hAnsi="Times New Roman" w:cs="Arial"/>
      <w:noProof/>
      <w:sz w:val="24"/>
      <w:szCs w:val="24"/>
    </w:rPr>
  </w:style>
  <w:style w:type="paragraph" w:customStyle="1" w:styleId="TIT5">
    <w:name w:val="TIT 5"/>
    <w:basedOn w:val="TNORMAL"/>
    <w:next w:val="TNORMAL"/>
    <w:rsid w:val="00C117F2"/>
    <w:pPr>
      <w:keepNext/>
      <w:numPr>
        <w:ilvl w:val="4"/>
        <w:numId w:val="14"/>
      </w:numPr>
      <w:spacing w:before="480" w:after="480"/>
      <w:ind w:left="499" w:hanging="499"/>
      <w:outlineLvl w:val="4"/>
    </w:pPr>
    <w:rPr>
      <w:lang w:val="pt-PT" w:eastAsia="pt-PT"/>
    </w:rPr>
  </w:style>
  <w:style w:type="paragraph" w:styleId="ndicedeilustraes">
    <w:name w:val="table of figures"/>
    <w:basedOn w:val="Normal"/>
    <w:next w:val="Normal"/>
    <w:uiPriority w:val="99"/>
    <w:unhideWhenUsed/>
    <w:rsid w:val="00C117F2"/>
  </w:style>
  <w:style w:type="paragraph" w:styleId="Textodebalo">
    <w:name w:val="Balloon Text"/>
    <w:basedOn w:val="Normal"/>
    <w:link w:val="TextodebaloChar"/>
    <w:uiPriority w:val="99"/>
    <w:semiHidden/>
    <w:unhideWhenUsed/>
    <w:rsid w:val="00C117F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17F2"/>
    <w:rPr>
      <w:rFonts w:ascii="Tahoma" w:hAnsi="Tahoma" w:cs="Tahoma"/>
      <w:sz w:val="16"/>
      <w:szCs w:val="16"/>
    </w:rPr>
  </w:style>
  <w:style w:type="paragraph" w:customStyle="1" w:styleId="Tabs">
    <w:name w:val="Tabs"/>
    <w:basedOn w:val="ndicedeilustraes"/>
    <w:link w:val="TabsChar"/>
    <w:rsid w:val="00E31C01"/>
    <w:pPr>
      <w:tabs>
        <w:tab w:val="right" w:leader="dot" w:pos="9061"/>
      </w:tabs>
      <w:spacing w:after="280" w:line="240" w:lineRule="auto"/>
      <w:ind w:firstLine="0"/>
      <w:jc w:val="left"/>
    </w:pPr>
  </w:style>
  <w:style w:type="character" w:customStyle="1" w:styleId="TabsChar">
    <w:name w:val="Tabs Char"/>
    <w:basedOn w:val="Fontepargpadro"/>
    <w:link w:val="Tabs"/>
    <w:rsid w:val="00E31C01"/>
  </w:style>
  <w:style w:type="character" w:styleId="Refdecomentrio">
    <w:name w:val="annotation reference"/>
    <w:basedOn w:val="Fontepargpadro"/>
    <w:uiPriority w:val="99"/>
    <w:semiHidden/>
    <w:unhideWhenUsed/>
    <w:rsid w:val="00A32CBB"/>
    <w:rPr>
      <w:sz w:val="16"/>
      <w:szCs w:val="16"/>
    </w:rPr>
  </w:style>
  <w:style w:type="paragraph" w:styleId="Textodecomentrio">
    <w:name w:val="annotation text"/>
    <w:basedOn w:val="Normal"/>
    <w:link w:val="TextodecomentrioChar"/>
    <w:uiPriority w:val="99"/>
    <w:semiHidden/>
    <w:unhideWhenUsed/>
    <w:rsid w:val="00A32C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32CBB"/>
    <w:rPr>
      <w:sz w:val="20"/>
      <w:szCs w:val="20"/>
    </w:rPr>
  </w:style>
  <w:style w:type="paragraph" w:styleId="Assuntodocomentrio">
    <w:name w:val="annotation subject"/>
    <w:basedOn w:val="Textodecomentrio"/>
    <w:next w:val="Textodecomentrio"/>
    <w:link w:val="AssuntodocomentrioChar"/>
    <w:uiPriority w:val="99"/>
    <w:semiHidden/>
    <w:unhideWhenUsed/>
    <w:rsid w:val="00A32CBB"/>
    <w:rPr>
      <w:b/>
      <w:bCs/>
    </w:rPr>
  </w:style>
  <w:style w:type="character" w:customStyle="1" w:styleId="AssuntodocomentrioChar">
    <w:name w:val="Assunto do comentário Char"/>
    <w:basedOn w:val="TextodecomentrioChar"/>
    <w:link w:val="Assuntodocomentrio"/>
    <w:uiPriority w:val="99"/>
    <w:semiHidden/>
    <w:rsid w:val="00A32CBB"/>
    <w:rPr>
      <w:b/>
      <w:bCs/>
      <w:sz w:val="20"/>
      <w:szCs w:val="20"/>
    </w:rPr>
  </w:style>
  <w:style w:type="paragraph" w:styleId="NormalWeb">
    <w:name w:val="Normal (Web)"/>
    <w:basedOn w:val="Normal"/>
    <w:uiPriority w:val="99"/>
    <w:semiHidden/>
    <w:unhideWhenUsed/>
    <w:rsid w:val="003C6867"/>
    <w:pPr>
      <w:spacing w:before="100" w:beforeAutospacing="1" w:after="100" w:afterAutospacing="1" w:line="240" w:lineRule="auto"/>
      <w:ind w:firstLine="0"/>
      <w:jc w:val="left"/>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50598">
      <w:bodyDiv w:val="1"/>
      <w:marLeft w:val="0"/>
      <w:marRight w:val="0"/>
      <w:marTop w:val="0"/>
      <w:marBottom w:val="0"/>
      <w:divBdr>
        <w:top w:val="none" w:sz="0" w:space="0" w:color="auto"/>
        <w:left w:val="none" w:sz="0" w:space="0" w:color="auto"/>
        <w:bottom w:val="none" w:sz="0" w:space="0" w:color="auto"/>
        <w:right w:val="none" w:sz="0" w:space="0" w:color="auto"/>
      </w:divBdr>
    </w:div>
    <w:div w:id="107285079">
      <w:bodyDiv w:val="1"/>
      <w:marLeft w:val="0"/>
      <w:marRight w:val="0"/>
      <w:marTop w:val="0"/>
      <w:marBottom w:val="0"/>
      <w:divBdr>
        <w:top w:val="none" w:sz="0" w:space="0" w:color="auto"/>
        <w:left w:val="none" w:sz="0" w:space="0" w:color="auto"/>
        <w:bottom w:val="none" w:sz="0" w:space="0" w:color="auto"/>
        <w:right w:val="none" w:sz="0" w:space="0" w:color="auto"/>
      </w:divBdr>
    </w:div>
    <w:div w:id="133066590">
      <w:bodyDiv w:val="1"/>
      <w:marLeft w:val="0"/>
      <w:marRight w:val="0"/>
      <w:marTop w:val="0"/>
      <w:marBottom w:val="0"/>
      <w:divBdr>
        <w:top w:val="none" w:sz="0" w:space="0" w:color="auto"/>
        <w:left w:val="none" w:sz="0" w:space="0" w:color="auto"/>
        <w:bottom w:val="none" w:sz="0" w:space="0" w:color="auto"/>
        <w:right w:val="none" w:sz="0" w:space="0" w:color="auto"/>
      </w:divBdr>
    </w:div>
    <w:div w:id="169025740">
      <w:bodyDiv w:val="1"/>
      <w:marLeft w:val="0"/>
      <w:marRight w:val="0"/>
      <w:marTop w:val="0"/>
      <w:marBottom w:val="0"/>
      <w:divBdr>
        <w:top w:val="none" w:sz="0" w:space="0" w:color="auto"/>
        <w:left w:val="none" w:sz="0" w:space="0" w:color="auto"/>
        <w:bottom w:val="none" w:sz="0" w:space="0" w:color="auto"/>
        <w:right w:val="none" w:sz="0" w:space="0" w:color="auto"/>
      </w:divBdr>
    </w:div>
    <w:div w:id="198275896">
      <w:bodyDiv w:val="1"/>
      <w:marLeft w:val="0"/>
      <w:marRight w:val="0"/>
      <w:marTop w:val="0"/>
      <w:marBottom w:val="0"/>
      <w:divBdr>
        <w:top w:val="none" w:sz="0" w:space="0" w:color="auto"/>
        <w:left w:val="none" w:sz="0" w:space="0" w:color="auto"/>
        <w:bottom w:val="none" w:sz="0" w:space="0" w:color="auto"/>
        <w:right w:val="none" w:sz="0" w:space="0" w:color="auto"/>
      </w:divBdr>
    </w:div>
    <w:div w:id="333799745">
      <w:bodyDiv w:val="1"/>
      <w:marLeft w:val="0"/>
      <w:marRight w:val="0"/>
      <w:marTop w:val="0"/>
      <w:marBottom w:val="0"/>
      <w:divBdr>
        <w:top w:val="none" w:sz="0" w:space="0" w:color="auto"/>
        <w:left w:val="none" w:sz="0" w:space="0" w:color="auto"/>
        <w:bottom w:val="none" w:sz="0" w:space="0" w:color="auto"/>
        <w:right w:val="none" w:sz="0" w:space="0" w:color="auto"/>
      </w:divBdr>
    </w:div>
    <w:div w:id="561134735">
      <w:bodyDiv w:val="1"/>
      <w:marLeft w:val="0"/>
      <w:marRight w:val="0"/>
      <w:marTop w:val="0"/>
      <w:marBottom w:val="0"/>
      <w:divBdr>
        <w:top w:val="none" w:sz="0" w:space="0" w:color="auto"/>
        <w:left w:val="none" w:sz="0" w:space="0" w:color="auto"/>
        <w:bottom w:val="none" w:sz="0" w:space="0" w:color="auto"/>
        <w:right w:val="none" w:sz="0" w:space="0" w:color="auto"/>
      </w:divBdr>
    </w:div>
    <w:div w:id="563755748">
      <w:bodyDiv w:val="1"/>
      <w:marLeft w:val="0"/>
      <w:marRight w:val="0"/>
      <w:marTop w:val="0"/>
      <w:marBottom w:val="0"/>
      <w:divBdr>
        <w:top w:val="none" w:sz="0" w:space="0" w:color="auto"/>
        <w:left w:val="none" w:sz="0" w:space="0" w:color="auto"/>
        <w:bottom w:val="none" w:sz="0" w:space="0" w:color="auto"/>
        <w:right w:val="none" w:sz="0" w:space="0" w:color="auto"/>
      </w:divBdr>
    </w:div>
    <w:div w:id="592665713">
      <w:bodyDiv w:val="1"/>
      <w:marLeft w:val="0"/>
      <w:marRight w:val="0"/>
      <w:marTop w:val="0"/>
      <w:marBottom w:val="0"/>
      <w:divBdr>
        <w:top w:val="none" w:sz="0" w:space="0" w:color="auto"/>
        <w:left w:val="none" w:sz="0" w:space="0" w:color="auto"/>
        <w:bottom w:val="none" w:sz="0" w:space="0" w:color="auto"/>
        <w:right w:val="none" w:sz="0" w:space="0" w:color="auto"/>
      </w:divBdr>
    </w:div>
    <w:div w:id="697661879">
      <w:bodyDiv w:val="1"/>
      <w:marLeft w:val="0"/>
      <w:marRight w:val="0"/>
      <w:marTop w:val="0"/>
      <w:marBottom w:val="0"/>
      <w:divBdr>
        <w:top w:val="none" w:sz="0" w:space="0" w:color="auto"/>
        <w:left w:val="none" w:sz="0" w:space="0" w:color="auto"/>
        <w:bottom w:val="none" w:sz="0" w:space="0" w:color="auto"/>
        <w:right w:val="none" w:sz="0" w:space="0" w:color="auto"/>
      </w:divBdr>
    </w:div>
    <w:div w:id="770665925">
      <w:bodyDiv w:val="1"/>
      <w:marLeft w:val="0"/>
      <w:marRight w:val="0"/>
      <w:marTop w:val="0"/>
      <w:marBottom w:val="0"/>
      <w:divBdr>
        <w:top w:val="none" w:sz="0" w:space="0" w:color="auto"/>
        <w:left w:val="none" w:sz="0" w:space="0" w:color="auto"/>
        <w:bottom w:val="none" w:sz="0" w:space="0" w:color="auto"/>
        <w:right w:val="none" w:sz="0" w:space="0" w:color="auto"/>
      </w:divBdr>
    </w:div>
    <w:div w:id="993219899">
      <w:bodyDiv w:val="1"/>
      <w:marLeft w:val="0"/>
      <w:marRight w:val="0"/>
      <w:marTop w:val="0"/>
      <w:marBottom w:val="0"/>
      <w:divBdr>
        <w:top w:val="none" w:sz="0" w:space="0" w:color="auto"/>
        <w:left w:val="none" w:sz="0" w:space="0" w:color="auto"/>
        <w:bottom w:val="none" w:sz="0" w:space="0" w:color="auto"/>
        <w:right w:val="none" w:sz="0" w:space="0" w:color="auto"/>
      </w:divBdr>
    </w:div>
    <w:div w:id="1035081175">
      <w:bodyDiv w:val="1"/>
      <w:marLeft w:val="0"/>
      <w:marRight w:val="0"/>
      <w:marTop w:val="0"/>
      <w:marBottom w:val="0"/>
      <w:divBdr>
        <w:top w:val="none" w:sz="0" w:space="0" w:color="auto"/>
        <w:left w:val="none" w:sz="0" w:space="0" w:color="auto"/>
        <w:bottom w:val="none" w:sz="0" w:space="0" w:color="auto"/>
        <w:right w:val="none" w:sz="0" w:space="0" w:color="auto"/>
      </w:divBdr>
    </w:div>
    <w:div w:id="1048259440">
      <w:bodyDiv w:val="1"/>
      <w:marLeft w:val="0"/>
      <w:marRight w:val="0"/>
      <w:marTop w:val="0"/>
      <w:marBottom w:val="0"/>
      <w:divBdr>
        <w:top w:val="none" w:sz="0" w:space="0" w:color="auto"/>
        <w:left w:val="none" w:sz="0" w:space="0" w:color="auto"/>
        <w:bottom w:val="none" w:sz="0" w:space="0" w:color="auto"/>
        <w:right w:val="none" w:sz="0" w:space="0" w:color="auto"/>
      </w:divBdr>
    </w:div>
    <w:div w:id="1228883130">
      <w:bodyDiv w:val="1"/>
      <w:marLeft w:val="0"/>
      <w:marRight w:val="0"/>
      <w:marTop w:val="0"/>
      <w:marBottom w:val="0"/>
      <w:divBdr>
        <w:top w:val="none" w:sz="0" w:space="0" w:color="auto"/>
        <w:left w:val="none" w:sz="0" w:space="0" w:color="auto"/>
        <w:bottom w:val="none" w:sz="0" w:space="0" w:color="auto"/>
        <w:right w:val="none" w:sz="0" w:space="0" w:color="auto"/>
      </w:divBdr>
    </w:div>
    <w:div w:id="1272282415">
      <w:bodyDiv w:val="1"/>
      <w:marLeft w:val="0"/>
      <w:marRight w:val="0"/>
      <w:marTop w:val="0"/>
      <w:marBottom w:val="0"/>
      <w:divBdr>
        <w:top w:val="none" w:sz="0" w:space="0" w:color="auto"/>
        <w:left w:val="none" w:sz="0" w:space="0" w:color="auto"/>
        <w:bottom w:val="none" w:sz="0" w:space="0" w:color="auto"/>
        <w:right w:val="none" w:sz="0" w:space="0" w:color="auto"/>
      </w:divBdr>
    </w:div>
    <w:div w:id="1309868770">
      <w:bodyDiv w:val="1"/>
      <w:marLeft w:val="0"/>
      <w:marRight w:val="0"/>
      <w:marTop w:val="0"/>
      <w:marBottom w:val="0"/>
      <w:divBdr>
        <w:top w:val="none" w:sz="0" w:space="0" w:color="auto"/>
        <w:left w:val="none" w:sz="0" w:space="0" w:color="auto"/>
        <w:bottom w:val="none" w:sz="0" w:space="0" w:color="auto"/>
        <w:right w:val="none" w:sz="0" w:space="0" w:color="auto"/>
      </w:divBdr>
    </w:div>
    <w:div w:id="1338801202">
      <w:bodyDiv w:val="1"/>
      <w:marLeft w:val="0"/>
      <w:marRight w:val="0"/>
      <w:marTop w:val="0"/>
      <w:marBottom w:val="0"/>
      <w:divBdr>
        <w:top w:val="none" w:sz="0" w:space="0" w:color="auto"/>
        <w:left w:val="none" w:sz="0" w:space="0" w:color="auto"/>
        <w:bottom w:val="none" w:sz="0" w:space="0" w:color="auto"/>
        <w:right w:val="none" w:sz="0" w:space="0" w:color="auto"/>
      </w:divBdr>
    </w:div>
    <w:div w:id="1432166706">
      <w:bodyDiv w:val="1"/>
      <w:marLeft w:val="0"/>
      <w:marRight w:val="0"/>
      <w:marTop w:val="0"/>
      <w:marBottom w:val="0"/>
      <w:divBdr>
        <w:top w:val="none" w:sz="0" w:space="0" w:color="auto"/>
        <w:left w:val="none" w:sz="0" w:space="0" w:color="auto"/>
        <w:bottom w:val="none" w:sz="0" w:space="0" w:color="auto"/>
        <w:right w:val="none" w:sz="0" w:space="0" w:color="auto"/>
      </w:divBdr>
    </w:div>
    <w:div w:id="1478499109">
      <w:bodyDiv w:val="1"/>
      <w:marLeft w:val="0"/>
      <w:marRight w:val="0"/>
      <w:marTop w:val="0"/>
      <w:marBottom w:val="0"/>
      <w:divBdr>
        <w:top w:val="none" w:sz="0" w:space="0" w:color="auto"/>
        <w:left w:val="none" w:sz="0" w:space="0" w:color="auto"/>
        <w:bottom w:val="none" w:sz="0" w:space="0" w:color="auto"/>
        <w:right w:val="none" w:sz="0" w:space="0" w:color="auto"/>
      </w:divBdr>
    </w:div>
    <w:div w:id="1482499632">
      <w:bodyDiv w:val="1"/>
      <w:marLeft w:val="0"/>
      <w:marRight w:val="0"/>
      <w:marTop w:val="0"/>
      <w:marBottom w:val="0"/>
      <w:divBdr>
        <w:top w:val="none" w:sz="0" w:space="0" w:color="auto"/>
        <w:left w:val="none" w:sz="0" w:space="0" w:color="auto"/>
        <w:bottom w:val="none" w:sz="0" w:space="0" w:color="auto"/>
        <w:right w:val="none" w:sz="0" w:space="0" w:color="auto"/>
      </w:divBdr>
    </w:div>
    <w:div w:id="1518737267">
      <w:bodyDiv w:val="1"/>
      <w:marLeft w:val="0"/>
      <w:marRight w:val="0"/>
      <w:marTop w:val="0"/>
      <w:marBottom w:val="0"/>
      <w:divBdr>
        <w:top w:val="none" w:sz="0" w:space="0" w:color="auto"/>
        <w:left w:val="none" w:sz="0" w:space="0" w:color="auto"/>
        <w:bottom w:val="none" w:sz="0" w:space="0" w:color="auto"/>
        <w:right w:val="none" w:sz="0" w:space="0" w:color="auto"/>
      </w:divBdr>
    </w:div>
    <w:div w:id="1529567469">
      <w:bodyDiv w:val="1"/>
      <w:marLeft w:val="0"/>
      <w:marRight w:val="0"/>
      <w:marTop w:val="0"/>
      <w:marBottom w:val="0"/>
      <w:divBdr>
        <w:top w:val="none" w:sz="0" w:space="0" w:color="auto"/>
        <w:left w:val="none" w:sz="0" w:space="0" w:color="auto"/>
        <w:bottom w:val="none" w:sz="0" w:space="0" w:color="auto"/>
        <w:right w:val="none" w:sz="0" w:space="0" w:color="auto"/>
      </w:divBdr>
    </w:div>
    <w:div w:id="1690257285">
      <w:bodyDiv w:val="1"/>
      <w:marLeft w:val="0"/>
      <w:marRight w:val="0"/>
      <w:marTop w:val="0"/>
      <w:marBottom w:val="0"/>
      <w:divBdr>
        <w:top w:val="none" w:sz="0" w:space="0" w:color="auto"/>
        <w:left w:val="none" w:sz="0" w:space="0" w:color="auto"/>
        <w:bottom w:val="none" w:sz="0" w:space="0" w:color="auto"/>
        <w:right w:val="none" w:sz="0" w:space="0" w:color="auto"/>
      </w:divBdr>
    </w:div>
    <w:div w:id="1699576370">
      <w:bodyDiv w:val="1"/>
      <w:marLeft w:val="0"/>
      <w:marRight w:val="0"/>
      <w:marTop w:val="0"/>
      <w:marBottom w:val="0"/>
      <w:divBdr>
        <w:top w:val="none" w:sz="0" w:space="0" w:color="auto"/>
        <w:left w:val="none" w:sz="0" w:space="0" w:color="auto"/>
        <w:bottom w:val="none" w:sz="0" w:space="0" w:color="auto"/>
        <w:right w:val="none" w:sz="0" w:space="0" w:color="auto"/>
      </w:divBdr>
    </w:div>
    <w:div w:id="1708293549">
      <w:bodyDiv w:val="1"/>
      <w:marLeft w:val="0"/>
      <w:marRight w:val="0"/>
      <w:marTop w:val="0"/>
      <w:marBottom w:val="0"/>
      <w:divBdr>
        <w:top w:val="none" w:sz="0" w:space="0" w:color="auto"/>
        <w:left w:val="none" w:sz="0" w:space="0" w:color="auto"/>
        <w:bottom w:val="none" w:sz="0" w:space="0" w:color="auto"/>
        <w:right w:val="none" w:sz="0" w:space="0" w:color="auto"/>
      </w:divBdr>
    </w:div>
    <w:div w:id="1716194678">
      <w:bodyDiv w:val="1"/>
      <w:marLeft w:val="0"/>
      <w:marRight w:val="0"/>
      <w:marTop w:val="0"/>
      <w:marBottom w:val="0"/>
      <w:divBdr>
        <w:top w:val="none" w:sz="0" w:space="0" w:color="auto"/>
        <w:left w:val="none" w:sz="0" w:space="0" w:color="auto"/>
        <w:bottom w:val="none" w:sz="0" w:space="0" w:color="auto"/>
        <w:right w:val="none" w:sz="0" w:space="0" w:color="auto"/>
      </w:divBdr>
    </w:div>
    <w:div w:id="1756199979">
      <w:bodyDiv w:val="1"/>
      <w:marLeft w:val="0"/>
      <w:marRight w:val="0"/>
      <w:marTop w:val="0"/>
      <w:marBottom w:val="0"/>
      <w:divBdr>
        <w:top w:val="none" w:sz="0" w:space="0" w:color="auto"/>
        <w:left w:val="none" w:sz="0" w:space="0" w:color="auto"/>
        <w:bottom w:val="none" w:sz="0" w:space="0" w:color="auto"/>
        <w:right w:val="none" w:sz="0" w:space="0" w:color="auto"/>
      </w:divBdr>
    </w:div>
    <w:div w:id="1813209632">
      <w:bodyDiv w:val="1"/>
      <w:marLeft w:val="0"/>
      <w:marRight w:val="0"/>
      <w:marTop w:val="0"/>
      <w:marBottom w:val="0"/>
      <w:divBdr>
        <w:top w:val="none" w:sz="0" w:space="0" w:color="auto"/>
        <w:left w:val="none" w:sz="0" w:space="0" w:color="auto"/>
        <w:bottom w:val="none" w:sz="0" w:space="0" w:color="auto"/>
        <w:right w:val="none" w:sz="0" w:space="0" w:color="auto"/>
      </w:divBdr>
    </w:div>
    <w:div w:id="1838299929">
      <w:bodyDiv w:val="1"/>
      <w:marLeft w:val="0"/>
      <w:marRight w:val="0"/>
      <w:marTop w:val="0"/>
      <w:marBottom w:val="0"/>
      <w:divBdr>
        <w:top w:val="none" w:sz="0" w:space="0" w:color="auto"/>
        <w:left w:val="none" w:sz="0" w:space="0" w:color="auto"/>
        <w:bottom w:val="none" w:sz="0" w:space="0" w:color="auto"/>
        <w:right w:val="none" w:sz="0" w:space="0" w:color="auto"/>
      </w:divBdr>
    </w:div>
    <w:div w:id="2013407470">
      <w:bodyDiv w:val="1"/>
      <w:marLeft w:val="0"/>
      <w:marRight w:val="0"/>
      <w:marTop w:val="0"/>
      <w:marBottom w:val="0"/>
      <w:divBdr>
        <w:top w:val="none" w:sz="0" w:space="0" w:color="auto"/>
        <w:left w:val="none" w:sz="0" w:space="0" w:color="auto"/>
        <w:bottom w:val="none" w:sz="0" w:space="0" w:color="auto"/>
        <w:right w:val="none" w:sz="0" w:space="0" w:color="auto"/>
      </w:divBdr>
    </w:div>
    <w:div w:id="2035882015">
      <w:bodyDiv w:val="1"/>
      <w:marLeft w:val="0"/>
      <w:marRight w:val="0"/>
      <w:marTop w:val="0"/>
      <w:marBottom w:val="0"/>
      <w:divBdr>
        <w:top w:val="none" w:sz="0" w:space="0" w:color="auto"/>
        <w:left w:val="none" w:sz="0" w:space="0" w:color="auto"/>
        <w:bottom w:val="none" w:sz="0" w:space="0" w:color="auto"/>
        <w:right w:val="none" w:sz="0" w:space="0" w:color="auto"/>
      </w:divBdr>
    </w:div>
    <w:div w:id="2039962770">
      <w:bodyDiv w:val="1"/>
      <w:marLeft w:val="0"/>
      <w:marRight w:val="0"/>
      <w:marTop w:val="0"/>
      <w:marBottom w:val="0"/>
      <w:divBdr>
        <w:top w:val="none" w:sz="0" w:space="0" w:color="auto"/>
        <w:left w:val="none" w:sz="0" w:space="0" w:color="auto"/>
        <w:bottom w:val="none" w:sz="0" w:space="0" w:color="auto"/>
        <w:right w:val="none" w:sz="0" w:space="0" w:color="auto"/>
      </w:divBdr>
    </w:div>
    <w:div w:id="2049067236">
      <w:bodyDiv w:val="1"/>
      <w:marLeft w:val="0"/>
      <w:marRight w:val="0"/>
      <w:marTop w:val="0"/>
      <w:marBottom w:val="0"/>
      <w:divBdr>
        <w:top w:val="none" w:sz="0" w:space="0" w:color="auto"/>
        <w:left w:val="none" w:sz="0" w:space="0" w:color="auto"/>
        <w:bottom w:val="none" w:sz="0" w:space="0" w:color="auto"/>
        <w:right w:val="none" w:sz="0" w:space="0" w:color="auto"/>
      </w:divBdr>
    </w:div>
    <w:div w:id="2096433163">
      <w:bodyDiv w:val="1"/>
      <w:marLeft w:val="0"/>
      <w:marRight w:val="0"/>
      <w:marTop w:val="0"/>
      <w:marBottom w:val="0"/>
      <w:divBdr>
        <w:top w:val="none" w:sz="0" w:space="0" w:color="auto"/>
        <w:left w:val="none" w:sz="0" w:space="0" w:color="auto"/>
        <w:bottom w:val="none" w:sz="0" w:space="0" w:color="auto"/>
        <w:right w:val="none" w:sz="0" w:space="0" w:color="auto"/>
      </w:divBdr>
    </w:div>
    <w:div w:id="2104493145">
      <w:bodyDiv w:val="1"/>
      <w:marLeft w:val="0"/>
      <w:marRight w:val="0"/>
      <w:marTop w:val="0"/>
      <w:marBottom w:val="0"/>
      <w:divBdr>
        <w:top w:val="none" w:sz="0" w:space="0" w:color="auto"/>
        <w:left w:val="none" w:sz="0" w:space="0" w:color="auto"/>
        <w:bottom w:val="none" w:sz="0" w:space="0" w:color="auto"/>
        <w:right w:val="none" w:sz="0" w:space="0" w:color="auto"/>
      </w:divBdr>
    </w:div>
    <w:div w:id="211243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3.xml"/><Relationship Id="rId39" Type="http://schemas.openxmlformats.org/officeDocument/2006/relationships/chart" Target="charts/chart24.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chart" Target="charts/chart19.xml"/><Relationship Id="rId42" Type="http://schemas.openxmlformats.org/officeDocument/2006/relationships/chart" Target="charts/chart27.xml"/><Relationship Id="rId47" Type="http://schemas.openxmlformats.org/officeDocument/2006/relationships/hyperlink" Target="http://www.scielo.br/cgi-bin/wxis.exe/iah/?IsisScript=iah/iah.xis&amp;base=article%5Edlibrary&amp;format=iso.pft&amp;lang=i&amp;nextAction=lnk&amp;indexSearch=AU&amp;exprSearch=LIMA,+MARCOS+A.+M."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5.png"/><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hyperlink" Target="http://www.scielo.br/cgi-bin/wxis.exe/iah/?IsisScript=iah/iah.xis&amp;base=article%5Edlibrary&amp;format=iso.pft&amp;lang=i&amp;nextAction=lnk&amp;indexSearch=AU&amp;exprSearch=SCHMIDT,+CRISTIANE+ALKMIN+JUNQUEIRA"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16.xml"/><Relationship Id="rId41" Type="http://schemas.openxmlformats.org/officeDocument/2006/relationships/chart" Target="charts/chart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4.png"/><Relationship Id="rId32" Type="http://schemas.openxmlformats.org/officeDocument/2006/relationships/image" Target="media/image7.png"/><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3.png"/><Relationship Id="rId28" Type="http://schemas.openxmlformats.org/officeDocument/2006/relationships/chart" Target="charts/chart15.xml"/><Relationship Id="rId36" Type="http://schemas.openxmlformats.org/officeDocument/2006/relationships/chart" Target="charts/chart21.xml"/><Relationship Id="rId49"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image" Target="media/image6.png"/><Relationship Id="rId44" Type="http://schemas.openxmlformats.org/officeDocument/2006/relationships/chart" Target="charts/chart2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2.png"/><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0.xml"/><Relationship Id="rId43" Type="http://schemas.openxmlformats.org/officeDocument/2006/relationships/chart" Target="charts/chart28.xml"/><Relationship Id="rId48" Type="http://schemas.openxmlformats.org/officeDocument/2006/relationships/hyperlink" Target="https://doi.org/10.1590/S0034-71402004000100004" TargetMode="External"/><Relationship Id="rId8" Type="http://schemas.openxmlformats.org/officeDocument/2006/relationships/header" Target="header1.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dde6c3e3db83bb37/Documentos/TCC/Dados%20TCC.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os&#233;%20Ronaldo\OneDrive\Documentos\TCC\Dados%20TCC.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Jos&#233;%20Ronaldo\OneDrive\Documentos\TCC\Dados%20TCC.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Jos&#233;%20Ronaldo\OneDrive\Documentos\TCC\Dados%20TCC.xlsx"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5.xml.rels><?xml version="1.0" encoding="UTF-8" standalone="yes"?>
<Relationships xmlns="http://schemas.openxmlformats.org/package/2006/relationships"><Relationship Id="rId1" Type="http://schemas.openxmlformats.org/officeDocument/2006/relationships/oleObject" Target="file:///C:\Users\joser\Downloads\VEndas%20gasolina.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joser\Downloads\VEndas%20gasolina.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Jos&#233;%20Ronaldo\Desktop\Excel%20dados%20TCC.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joser\Downloads\Vendas%20diese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joser\Downloads\Vendas%20dies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dde6c3e3db83bb37/Documentos/TCC/Dados%20TCC.xlsx" TargetMode="Externa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1.xml.rels><?xml version="1.0" encoding="UTF-8" standalone="yes"?>
<Relationships xmlns="http://schemas.openxmlformats.org/package/2006/relationships"><Relationship Id="rId1" Type="http://schemas.openxmlformats.org/officeDocument/2006/relationships/oleObject" Target="file:///C:\Users\joser\Downloads\Vendas%20diesel.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joser\Downloads\Vendas%20diesel.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joser\Downloads\Vendas%20diesel.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joser\Downloads\Vendas%20diesel.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joser\Downloads\Vendas%20diesel.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joser\Downloads\Vendas%20diesel.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joser\Downloads\Vendas%20diesel.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joser\Downloads\Vendas%20diesel.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joser\Downloads\Vendas%20dies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dde6c3e3db83bb37/Documentos/TCC/Dados%20TCC.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Jos&#233;%20Ronaldo\Desktop\Excel%20dados%20TC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os&#233;%20Ronaldo\OneDrive\Documentos\TCC\Dados%20TC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os&#233;%20Ronaldo\OneDrive\Documentos\TCC\Dados%20TCC.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d.docs.live.net/dde6c3e3db83bb37/Documentos/TCC/Dados%20TCC.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os&#233;%20Ronaldo\OneDrive\Documentos\TCC\Dados%20TCC.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Jos&#233;%20Ronaldo\OneDrive\Documentos\TCC\Dados%20TCC.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os&#233;%20Ronaldo\OneDrive\Documentos\TCC\Dados%20TC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22047244094488E-2"/>
          <c:y val="0.10272215323751109"/>
          <c:w val="0.91086286089238844"/>
          <c:h val="0.70054955543146213"/>
        </c:manualLayout>
      </c:layout>
      <c:lineChart>
        <c:grouping val="standard"/>
        <c:varyColors val="0"/>
        <c:ser>
          <c:idx val="0"/>
          <c:order val="0"/>
          <c:tx>
            <c:strRef>
              <c:f>'[Dados TCC.xlsx]Planilha1'!$A$5</c:f>
              <c:strCache>
                <c:ptCount val="1"/>
                <c:pt idx="0">
                  <c:v>Receita</c:v>
                </c:pt>
              </c:strCache>
            </c:strRef>
          </c:tx>
          <c:spPr>
            <a:ln w="28575" cap="rnd">
              <a:solidFill>
                <a:schemeClr val="accent1"/>
              </a:solidFill>
              <a:round/>
            </a:ln>
            <a:effectLst/>
          </c:spPr>
          <c:marker>
            <c:symbol val="none"/>
          </c:marker>
          <c:cat>
            <c:numRef>
              <c:f>'[Dados TCC.xlsx]Planilha1'!$B$4:$J$4</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'[Dados TCC.xlsx]Planilha1'!$B$5:$J$5</c:f>
              <c:numCache>
                <c:formatCode>General</c:formatCode>
                <c:ptCount val="9"/>
                <c:pt idx="0">
                  <c:v>46.61</c:v>
                </c:pt>
                <c:pt idx="1">
                  <c:v>57.84</c:v>
                </c:pt>
                <c:pt idx="2">
                  <c:v>65.25</c:v>
                </c:pt>
                <c:pt idx="3">
                  <c:v>70.959999999999994</c:v>
                </c:pt>
                <c:pt idx="4">
                  <c:v>73.349999999999994</c:v>
                </c:pt>
                <c:pt idx="5">
                  <c:v>76.150000000000006</c:v>
                </c:pt>
                <c:pt idx="6">
                  <c:v>83.97</c:v>
                </c:pt>
                <c:pt idx="7">
                  <c:v>88.62</c:v>
                </c:pt>
                <c:pt idx="8">
                  <c:v>91.75</c:v>
                </c:pt>
              </c:numCache>
            </c:numRef>
          </c:val>
          <c:smooth val="0"/>
          <c:extLst>
            <c:ext xmlns:c16="http://schemas.microsoft.com/office/drawing/2014/chart" uri="{C3380CC4-5D6E-409C-BE32-E72D297353CC}">
              <c16:uniqueId val="{00000000-E72D-4E88-8D92-D1A609350B42}"/>
            </c:ext>
          </c:extLst>
        </c:ser>
        <c:ser>
          <c:idx val="1"/>
          <c:order val="1"/>
          <c:tx>
            <c:strRef>
              <c:f>'[Dados TCC.xlsx]Planilha1'!$A$8</c:f>
              <c:strCache>
                <c:ptCount val="1"/>
                <c:pt idx="0">
                  <c:v>Despesa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'[Dados TCC.xlsx]Planilha1'!$B$4:$J$4</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'[Dados TCC.xlsx]Planilha1'!$B$8:$J$8</c:f>
              <c:numCache>
                <c:formatCode>General</c:formatCode>
                <c:ptCount val="9"/>
                <c:pt idx="0" formatCode="0.00">
                  <c:v>44.227107612620003</c:v>
                </c:pt>
                <c:pt idx="1">
                  <c:v>53.14</c:v>
                </c:pt>
                <c:pt idx="2">
                  <c:v>61.65</c:v>
                </c:pt>
                <c:pt idx="3">
                  <c:v>69.97</c:v>
                </c:pt>
                <c:pt idx="4">
                  <c:v>74.03</c:v>
                </c:pt>
                <c:pt idx="5">
                  <c:v>80.790000000000006</c:v>
                </c:pt>
                <c:pt idx="6">
                  <c:v>83.37</c:v>
                </c:pt>
                <c:pt idx="7">
                  <c:v>92.13</c:v>
                </c:pt>
                <c:pt idx="8">
                  <c:v>98.38</c:v>
                </c:pt>
              </c:numCache>
            </c:numRef>
          </c:val>
          <c:smooth val="0"/>
          <c:extLst>
            <c:ext xmlns:c16="http://schemas.microsoft.com/office/drawing/2014/chart" uri="{C3380CC4-5D6E-409C-BE32-E72D297353CC}">
              <c16:uniqueId val="{00000001-E72D-4E88-8D92-D1A609350B42}"/>
            </c:ext>
          </c:extLst>
        </c:ser>
        <c:dLbls>
          <c:showLegendKey val="0"/>
          <c:showVal val="0"/>
          <c:showCatName val="0"/>
          <c:showSerName val="0"/>
          <c:showPercent val="0"/>
          <c:showBubbleSize val="0"/>
        </c:dLbls>
        <c:smooth val="0"/>
        <c:axId val="253969920"/>
        <c:axId val="235435648"/>
      </c:lineChart>
      <c:catAx>
        <c:axId val="25396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235435648"/>
        <c:crosses val="autoZero"/>
        <c:auto val="1"/>
        <c:lblAlgn val="ctr"/>
        <c:lblOffset val="100"/>
        <c:noMultiLvlLbl val="0"/>
      </c:catAx>
      <c:valAx>
        <c:axId val="235435648"/>
        <c:scaling>
          <c:orientation val="minMax"/>
          <c:max val="100"/>
          <c:min val="4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25396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483814523184598E-2"/>
          <c:y val="0.1111111111111111"/>
          <c:w val="0.88396062992125979"/>
          <c:h val="0.78148950131233597"/>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Planilha2!$B$20:$J$20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Planilha2!$B$13:$J$13</c:f>
              <c:numCache>
                <c:formatCode>0.00</c:formatCode>
                <c:ptCount val="9"/>
                <c:pt idx="0">
                  <c:v>1.1661411096799998</c:v>
                </c:pt>
                <c:pt idx="1">
                  <c:v>1.2007803220845068</c:v>
                </c:pt>
                <c:pt idx="2">
                  <c:v>1.2944861393003382</c:v>
                </c:pt>
                <c:pt idx="3">
                  <c:v>1.3708127214968286</c:v>
                </c:pt>
                <c:pt idx="4">
                  <c:v>1.4862077003770253</c:v>
                </c:pt>
                <c:pt idx="5">
                  <c:v>1.2665587125766649</c:v>
                </c:pt>
                <c:pt idx="6">
                  <c:v>1.3022030998446548</c:v>
                </c:pt>
                <c:pt idx="7">
                  <c:v>1.4031702882479078</c:v>
                </c:pt>
                <c:pt idx="8">
                  <c:v>1.4774425426712514</c:v>
                </c:pt>
              </c:numCache>
            </c:numRef>
          </c:val>
          <c:smooth val="0"/>
          <c:extLst>
            <c:ext xmlns:c16="http://schemas.microsoft.com/office/drawing/2014/chart" uri="{C3380CC4-5D6E-409C-BE32-E72D297353CC}">
              <c16:uniqueId val="{00000000-2A93-4530-8430-9D6B01BE6D53}"/>
            </c:ext>
          </c:extLst>
        </c:ser>
        <c:dLbls>
          <c:dLblPos val="t"/>
          <c:showLegendKey val="0"/>
          <c:showVal val="1"/>
          <c:showCatName val="0"/>
          <c:showSerName val="0"/>
          <c:showPercent val="0"/>
          <c:showBubbleSize val="0"/>
        </c:dLbls>
        <c:smooth val="0"/>
        <c:axId val="283568128"/>
        <c:axId val="219059840"/>
      </c:lineChart>
      <c:catAx>
        <c:axId val="28356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219059840"/>
        <c:crosses val="autoZero"/>
        <c:auto val="1"/>
        <c:lblAlgn val="ctr"/>
        <c:lblOffset val="100"/>
        <c:noMultiLvlLbl val="0"/>
      </c:catAx>
      <c:valAx>
        <c:axId val="219059840"/>
        <c:scaling>
          <c:orientation val="minMax"/>
          <c:max val="1.5"/>
          <c:min val="1.1500000000000001"/>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28356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107438016528923E-2"/>
          <c:y val="0.10483814523184602"/>
          <c:w val="0.89265013774104685"/>
          <c:h val="0.77053222513852437"/>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Planilha2!$B$20:$J$20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Planilha2!$B$5:$J$5</c:f>
              <c:numCache>
                <c:formatCode>0.00</c:formatCode>
                <c:ptCount val="9"/>
                <c:pt idx="0">
                  <c:v>4.8334201136399999</c:v>
                </c:pt>
                <c:pt idx="1">
                  <c:v>5.1732218550422537</c:v>
                </c:pt>
                <c:pt idx="2">
                  <c:v>5.7832558592665109</c:v>
                </c:pt>
                <c:pt idx="3">
                  <c:v>6.0019686257251585</c:v>
                </c:pt>
                <c:pt idx="4">
                  <c:v>6.4022707000401091</c:v>
                </c:pt>
                <c:pt idx="5">
                  <c:v>6.0143487457326543</c:v>
                </c:pt>
                <c:pt idx="6">
                  <c:v>6.4814813138257321</c:v>
                </c:pt>
                <c:pt idx="7">
                  <c:v>7.0373680979594662</c:v>
                </c:pt>
                <c:pt idx="8">
                  <c:v>7.338463218109494</c:v>
                </c:pt>
              </c:numCache>
            </c:numRef>
          </c:val>
          <c:smooth val="0"/>
          <c:extLst>
            <c:ext xmlns:c16="http://schemas.microsoft.com/office/drawing/2014/chart" uri="{C3380CC4-5D6E-409C-BE32-E72D297353CC}">
              <c16:uniqueId val="{00000000-5D6C-4F4E-B3FE-F2706126E2C6}"/>
            </c:ext>
          </c:extLst>
        </c:ser>
        <c:dLbls>
          <c:dLblPos val="t"/>
          <c:showLegendKey val="0"/>
          <c:showVal val="1"/>
          <c:showCatName val="0"/>
          <c:showSerName val="0"/>
          <c:showPercent val="0"/>
          <c:showBubbleSize val="0"/>
        </c:dLbls>
        <c:smooth val="0"/>
        <c:axId val="244846592"/>
        <c:axId val="219061568"/>
      </c:lineChart>
      <c:catAx>
        <c:axId val="24484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19061568"/>
        <c:crosses val="autoZero"/>
        <c:auto val="1"/>
        <c:lblAlgn val="ctr"/>
        <c:lblOffset val="100"/>
        <c:noMultiLvlLbl val="0"/>
      </c:catAx>
      <c:valAx>
        <c:axId val="219061568"/>
        <c:scaling>
          <c:orientation val="minMax"/>
          <c:min val="4.5"/>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4846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456036745406818E-2"/>
          <c:y val="8.9037299968416292E-2"/>
          <c:w val="0.88498840769903764"/>
          <c:h val="0.8076871439603440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Planilha2!$B$20:$J$20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Planilha2!$B$6:$J$6</c:f>
              <c:numCache>
                <c:formatCode>0%</c:formatCode>
                <c:ptCount val="9"/>
                <c:pt idx="0">
                  <c:v>0.22377638307158923</c:v>
                </c:pt>
                <c:pt idx="1">
                  <c:v>0.22695098122154439</c:v>
                </c:pt>
                <c:pt idx="2">
                  <c:v>0.2434759609186615</c:v>
                </c:pt>
                <c:pt idx="3">
                  <c:v>0.24149319986975445</c:v>
                </c:pt>
                <c:pt idx="4">
                  <c:v>0.25239549100565867</c:v>
                </c:pt>
                <c:pt idx="5">
                  <c:v>0.25622784892495409</c:v>
                </c:pt>
                <c:pt idx="6">
                  <c:v>0.25812967720551117</c:v>
                </c:pt>
                <c:pt idx="7">
                  <c:v>0.26814127310542007</c:v>
                </c:pt>
                <c:pt idx="8">
                  <c:v>0.26875102114169563</c:v>
                </c:pt>
              </c:numCache>
            </c:numRef>
          </c:val>
          <c:extLst>
            <c:ext xmlns:c16="http://schemas.microsoft.com/office/drawing/2014/chart" uri="{C3380CC4-5D6E-409C-BE32-E72D297353CC}">
              <c16:uniqueId val="{00000000-25CE-4F88-98D8-1A9274109BC4}"/>
            </c:ext>
          </c:extLst>
        </c:ser>
        <c:dLbls>
          <c:dLblPos val="outEnd"/>
          <c:showLegendKey val="0"/>
          <c:showVal val="1"/>
          <c:showCatName val="0"/>
          <c:showSerName val="0"/>
          <c:showPercent val="0"/>
          <c:showBubbleSize val="0"/>
        </c:dLbls>
        <c:gapWidth val="219"/>
        <c:overlap val="-27"/>
        <c:axId val="251604992"/>
        <c:axId val="231360192"/>
      </c:barChart>
      <c:catAx>
        <c:axId val="25160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31360192"/>
        <c:crosses val="autoZero"/>
        <c:auto val="1"/>
        <c:lblAlgn val="ctr"/>
        <c:lblOffset val="100"/>
        <c:noMultiLvlLbl val="0"/>
      </c:catAx>
      <c:valAx>
        <c:axId val="23136019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51604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81714785651793"/>
          <c:y val="0.1111111111111111"/>
          <c:w val="0.87622913472449604"/>
          <c:h val="0.6755861767279091"/>
        </c:manualLayout>
      </c:layout>
      <c:lineChart>
        <c:grouping val="standard"/>
        <c:varyColors val="0"/>
        <c:ser>
          <c:idx val="0"/>
          <c:order val="0"/>
          <c:tx>
            <c:strRef>
              <c:f>Planilha2!$L$10</c:f>
              <c:strCache>
                <c:ptCount val="1"/>
                <c:pt idx="0">
                  <c:v>UBERLANDIA</c:v>
                </c:pt>
              </c:strCache>
            </c:strRef>
          </c:tx>
          <c:spPr>
            <a:ln w="28575" cap="rnd">
              <a:solidFill>
                <a:schemeClr val="accent1"/>
              </a:solidFill>
              <a:round/>
            </a:ln>
            <a:effectLst/>
          </c:spPr>
          <c:marker>
            <c:symbol val="none"/>
          </c:marker>
          <c:dLbls>
            <c:dLbl>
              <c:idx val="5"/>
              <c:layout>
                <c:manualLayout>
                  <c:x val="-4.3141878360357648E-2"/>
                  <c:y val="-6.24653689122193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005-4A74-8E44-60926789CAEA}"/>
                </c:ext>
              </c:extLst>
            </c:dLbl>
            <c:dLbl>
              <c:idx val="8"/>
              <c:layout>
                <c:manualLayout>
                  <c:x val="-2.1949419697762197E-2"/>
                  <c:y val="-6.24653689122193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005-4A74-8E44-60926789CAE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Planilha2!$M$9:$U$9</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Planilha2!$M$10:$U$10</c:f>
              <c:numCache>
                <c:formatCode>#,##0</c:formatCode>
                <c:ptCount val="9"/>
                <c:pt idx="0">
                  <c:v>161.90133399999999</c:v>
                </c:pt>
                <c:pt idx="1">
                  <c:v>187.576525</c:v>
                </c:pt>
                <c:pt idx="2">
                  <c:v>200.06027399999999</c:v>
                </c:pt>
                <c:pt idx="3">
                  <c:v>203.078157</c:v>
                </c:pt>
                <c:pt idx="4">
                  <c:v>221.37174300000001</c:v>
                </c:pt>
                <c:pt idx="5">
                  <c:v>182.18457699999999</c:v>
                </c:pt>
                <c:pt idx="6">
                  <c:v>198.69053199999999</c:v>
                </c:pt>
                <c:pt idx="7">
                  <c:v>213.18359100000001</c:v>
                </c:pt>
                <c:pt idx="8">
                  <c:v>149.42089200000001</c:v>
                </c:pt>
              </c:numCache>
            </c:numRef>
          </c:val>
          <c:smooth val="0"/>
          <c:extLst>
            <c:ext xmlns:c16="http://schemas.microsoft.com/office/drawing/2014/chart" uri="{C3380CC4-5D6E-409C-BE32-E72D297353CC}">
              <c16:uniqueId val="{00000000-B005-4A74-8E44-60926789CAEA}"/>
            </c:ext>
          </c:extLst>
        </c:ser>
        <c:ser>
          <c:idx val="1"/>
          <c:order val="1"/>
          <c:tx>
            <c:strRef>
              <c:f>Planilha2!$L$11</c:f>
              <c:strCache>
                <c:ptCount val="1"/>
                <c:pt idx="0">
                  <c:v>RIBEIRAO PRETO</c:v>
                </c:pt>
              </c:strCache>
            </c:strRef>
          </c:tx>
          <c:spPr>
            <a:ln w="28575" cap="rnd">
              <a:solidFill>
                <a:schemeClr val="accent2"/>
              </a:solidFill>
              <a:round/>
            </a:ln>
            <a:effectLst/>
          </c:spPr>
          <c:marker>
            <c:symbol val="none"/>
          </c:marker>
          <c:dLbls>
            <c:dLbl>
              <c:idx val="1"/>
              <c:layout>
                <c:manualLayout>
                  <c:x val="-2.399166890494164E-2"/>
                  <c:y val="3.01272236803732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005-4A74-8E44-60926789CAEA}"/>
                </c:ext>
              </c:extLst>
            </c:dLbl>
            <c:dLbl>
              <c:idx val="2"/>
              <c:layout>
                <c:manualLayout>
                  <c:x val="-3.5960549814576546E-2"/>
                  <c:y val="5.79050014581510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005-4A74-8E44-60926789CAEA}"/>
                </c:ext>
              </c:extLst>
            </c:dLbl>
            <c:dLbl>
              <c:idx val="3"/>
              <c:layout>
                <c:manualLayout>
                  <c:x val="-5.0323206906138528E-2"/>
                  <c:y val="2.54975940507436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005-4A74-8E44-60926789CAEA}"/>
                </c:ext>
              </c:extLst>
            </c:dLbl>
            <c:dLbl>
              <c:idx val="4"/>
              <c:layout>
                <c:manualLayout>
                  <c:x val="-5.511083391803747E-2"/>
                  <c:y val="6.18753503269718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005-4A74-8E44-60926789CAE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Planilha2!$M$9:$U$9</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Planilha2!$M$11:$U$11</c:f>
              <c:numCache>
                <c:formatCode>#,##0</c:formatCode>
                <c:ptCount val="9"/>
                <c:pt idx="0">
                  <c:v>116.36030100000001</c:v>
                </c:pt>
                <c:pt idx="1">
                  <c:v>173.305128</c:v>
                </c:pt>
                <c:pt idx="2">
                  <c:v>195.99131499999999</c:v>
                </c:pt>
                <c:pt idx="3">
                  <c:v>194.89830599999999</c:v>
                </c:pt>
                <c:pt idx="4">
                  <c:v>203.768722</c:v>
                </c:pt>
                <c:pt idx="5">
                  <c:v>158.23679100000001</c:v>
                </c:pt>
                <c:pt idx="6">
                  <c:v>157.66901999999999</c:v>
                </c:pt>
                <c:pt idx="7">
                  <c:v>151.51124999999999</c:v>
                </c:pt>
                <c:pt idx="8">
                  <c:v>120.788933</c:v>
                </c:pt>
              </c:numCache>
            </c:numRef>
          </c:val>
          <c:smooth val="0"/>
          <c:extLst>
            <c:ext xmlns:c16="http://schemas.microsoft.com/office/drawing/2014/chart" uri="{C3380CC4-5D6E-409C-BE32-E72D297353CC}">
              <c16:uniqueId val="{00000001-B005-4A74-8E44-60926789CAEA}"/>
            </c:ext>
          </c:extLst>
        </c:ser>
        <c:dLbls>
          <c:dLblPos val="t"/>
          <c:showLegendKey val="0"/>
          <c:showVal val="1"/>
          <c:showCatName val="0"/>
          <c:showSerName val="0"/>
          <c:showPercent val="0"/>
          <c:showBubbleSize val="0"/>
        </c:dLbls>
        <c:smooth val="0"/>
        <c:axId val="251605504"/>
        <c:axId val="231361920"/>
      </c:lineChart>
      <c:catAx>
        <c:axId val="25160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31361920"/>
        <c:crosses val="autoZero"/>
        <c:auto val="1"/>
        <c:lblAlgn val="ctr"/>
        <c:lblOffset val="100"/>
        <c:noMultiLvlLbl val="0"/>
      </c:catAx>
      <c:valAx>
        <c:axId val="231361920"/>
        <c:scaling>
          <c:orientation val="minMax"/>
          <c:min val="11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51605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81714785651793"/>
          <c:y val="0.10185185185185185"/>
          <c:w val="0.87597140601327272"/>
          <c:h val="0.68484543598716829"/>
        </c:manualLayout>
      </c:layout>
      <c:lineChart>
        <c:grouping val="standard"/>
        <c:varyColors val="0"/>
        <c:ser>
          <c:idx val="0"/>
          <c:order val="0"/>
          <c:tx>
            <c:strRef>
              <c:f>Planilha2!$L$14</c:f>
              <c:strCache>
                <c:ptCount val="1"/>
                <c:pt idx="0">
                  <c:v>UBERABA</c:v>
                </c:pt>
              </c:strCache>
            </c:strRef>
          </c:tx>
          <c:spPr>
            <a:ln w="28575" cap="rnd">
              <a:solidFill>
                <a:schemeClr val="accent1"/>
              </a:solidFill>
              <a:round/>
            </a:ln>
            <a:effectLst/>
          </c:spPr>
          <c:marker>
            <c:symbol val="none"/>
          </c:marker>
          <c:dLbls>
            <c:dLbl>
              <c:idx val="8"/>
              <c:layout>
                <c:manualLayout>
                  <c:x val="-2.6466410706926097E-2"/>
                  <c:y val="-9.6759259259259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6FD-4634-A825-A7AFA8617A9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Planilha2!$M$13:$U$13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Planilha2!$M$14:$U$14</c:f>
              <c:numCache>
                <c:formatCode>#,##0</c:formatCode>
                <c:ptCount val="9"/>
                <c:pt idx="0">
                  <c:v>74.450157000000004</c:v>
                </c:pt>
                <c:pt idx="1">
                  <c:v>83.802300000000002</c:v>
                </c:pt>
                <c:pt idx="2">
                  <c:v>87.600250000000003</c:v>
                </c:pt>
                <c:pt idx="3">
                  <c:v>92.236790999999997</c:v>
                </c:pt>
                <c:pt idx="4">
                  <c:v>100.490263</c:v>
                </c:pt>
                <c:pt idx="5">
                  <c:v>80.386200000000002</c:v>
                </c:pt>
                <c:pt idx="6">
                  <c:v>83.309370999999999</c:v>
                </c:pt>
                <c:pt idx="7">
                  <c:v>88.712928000000005</c:v>
                </c:pt>
                <c:pt idx="8">
                  <c:v>64.152529999999999</c:v>
                </c:pt>
              </c:numCache>
            </c:numRef>
          </c:val>
          <c:smooth val="0"/>
          <c:extLst>
            <c:ext xmlns:c16="http://schemas.microsoft.com/office/drawing/2014/chart" uri="{C3380CC4-5D6E-409C-BE32-E72D297353CC}">
              <c16:uniqueId val="{00000000-B6FD-4634-A825-A7AFA8617A9B}"/>
            </c:ext>
          </c:extLst>
        </c:ser>
        <c:ser>
          <c:idx val="1"/>
          <c:order val="1"/>
          <c:tx>
            <c:strRef>
              <c:f>Planilha2!$L$15</c:f>
              <c:strCache>
                <c:ptCount val="1"/>
                <c:pt idx="0">
                  <c:v>FRANCA</c:v>
                </c:pt>
              </c:strCache>
            </c:strRef>
          </c:tx>
          <c:spPr>
            <a:ln w="28575" cap="rnd">
              <a:solidFill>
                <a:schemeClr val="accent2"/>
              </a:solidFill>
              <a:round/>
            </a:ln>
            <a:effectLst/>
          </c:spPr>
          <c:marker>
            <c:symbol val="none"/>
          </c:marker>
          <c:dLbls>
            <c:dLbl>
              <c:idx val="8"/>
              <c:layout>
                <c:manualLayout>
                  <c:x val="-5.0708834949350343E-2"/>
                  <c:y val="9.722222222222222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FD-4634-A825-A7AFA8617A9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Planilha2!$M$13:$U$13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Planilha2!$M$15:$U$15</c:f>
              <c:numCache>
                <c:formatCode>#,##0</c:formatCode>
                <c:ptCount val="9"/>
                <c:pt idx="0">
                  <c:v>47.82</c:v>
                </c:pt>
                <c:pt idx="1">
                  <c:v>63.447000000000003</c:v>
                </c:pt>
                <c:pt idx="2">
                  <c:v>65.745649999999998</c:v>
                </c:pt>
                <c:pt idx="3">
                  <c:v>70.224953999999997</c:v>
                </c:pt>
                <c:pt idx="4">
                  <c:v>78.149850000000001</c:v>
                </c:pt>
                <c:pt idx="5">
                  <c:v>69.073441000000003</c:v>
                </c:pt>
                <c:pt idx="6">
                  <c:v>70.522999999999996</c:v>
                </c:pt>
                <c:pt idx="7">
                  <c:v>77.178089</c:v>
                </c:pt>
                <c:pt idx="8">
                  <c:v>62.946371999999997</c:v>
                </c:pt>
              </c:numCache>
            </c:numRef>
          </c:val>
          <c:smooth val="0"/>
          <c:extLst>
            <c:ext xmlns:c16="http://schemas.microsoft.com/office/drawing/2014/chart" uri="{C3380CC4-5D6E-409C-BE32-E72D297353CC}">
              <c16:uniqueId val="{00000001-B6FD-4634-A825-A7AFA8617A9B}"/>
            </c:ext>
          </c:extLst>
        </c:ser>
        <c:dLbls>
          <c:dLblPos val="t"/>
          <c:showLegendKey val="0"/>
          <c:showVal val="1"/>
          <c:showCatName val="0"/>
          <c:showSerName val="0"/>
          <c:showPercent val="0"/>
          <c:showBubbleSize val="0"/>
        </c:dLbls>
        <c:smooth val="0"/>
        <c:axId val="250446336"/>
        <c:axId val="231363648"/>
      </c:lineChart>
      <c:catAx>
        <c:axId val="25044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31363648"/>
        <c:crosses val="autoZero"/>
        <c:auto val="1"/>
        <c:lblAlgn val="ctr"/>
        <c:lblOffset val="100"/>
        <c:noMultiLvlLbl val="0"/>
      </c:catAx>
      <c:valAx>
        <c:axId val="231363648"/>
        <c:scaling>
          <c:orientation val="minMax"/>
          <c:max val="105"/>
          <c:min val="4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50446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78937007874017"/>
          <c:y val="0.11574074074074074"/>
          <c:w val="0.8396550743657043"/>
          <c:h val="0.67095654709827945"/>
        </c:manualLayout>
      </c:layout>
      <c:barChart>
        <c:barDir val="col"/>
        <c:grouping val="clustered"/>
        <c:varyColors val="0"/>
        <c:ser>
          <c:idx val="0"/>
          <c:order val="0"/>
          <c:tx>
            <c:strRef>
              <c:f>Planilha1!$B$5</c:f>
              <c:strCache>
                <c:ptCount val="1"/>
                <c:pt idx="0">
                  <c:v>Gasolina</c:v>
                </c:pt>
              </c:strCache>
            </c:strRef>
          </c:tx>
          <c:spPr>
            <a:solidFill>
              <a:schemeClr val="accent1"/>
            </a:solidFill>
            <a:ln>
              <a:noFill/>
            </a:ln>
            <a:effectLst/>
          </c:spPr>
          <c:invertIfNegative val="0"/>
          <c:cat>
            <c:numRef>
              <c:f>Planilha1!$C$4:$K$4</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Planilha1!$C$5:$K$5</c:f>
              <c:numCache>
                <c:formatCode>#,##0</c:formatCode>
                <c:ptCount val="9"/>
                <c:pt idx="0">
                  <c:v>3677.7345490635994</c:v>
                </c:pt>
                <c:pt idx="1">
                  <c:v>4099.7297335805997</c:v>
                </c:pt>
                <c:pt idx="2">
                  <c:v>4459.1003384241994</c:v>
                </c:pt>
                <c:pt idx="3">
                  <c:v>4655.2123415543992</c:v>
                </c:pt>
                <c:pt idx="4">
                  <c:v>4985.8448901326001</c:v>
                </c:pt>
                <c:pt idx="5">
                  <c:v>4296.2313712539999</c:v>
                </c:pt>
                <c:pt idx="6">
                  <c:v>4512.5337612533995</c:v>
                </c:pt>
                <c:pt idx="7">
                  <c:v>4570.0006195583992</c:v>
                </c:pt>
                <c:pt idx="8">
                  <c:v>3572.5505814257999</c:v>
                </c:pt>
              </c:numCache>
            </c:numRef>
          </c:val>
          <c:extLst>
            <c:ext xmlns:c16="http://schemas.microsoft.com/office/drawing/2014/chart" uri="{C3380CC4-5D6E-409C-BE32-E72D297353CC}">
              <c16:uniqueId val="{00000000-13A9-45ED-8119-E97264D8835D}"/>
            </c:ext>
          </c:extLst>
        </c:ser>
        <c:ser>
          <c:idx val="1"/>
          <c:order val="1"/>
          <c:tx>
            <c:strRef>
              <c:f>Planilha1!$B$6</c:f>
              <c:strCache>
                <c:ptCount val="1"/>
                <c:pt idx="0">
                  <c:v>Etanol</c:v>
                </c:pt>
              </c:strCache>
            </c:strRef>
          </c:tx>
          <c:spPr>
            <a:solidFill>
              <a:schemeClr val="accent2"/>
            </a:solidFill>
            <a:ln>
              <a:noFill/>
            </a:ln>
            <a:effectLst/>
          </c:spPr>
          <c:invertIfNegative val="0"/>
          <c:cat>
            <c:numRef>
              <c:f>Planilha1!$C$4:$K$4</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Planilha1!$C$6:$K$6</c:f>
              <c:numCache>
                <c:formatCode>#,##0</c:formatCode>
                <c:ptCount val="9"/>
                <c:pt idx="0">
                  <c:v>838.12247701047988</c:v>
                </c:pt>
                <c:pt idx="1">
                  <c:v>568.73865400986006</c:v>
                </c:pt>
                <c:pt idx="2">
                  <c:v>524.06810226406003</c:v>
                </c:pt>
                <c:pt idx="3">
                  <c:v>726.86267325793995</c:v>
                </c:pt>
                <c:pt idx="4">
                  <c:v>749.62449135797988</c:v>
                </c:pt>
                <c:pt idx="5">
                  <c:v>1789.8559471741999</c:v>
                </c:pt>
                <c:pt idx="6">
                  <c:v>1447.2225208042798</c:v>
                </c:pt>
                <c:pt idx="7">
                  <c:v>1468.5140451241998</c:v>
                </c:pt>
                <c:pt idx="8">
                  <c:v>2488.200471185</c:v>
                </c:pt>
              </c:numCache>
            </c:numRef>
          </c:val>
          <c:extLst>
            <c:ext xmlns:c16="http://schemas.microsoft.com/office/drawing/2014/chart" uri="{C3380CC4-5D6E-409C-BE32-E72D297353CC}">
              <c16:uniqueId val="{00000001-13A9-45ED-8119-E97264D8835D}"/>
            </c:ext>
          </c:extLst>
        </c:ser>
        <c:dLbls>
          <c:showLegendKey val="0"/>
          <c:showVal val="0"/>
          <c:showCatName val="0"/>
          <c:showSerName val="0"/>
          <c:showPercent val="0"/>
          <c:showBubbleSize val="0"/>
        </c:dLbls>
        <c:gapWidth val="219"/>
        <c:overlap val="-27"/>
        <c:axId val="250449408"/>
        <c:axId val="231365376"/>
      </c:barChart>
      <c:catAx>
        <c:axId val="25044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31365376"/>
        <c:crosses val="autoZero"/>
        <c:auto val="1"/>
        <c:lblAlgn val="ctr"/>
        <c:lblOffset val="100"/>
        <c:noMultiLvlLbl val="0"/>
      </c:catAx>
      <c:valAx>
        <c:axId val="231365376"/>
        <c:scaling>
          <c:orientation val="minMax"/>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5044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nSpc>
          <a:spcPct val="150000"/>
        </a:lnSpc>
        <a:defRPr/>
      </a:pPr>
      <a:endParaRPr lang="pt-B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88648293963255"/>
          <c:y val="0.1111111111111111"/>
          <c:w val="0.8585579615048119"/>
          <c:h val="0.6755861767279091"/>
        </c:manualLayout>
      </c:layout>
      <c:barChart>
        <c:barDir val="col"/>
        <c:grouping val="clustered"/>
        <c:varyColors val="0"/>
        <c:ser>
          <c:idx val="0"/>
          <c:order val="0"/>
          <c:tx>
            <c:strRef>
              <c:f>Planilha1!$B$16</c:f>
              <c:strCache>
                <c:ptCount val="1"/>
                <c:pt idx="0">
                  <c:v>Gasolina</c:v>
                </c:pt>
              </c:strCache>
            </c:strRef>
          </c:tx>
          <c:spPr>
            <a:solidFill>
              <a:schemeClr val="accent1"/>
            </a:solidFill>
            <a:ln>
              <a:noFill/>
            </a:ln>
            <a:effectLst/>
          </c:spPr>
          <c:invertIfNegative val="0"/>
          <c:cat>
            <c:numRef>
              <c:f>Planilha1!$C$15:$K$15</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Planilha1!$C$16:$K$16</c:f>
              <c:numCache>
                <c:formatCode>#,##0</c:formatCode>
                <c:ptCount val="9"/>
                <c:pt idx="0">
                  <c:v>7435.8945412165995</c:v>
                </c:pt>
                <c:pt idx="1">
                  <c:v>9461.4401078381998</c:v>
                </c:pt>
                <c:pt idx="2">
                  <c:v>10305.3706368002</c:v>
                </c:pt>
                <c:pt idx="3">
                  <c:v>10476.3400944226</c:v>
                </c:pt>
                <c:pt idx="4">
                  <c:v>10849.286688259799</c:v>
                </c:pt>
                <c:pt idx="5">
                  <c:v>9436.2990440239992</c:v>
                </c:pt>
                <c:pt idx="6">
                  <c:v>9990.0568318736005</c:v>
                </c:pt>
                <c:pt idx="7">
                  <c:v>10471.631548786998</c:v>
                </c:pt>
                <c:pt idx="8">
                  <c:v>8425.3048081283996</c:v>
                </c:pt>
              </c:numCache>
            </c:numRef>
          </c:val>
          <c:extLst>
            <c:ext xmlns:c16="http://schemas.microsoft.com/office/drawing/2014/chart" uri="{C3380CC4-5D6E-409C-BE32-E72D297353CC}">
              <c16:uniqueId val="{00000000-8CD3-4869-9018-3307AF68A5C9}"/>
            </c:ext>
          </c:extLst>
        </c:ser>
        <c:ser>
          <c:idx val="1"/>
          <c:order val="1"/>
          <c:tx>
            <c:strRef>
              <c:f>Planilha1!$B$17</c:f>
              <c:strCache>
                <c:ptCount val="1"/>
                <c:pt idx="0">
                  <c:v>Etanol</c:v>
                </c:pt>
              </c:strCache>
            </c:strRef>
          </c:tx>
          <c:spPr>
            <a:solidFill>
              <a:schemeClr val="accent2"/>
            </a:solidFill>
            <a:ln>
              <a:noFill/>
            </a:ln>
            <a:effectLst/>
          </c:spPr>
          <c:invertIfNegative val="0"/>
          <c:cat>
            <c:numRef>
              <c:f>Planilha1!$C$15:$K$15</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Planilha1!$C$17:$K$17</c:f>
              <c:numCache>
                <c:formatCode>#,##0</c:formatCode>
                <c:ptCount val="9"/>
                <c:pt idx="0">
                  <c:v>8373.8714284197995</c:v>
                </c:pt>
                <c:pt idx="1">
                  <c:v>6490.0086835875991</c:v>
                </c:pt>
                <c:pt idx="2">
                  <c:v>5834.1911092619994</c:v>
                </c:pt>
                <c:pt idx="3">
                  <c:v>6656.4466150349999</c:v>
                </c:pt>
                <c:pt idx="4">
                  <c:v>7576.2446765905988</c:v>
                </c:pt>
                <c:pt idx="5">
                  <c:v>9455.6260184622006</c:v>
                </c:pt>
                <c:pt idx="6">
                  <c:v>8356.0844948313988</c:v>
                </c:pt>
                <c:pt idx="7">
                  <c:v>7687.761545756799</c:v>
                </c:pt>
                <c:pt idx="8">
                  <c:v>9956.3032316435983</c:v>
                </c:pt>
              </c:numCache>
            </c:numRef>
          </c:val>
          <c:extLst>
            <c:ext xmlns:c16="http://schemas.microsoft.com/office/drawing/2014/chart" uri="{C3380CC4-5D6E-409C-BE32-E72D297353CC}">
              <c16:uniqueId val="{00000001-8CD3-4869-9018-3307AF68A5C9}"/>
            </c:ext>
          </c:extLst>
        </c:ser>
        <c:dLbls>
          <c:showLegendKey val="0"/>
          <c:showVal val="0"/>
          <c:showCatName val="0"/>
          <c:showSerName val="0"/>
          <c:showPercent val="0"/>
          <c:showBubbleSize val="0"/>
        </c:dLbls>
        <c:gapWidth val="219"/>
        <c:overlap val="-27"/>
        <c:axId val="250445824"/>
        <c:axId val="232440384"/>
      </c:barChart>
      <c:catAx>
        <c:axId val="250445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32440384"/>
        <c:crosses val="autoZero"/>
        <c:auto val="1"/>
        <c:lblAlgn val="ctr"/>
        <c:lblOffset val="100"/>
        <c:noMultiLvlLbl val="0"/>
      </c:catAx>
      <c:valAx>
        <c:axId val="23244038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50445824"/>
        <c:crosses val="autoZero"/>
        <c:crossBetween val="between"/>
      </c:valAx>
      <c:spPr>
        <a:noFill/>
        <a:ln>
          <a:noFill/>
        </a:ln>
        <a:effectLst/>
      </c:spPr>
    </c:plotArea>
    <c:legend>
      <c:legendPos val="b"/>
      <c:layout>
        <c:manualLayout>
          <c:xMode val="edge"/>
          <c:yMode val="edge"/>
          <c:x val="0.35547064055009658"/>
          <c:y val="0.89194443579928007"/>
          <c:w val="0.2626122643760439"/>
          <c:h val="0.1080555642007199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25268817204302"/>
          <c:y val="0.12057753586878135"/>
          <c:w val="0.85170265007196677"/>
          <c:h val="0.66169728783902015"/>
        </c:manualLayout>
      </c:layout>
      <c:lineChart>
        <c:grouping val="standard"/>
        <c:varyColors val="0"/>
        <c:ser>
          <c:idx val="0"/>
          <c:order val="0"/>
          <c:tx>
            <c:strRef>
              <c:f>Planilha2!$C$14</c:f>
              <c:strCache>
                <c:ptCount val="1"/>
                <c:pt idx="0">
                  <c:v>Minas Gerais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Planilha2!$D$13:$L$13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Planilha2!$D$14:$L$14</c:f>
              <c:numCache>
                <c:formatCode>0.00</c:formatCode>
                <c:ptCount val="9"/>
                <c:pt idx="0">
                  <c:v>1.9239591986376896</c:v>
                </c:pt>
                <c:pt idx="1">
                  <c:v>2.2341912404178026</c:v>
                </c:pt>
                <c:pt idx="2">
                  <c:v>2.3194681861976862</c:v>
                </c:pt>
                <c:pt idx="3">
                  <c:v>2.3657168208910093</c:v>
                </c:pt>
                <c:pt idx="4">
                  <c:v>2.4747848403798534</c:v>
                </c:pt>
                <c:pt idx="5">
                  <c:v>2.5196476156269862</c:v>
                </c:pt>
                <c:pt idx="6">
                  <c:v>2.8544206704399113</c:v>
                </c:pt>
                <c:pt idx="7">
                  <c:v>2.9276224311847652</c:v>
                </c:pt>
                <c:pt idx="8">
                  <c:v>2.8602498429444787</c:v>
                </c:pt>
              </c:numCache>
            </c:numRef>
          </c:val>
          <c:smooth val="0"/>
          <c:extLst>
            <c:ext xmlns:c16="http://schemas.microsoft.com/office/drawing/2014/chart" uri="{C3380CC4-5D6E-409C-BE32-E72D297353CC}">
              <c16:uniqueId val="{00000000-98B1-4A30-9CAB-6E6E0B8B6370}"/>
            </c:ext>
          </c:extLst>
        </c:ser>
        <c:ser>
          <c:idx val="1"/>
          <c:order val="1"/>
          <c:tx>
            <c:strRef>
              <c:f>Planilha2!$C$15</c:f>
              <c:strCache>
                <c:ptCount val="1"/>
                <c:pt idx="0">
                  <c:v>São Paulo</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Planilha2!$D$13:$L$13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Planilha2!$D$15:$L$15</c:f>
              <c:numCache>
                <c:formatCode>0.00</c:formatCode>
                <c:ptCount val="9"/>
                <c:pt idx="0">
                  <c:v>3.8452918552208399</c:v>
                </c:pt>
                <c:pt idx="1">
                  <c:v>3.6823350839768452</c:v>
                </c:pt>
                <c:pt idx="2">
                  <c:v>3.275401169989931</c:v>
                </c:pt>
                <c:pt idx="3">
                  <c:v>3.2204744830462237</c:v>
                </c:pt>
                <c:pt idx="4">
                  <c:v>3.3150935894007572</c:v>
                </c:pt>
                <c:pt idx="5">
                  <c:v>3.4494549981401263</c:v>
                </c:pt>
                <c:pt idx="6">
                  <c:v>3.6746705640994732</c:v>
                </c:pt>
                <c:pt idx="7">
                  <c:v>3.6158601454337189</c:v>
                </c:pt>
                <c:pt idx="8">
                  <c:v>3.93666131900877</c:v>
                </c:pt>
              </c:numCache>
            </c:numRef>
          </c:val>
          <c:smooth val="0"/>
          <c:extLst>
            <c:ext xmlns:c16="http://schemas.microsoft.com/office/drawing/2014/chart" uri="{C3380CC4-5D6E-409C-BE32-E72D297353CC}">
              <c16:uniqueId val="{00000001-98B1-4A30-9CAB-6E6E0B8B6370}"/>
            </c:ext>
          </c:extLst>
        </c:ser>
        <c:dLbls>
          <c:showLegendKey val="0"/>
          <c:showVal val="0"/>
          <c:showCatName val="0"/>
          <c:showSerName val="0"/>
          <c:showPercent val="0"/>
          <c:showBubbleSize val="0"/>
        </c:dLbls>
        <c:smooth val="0"/>
        <c:axId val="250446848"/>
        <c:axId val="232442112"/>
      </c:lineChart>
      <c:catAx>
        <c:axId val="25044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232442112"/>
        <c:crosses val="autoZero"/>
        <c:auto val="1"/>
        <c:lblAlgn val="ctr"/>
        <c:lblOffset val="100"/>
        <c:noMultiLvlLbl val="0"/>
      </c:catAx>
      <c:valAx>
        <c:axId val="232442112"/>
        <c:scaling>
          <c:orientation val="minMax"/>
          <c:max val="4"/>
          <c:min val="1.5"/>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5044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8.3333333333333329E-2"/>
          <c:w val="0.89019685039370078"/>
          <c:h val="0.80926727909011376"/>
        </c:manualLayout>
      </c:layout>
      <c:lineChart>
        <c:grouping val="standard"/>
        <c:varyColors val="0"/>
        <c:ser>
          <c:idx val="0"/>
          <c:order val="0"/>
          <c:spPr>
            <a:ln w="28575" cap="rnd">
              <a:solidFill>
                <a:schemeClr val="accent1"/>
              </a:solidFill>
              <a:round/>
            </a:ln>
            <a:effectLst/>
          </c:spPr>
          <c:marker>
            <c:symbol val="none"/>
          </c:marker>
          <c:dLbls>
            <c:dLbl>
              <c:idx val="0"/>
              <c:layout>
                <c:manualLayout>
                  <c:x val="-4.7149122807017545E-2"/>
                  <c:y val="-6.89814814814816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28-4A1F-8C12-D69A55B9321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Gráficos!$M$3:$U$3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Gráficos!$M$4:$U$4</c:f>
              <c:numCache>
                <c:formatCode>0</c:formatCode>
                <c:ptCount val="9"/>
                <c:pt idx="0">
                  <c:v>273.43757499999998</c:v>
                </c:pt>
                <c:pt idx="1">
                  <c:v>294.800907</c:v>
                </c:pt>
                <c:pt idx="2">
                  <c:v>306.23205100000001</c:v>
                </c:pt>
                <c:pt idx="3">
                  <c:v>310.32140900000002</c:v>
                </c:pt>
                <c:pt idx="4">
                  <c:v>315.37765200000001</c:v>
                </c:pt>
                <c:pt idx="5">
                  <c:v>295.80256800000001</c:v>
                </c:pt>
                <c:pt idx="6">
                  <c:v>291.63395400000002</c:v>
                </c:pt>
                <c:pt idx="7">
                  <c:v>283.95495399999999</c:v>
                </c:pt>
                <c:pt idx="8">
                  <c:v>273.97136599999999</c:v>
                </c:pt>
              </c:numCache>
            </c:numRef>
          </c:val>
          <c:smooth val="0"/>
          <c:extLst>
            <c:ext xmlns:c16="http://schemas.microsoft.com/office/drawing/2014/chart" uri="{C3380CC4-5D6E-409C-BE32-E72D297353CC}">
              <c16:uniqueId val="{00000000-2828-4A1F-8C12-D69A55B93216}"/>
            </c:ext>
          </c:extLst>
        </c:ser>
        <c:dLbls>
          <c:dLblPos val="t"/>
          <c:showLegendKey val="0"/>
          <c:showVal val="1"/>
          <c:showCatName val="0"/>
          <c:showSerName val="0"/>
          <c:showPercent val="0"/>
          <c:showBubbleSize val="0"/>
        </c:dLbls>
        <c:smooth val="0"/>
        <c:axId val="251606016"/>
        <c:axId val="232443264"/>
      </c:lineChart>
      <c:catAx>
        <c:axId val="25160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32443264"/>
        <c:crosses val="autoZero"/>
        <c:auto val="1"/>
        <c:lblAlgn val="ctr"/>
        <c:lblOffset val="100"/>
        <c:noMultiLvlLbl val="0"/>
      </c:catAx>
      <c:valAx>
        <c:axId val="232443264"/>
        <c:scaling>
          <c:orientation val="minMax"/>
          <c:max val="318"/>
          <c:min val="27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51606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Gráficos!$M$5:$U$5</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Gráficos!$M$6:$U$6</c:f>
              <c:numCache>
                <c:formatCode>#,##0</c:formatCode>
                <c:ptCount val="9"/>
                <c:pt idx="0">
                  <c:v>64.799965999999998</c:v>
                </c:pt>
                <c:pt idx="1">
                  <c:v>62.449770999999998</c:v>
                </c:pt>
                <c:pt idx="2">
                  <c:v>57.807138999999999</c:v>
                </c:pt>
                <c:pt idx="3">
                  <c:v>47.626399999999997</c:v>
                </c:pt>
                <c:pt idx="4">
                  <c:v>48.094841000000002</c:v>
                </c:pt>
                <c:pt idx="5">
                  <c:v>46.261491999999997</c:v>
                </c:pt>
                <c:pt idx="6">
                  <c:v>43.134070000000001</c:v>
                </c:pt>
                <c:pt idx="7">
                  <c:v>46.222746000000001</c:v>
                </c:pt>
                <c:pt idx="8">
                  <c:v>46.379288000000003</c:v>
                </c:pt>
              </c:numCache>
            </c:numRef>
          </c:val>
          <c:smooth val="0"/>
          <c:extLst>
            <c:ext xmlns:c16="http://schemas.microsoft.com/office/drawing/2014/chart" uri="{C3380CC4-5D6E-409C-BE32-E72D297353CC}">
              <c16:uniqueId val="{00000000-89D1-4F47-BCC0-27A54C901DAA}"/>
            </c:ext>
          </c:extLst>
        </c:ser>
        <c:dLbls>
          <c:dLblPos val="t"/>
          <c:showLegendKey val="0"/>
          <c:showVal val="1"/>
          <c:showCatName val="0"/>
          <c:showSerName val="0"/>
          <c:showPercent val="0"/>
          <c:showBubbleSize val="0"/>
        </c:dLbls>
        <c:smooth val="0"/>
        <c:axId val="253968384"/>
        <c:axId val="232444992"/>
      </c:lineChart>
      <c:catAx>
        <c:axId val="25396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32444992"/>
        <c:crosses val="autoZero"/>
        <c:auto val="1"/>
        <c:lblAlgn val="ctr"/>
        <c:lblOffset val="100"/>
        <c:noMultiLvlLbl val="0"/>
      </c:catAx>
      <c:valAx>
        <c:axId val="232444992"/>
        <c:scaling>
          <c:orientation val="minMax"/>
          <c:min val="4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5396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456036745406818E-2"/>
          <c:y val="6.9444444444444448E-2"/>
          <c:w val="0.88498840769903764"/>
          <c:h val="0.823156167979002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'[Dados TCC.xlsx]Planilha1'!$B$12:$J$12</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'[Dados TCC.xlsx]Planilha1'!$B$21:$J$21</c:f>
              <c:numCache>
                <c:formatCode>0%</c:formatCode>
                <c:ptCount val="9"/>
                <c:pt idx="0">
                  <c:v>8.6676678824286632E-2</c:v>
                </c:pt>
                <c:pt idx="1">
                  <c:v>0.14280774550484093</c:v>
                </c:pt>
                <c:pt idx="2">
                  <c:v>0.1635249042145594</c:v>
                </c:pt>
                <c:pt idx="3">
                  <c:v>0.1459977452085682</c:v>
                </c:pt>
                <c:pt idx="4">
                  <c:v>0.13865030674846626</c:v>
                </c:pt>
                <c:pt idx="5">
                  <c:v>0.2102429415627052</c:v>
                </c:pt>
                <c:pt idx="6">
                  <c:v>0.16541622007859949</c:v>
                </c:pt>
                <c:pt idx="7">
                  <c:v>0.19092755585646581</c:v>
                </c:pt>
                <c:pt idx="8">
                  <c:v>0.13634877384196187</c:v>
                </c:pt>
              </c:numCache>
            </c:numRef>
          </c:val>
          <c:extLst>
            <c:ext xmlns:c16="http://schemas.microsoft.com/office/drawing/2014/chart" uri="{C3380CC4-5D6E-409C-BE32-E72D297353CC}">
              <c16:uniqueId val="{00000000-6200-4344-950F-1D419EC247F7}"/>
            </c:ext>
          </c:extLst>
        </c:ser>
        <c:dLbls>
          <c:dLblPos val="outEnd"/>
          <c:showLegendKey val="0"/>
          <c:showVal val="1"/>
          <c:showCatName val="0"/>
          <c:showSerName val="0"/>
          <c:showPercent val="0"/>
          <c:showBubbleSize val="0"/>
        </c:dLbls>
        <c:gapWidth val="219"/>
        <c:overlap val="-27"/>
        <c:axId val="276122112"/>
        <c:axId val="194839104"/>
      </c:barChart>
      <c:catAx>
        <c:axId val="27612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94839104"/>
        <c:crosses val="autoZero"/>
        <c:auto val="1"/>
        <c:lblAlgn val="ctr"/>
        <c:lblOffset val="100"/>
        <c:noMultiLvlLbl val="0"/>
      </c:catAx>
      <c:valAx>
        <c:axId val="194839104"/>
        <c:scaling>
          <c:orientation val="minMax"/>
          <c:max val="0.23"/>
          <c:min val="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76122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1111111111111111"/>
          <c:w val="0.89019685039370078"/>
          <c:h val="0.78148950131233597"/>
        </c:manualLayout>
      </c:layout>
      <c:lineChart>
        <c:grouping val="standard"/>
        <c:varyColors val="0"/>
        <c:ser>
          <c:idx val="0"/>
          <c:order val="0"/>
          <c:spPr>
            <a:ln w="28575" cap="rnd">
              <a:solidFill>
                <a:schemeClr val="accent1"/>
              </a:solidFill>
              <a:round/>
            </a:ln>
            <a:effectLst/>
          </c:spPr>
          <c:marker>
            <c:symbol val="none"/>
          </c:marker>
          <c:dLbls>
            <c:dLbl>
              <c:idx val="0"/>
              <c:layout>
                <c:manualLayout>
                  <c:x val="-4.2833607907743002E-2"/>
                  <c:y val="-6.71497584541062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1D6-4A4C-BEBB-F609FEDF7D70}"/>
                </c:ext>
              </c:extLst>
            </c:dLbl>
            <c:dLbl>
              <c:idx val="3"/>
              <c:layout>
                <c:manualLayout>
                  <c:x val="-4.2833607907743002E-2"/>
                  <c:y val="-9.1304347826086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D6-4A4C-BEBB-F609FEDF7D7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Gráficos!$M$7:$U$7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Gráficos!$M$8:$U$8</c:f>
              <c:numCache>
                <c:formatCode>#,##0</c:formatCode>
                <c:ptCount val="9"/>
                <c:pt idx="0">
                  <c:v>161.55612300000001</c:v>
                </c:pt>
                <c:pt idx="1">
                  <c:v>173.48284200000001</c:v>
                </c:pt>
                <c:pt idx="2">
                  <c:v>165.27353099999999</c:v>
                </c:pt>
                <c:pt idx="3">
                  <c:v>156.09933699999999</c:v>
                </c:pt>
                <c:pt idx="4">
                  <c:v>167.6842</c:v>
                </c:pt>
                <c:pt idx="5">
                  <c:v>154.20529999999999</c:v>
                </c:pt>
                <c:pt idx="6">
                  <c:v>154.06313</c:v>
                </c:pt>
                <c:pt idx="7">
                  <c:v>163.68621899999999</c:v>
                </c:pt>
                <c:pt idx="8">
                  <c:v>154.18341100000001</c:v>
                </c:pt>
              </c:numCache>
            </c:numRef>
          </c:val>
          <c:smooth val="0"/>
          <c:extLst>
            <c:ext xmlns:c16="http://schemas.microsoft.com/office/drawing/2014/chart" uri="{C3380CC4-5D6E-409C-BE32-E72D297353CC}">
              <c16:uniqueId val="{00000000-F1D6-4A4C-BEBB-F609FEDF7D70}"/>
            </c:ext>
          </c:extLst>
        </c:ser>
        <c:dLbls>
          <c:dLblPos val="t"/>
          <c:showLegendKey val="0"/>
          <c:showVal val="1"/>
          <c:showCatName val="0"/>
          <c:showSerName val="0"/>
          <c:showPercent val="0"/>
          <c:showBubbleSize val="0"/>
        </c:dLbls>
        <c:smooth val="0"/>
        <c:axId val="250447360"/>
        <c:axId val="232446720"/>
      </c:lineChart>
      <c:catAx>
        <c:axId val="25044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32446720"/>
        <c:crosses val="autoZero"/>
        <c:auto val="1"/>
        <c:lblAlgn val="ctr"/>
        <c:lblOffset val="100"/>
        <c:noMultiLvlLbl val="0"/>
      </c:catAx>
      <c:valAx>
        <c:axId val="232446720"/>
        <c:scaling>
          <c:orientation val="minMax"/>
          <c:min val="15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50447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30555555555557"/>
          <c:y val="0.12037037037037036"/>
          <c:w val="0.8624190726159231"/>
          <c:h val="0.77223024205307667"/>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Gráficos!$M$9:$U$9</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Gráficos!$M$10:$U$10</c:f>
              <c:numCache>
                <c:formatCode>0</c:formatCode>
                <c:ptCount val="9"/>
                <c:pt idx="0">
                  <c:v>205.71493000000001</c:v>
                </c:pt>
                <c:pt idx="1">
                  <c:v>185.80812299999999</c:v>
                </c:pt>
                <c:pt idx="2">
                  <c:v>190.07904300000001</c:v>
                </c:pt>
                <c:pt idx="3">
                  <c:v>216.24590900000001</c:v>
                </c:pt>
                <c:pt idx="4">
                  <c:v>219.56662800000001</c:v>
                </c:pt>
                <c:pt idx="5">
                  <c:v>218.349154</c:v>
                </c:pt>
                <c:pt idx="6">
                  <c:v>212.64200500000001</c:v>
                </c:pt>
                <c:pt idx="7">
                  <c:v>209.103579</c:v>
                </c:pt>
                <c:pt idx="8">
                  <c:v>214.49145799999999</c:v>
                </c:pt>
              </c:numCache>
            </c:numRef>
          </c:val>
          <c:smooth val="0"/>
          <c:extLst>
            <c:ext xmlns:c16="http://schemas.microsoft.com/office/drawing/2014/chart" uri="{C3380CC4-5D6E-409C-BE32-E72D297353CC}">
              <c16:uniqueId val="{00000000-8B8C-45FD-8B92-BE5AA5595DB7}"/>
            </c:ext>
          </c:extLst>
        </c:ser>
        <c:dLbls>
          <c:dLblPos val="t"/>
          <c:showLegendKey val="0"/>
          <c:showVal val="1"/>
          <c:showCatName val="0"/>
          <c:showSerName val="0"/>
          <c:showPercent val="0"/>
          <c:showBubbleSize val="0"/>
        </c:dLbls>
        <c:smooth val="0"/>
        <c:axId val="251608576"/>
        <c:axId val="245310016"/>
      </c:lineChart>
      <c:catAx>
        <c:axId val="25160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5310016"/>
        <c:crosses val="autoZero"/>
        <c:auto val="1"/>
        <c:lblAlgn val="ctr"/>
        <c:lblOffset val="100"/>
        <c:noMultiLvlLbl val="0"/>
      </c:catAx>
      <c:valAx>
        <c:axId val="245310016"/>
        <c:scaling>
          <c:orientation val="minMax"/>
          <c:max val="220"/>
          <c:min val="18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51608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7.407407407407407E-2"/>
          <c:w val="0.89019685039370078"/>
          <c:h val="0.81852653834937295"/>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Gráficos!$M$11:$U$11</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Gráficos!$M$12:$U$12</c:f>
              <c:numCache>
                <c:formatCode>0</c:formatCode>
                <c:ptCount val="9"/>
                <c:pt idx="0">
                  <c:v>185.63722000000001</c:v>
                </c:pt>
                <c:pt idx="1">
                  <c:v>221.46526900000001</c:v>
                </c:pt>
                <c:pt idx="2">
                  <c:v>256.67712499999999</c:v>
                </c:pt>
                <c:pt idx="3">
                  <c:v>258.36880000000002</c:v>
                </c:pt>
                <c:pt idx="4">
                  <c:v>235.71393699999999</c:v>
                </c:pt>
                <c:pt idx="5">
                  <c:v>218.651355</c:v>
                </c:pt>
                <c:pt idx="6">
                  <c:v>189.28899000000001</c:v>
                </c:pt>
                <c:pt idx="7">
                  <c:v>187.26894300000001</c:v>
                </c:pt>
                <c:pt idx="8">
                  <c:v>197.28859800000001</c:v>
                </c:pt>
              </c:numCache>
            </c:numRef>
          </c:val>
          <c:smooth val="0"/>
          <c:extLst>
            <c:ext xmlns:c16="http://schemas.microsoft.com/office/drawing/2014/chart" uri="{C3380CC4-5D6E-409C-BE32-E72D297353CC}">
              <c16:uniqueId val="{00000000-03BA-4E43-B191-4FFC2694BD4C}"/>
            </c:ext>
          </c:extLst>
        </c:ser>
        <c:dLbls>
          <c:dLblPos val="t"/>
          <c:showLegendKey val="0"/>
          <c:showVal val="1"/>
          <c:showCatName val="0"/>
          <c:showSerName val="0"/>
          <c:showPercent val="0"/>
          <c:showBubbleSize val="0"/>
        </c:dLbls>
        <c:smooth val="0"/>
        <c:axId val="253968896"/>
        <c:axId val="245311744"/>
      </c:lineChart>
      <c:catAx>
        <c:axId val="253968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5311744"/>
        <c:crosses val="autoZero"/>
        <c:auto val="1"/>
        <c:lblAlgn val="ctr"/>
        <c:lblOffset val="100"/>
        <c:noMultiLvlLbl val="0"/>
      </c:catAx>
      <c:valAx>
        <c:axId val="245311744"/>
        <c:scaling>
          <c:orientation val="minMax"/>
          <c:min val="18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5396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7.407407407407407E-2"/>
          <c:w val="0.89019685039370078"/>
          <c:h val="0.81852653834937295"/>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Gráficos!$M$11:$U$11</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Gráficos!$M$14:$U$14</c:f>
              <c:numCache>
                <c:formatCode>0</c:formatCode>
                <c:ptCount val="9"/>
                <c:pt idx="0">
                  <c:v>5.0458769999999999</c:v>
                </c:pt>
                <c:pt idx="1">
                  <c:v>6.6295000000000002</c:v>
                </c:pt>
                <c:pt idx="2">
                  <c:v>8.8674999999999997</c:v>
                </c:pt>
                <c:pt idx="3">
                  <c:v>10.739000000000001</c:v>
                </c:pt>
                <c:pt idx="4">
                  <c:v>10.7211</c:v>
                </c:pt>
                <c:pt idx="5">
                  <c:v>11.648999999999999</c:v>
                </c:pt>
                <c:pt idx="6">
                  <c:v>11.811999999999999</c:v>
                </c:pt>
                <c:pt idx="7">
                  <c:v>17.418655999999999</c:v>
                </c:pt>
                <c:pt idx="8">
                  <c:v>23.382702999999999</c:v>
                </c:pt>
              </c:numCache>
            </c:numRef>
          </c:val>
          <c:smooth val="0"/>
          <c:extLst>
            <c:ext xmlns:c16="http://schemas.microsoft.com/office/drawing/2014/chart" uri="{C3380CC4-5D6E-409C-BE32-E72D297353CC}">
              <c16:uniqueId val="{00000000-037A-41F1-80F8-7FCDD3ACE171}"/>
            </c:ext>
          </c:extLst>
        </c:ser>
        <c:dLbls>
          <c:dLblPos val="t"/>
          <c:showLegendKey val="0"/>
          <c:showVal val="1"/>
          <c:showCatName val="0"/>
          <c:showSerName val="0"/>
          <c:showPercent val="0"/>
          <c:showBubbleSize val="0"/>
        </c:dLbls>
        <c:smooth val="0"/>
        <c:axId val="283566080"/>
        <c:axId val="245313472"/>
      </c:lineChart>
      <c:catAx>
        <c:axId val="28356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5313472"/>
        <c:crosses val="autoZero"/>
        <c:auto val="1"/>
        <c:lblAlgn val="ctr"/>
        <c:lblOffset val="100"/>
        <c:noMultiLvlLbl val="0"/>
      </c:catAx>
      <c:valAx>
        <c:axId val="2453134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8356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7.407407407407407E-2"/>
          <c:w val="0.89019685039370078"/>
          <c:h val="0.81852653834937295"/>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Gráficos!$M$11:$U$11</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Gráficos!$M$16:$U$16</c:f>
              <c:numCache>
                <c:formatCode>0</c:formatCode>
                <c:ptCount val="9"/>
                <c:pt idx="0">
                  <c:v>27.577300000000001</c:v>
                </c:pt>
                <c:pt idx="1">
                  <c:v>31.716000000000001</c:v>
                </c:pt>
                <c:pt idx="2">
                  <c:v>35.533000000000001</c:v>
                </c:pt>
                <c:pt idx="3">
                  <c:v>41.606999999999999</c:v>
                </c:pt>
                <c:pt idx="4">
                  <c:v>48.1175</c:v>
                </c:pt>
                <c:pt idx="5">
                  <c:v>51.715000000000003</c:v>
                </c:pt>
                <c:pt idx="6">
                  <c:v>50.25018</c:v>
                </c:pt>
                <c:pt idx="7">
                  <c:v>57.322588000000003</c:v>
                </c:pt>
                <c:pt idx="8">
                  <c:v>61.190361000000003</c:v>
                </c:pt>
              </c:numCache>
            </c:numRef>
          </c:val>
          <c:smooth val="0"/>
          <c:extLst>
            <c:ext xmlns:c16="http://schemas.microsoft.com/office/drawing/2014/chart" uri="{C3380CC4-5D6E-409C-BE32-E72D297353CC}">
              <c16:uniqueId val="{00000000-EC13-4936-8178-A6FB31CA045E}"/>
            </c:ext>
          </c:extLst>
        </c:ser>
        <c:dLbls>
          <c:dLblPos val="t"/>
          <c:showLegendKey val="0"/>
          <c:showVal val="1"/>
          <c:showCatName val="0"/>
          <c:showSerName val="0"/>
          <c:showPercent val="0"/>
          <c:showBubbleSize val="0"/>
        </c:dLbls>
        <c:smooth val="0"/>
        <c:axId val="250447872"/>
        <c:axId val="245315200"/>
      </c:lineChart>
      <c:catAx>
        <c:axId val="25044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5315200"/>
        <c:crosses val="autoZero"/>
        <c:auto val="1"/>
        <c:lblAlgn val="ctr"/>
        <c:lblOffset val="100"/>
        <c:noMultiLvlLbl val="0"/>
      </c:catAx>
      <c:valAx>
        <c:axId val="245315200"/>
        <c:scaling>
          <c:orientation val="minMax"/>
          <c:min val="25"/>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50447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0.10185185185185185"/>
          <c:w val="0.90286351706036749"/>
          <c:h val="0.79074876057159504"/>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'Minas Gerais'!$D$38:$L$38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'Minas Gerais'!$D$39:$L$39</c:f>
              <c:numCache>
                <c:formatCode>0</c:formatCode>
                <c:ptCount val="9"/>
                <c:pt idx="0">
                  <c:v>72.601600000000005</c:v>
                </c:pt>
                <c:pt idx="1">
                  <c:v>83.776300000000006</c:v>
                </c:pt>
                <c:pt idx="2">
                  <c:v>81.0518</c:v>
                </c:pt>
                <c:pt idx="3">
                  <c:v>67.9101</c:v>
                </c:pt>
                <c:pt idx="4">
                  <c:v>73.239699999999999</c:v>
                </c:pt>
                <c:pt idx="5">
                  <c:v>72.848286999999999</c:v>
                </c:pt>
                <c:pt idx="6">
                  <c:v>63.716299999999997</c:v>
                </c:pt>
                <c:pt idx="7">
                  <c:v>52.807212999999997</c:v>
                </c:pt>
                <c:pt idx="8">
                  <c:v>46.797206000000003</c:v>
                </c:pt>
              </c:numCache>
            </c:numRef>
          </c:val>
          <c:smooth val="0"/>
          <c:extLst>
            <c:ext xmlns:c16="http://schemas.microsoft.com/office/drawing/2014/chart" uri="{C3380CC4-5D6E-409C-BE32-E72D297353CC}">
              <c16:uniqueId val="{00000000-CAEE-42C0-9074-D8BFB2329720}"/>
            </c:ext>
          </c:extLst>
        </c:ser>
        <c:dLbls>
          <c:dLblPos val="t"/>
          <c:showLegendKey val="0"/>
          <c:showVal val="1"/>
          <c:showCatName val="0"/>
          <c:showSerName val="0"/>
          <c:showPercent val="0"/>
          <c:showBubbleSize val="0"/>
        </c:dLbls>
        <c:smooth val="0"/>
        <c:axId val="250448384"/>
        <c:axId val="245316928"/>
      </c:lineChart>
      <c:catAx>
        <c:axId val="25044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5316928"/>
        <c:crosses val="autoZero"/>
        <c:auto val="1"/>
        <c:lblAlgn val="ctr"/>
        <c:lblOffset val="100"/>
        <c:noMultiLvlLbl val="0"/>
      </c:catAx>
      <c:valAx>
        <c:axId val="245316928"/>
        <c:scaling>
          <c:orientation val="minMax"/>
          <c:max val="85"/>
          <c:min val="45"/>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5044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0.10185185185185185"/>
          <c:w val="0.90286351706036749"/>
          <c:h val="0.79074876057159504"/>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'Minas Gerais'!$D$38:$L$38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'Minas Gerais'!$D$40:$L$40</c:f>
              <c:numCache>
                <c:formatCode>0</c:formatCode>
                <c:ptCount val="9"/>
                <c:pt idx="0">
                  <c:v>91.882000000000005</c:v>
                </c:pt>
                <c:pt idx="1">
                  <c:v>117.81950000000001</c:v>
                </c:pt>
                <c:pt idx="2">
                  <c:v>128.65950000000001</c:v>
                </c:pt>
                <c:pt idx="3">
                  <c:v>142.94499999999999</c:v>
                </c:pt>
                <c:pt idx="4">
                  <c:v>152.4085</c:v>
                </c:pt>
                <c:pt idx="5">
                  <c:v>136.22348600000001</c:v>
                </c:pt>
                <c:pt idx="6">
                  <c:v>109.8777</c:v>
                </c:pt>
                <c:pt idx="7">
                  <c:v>81.587329999999994</c:v>
                </c:pt>
                <c:pt idx="8">
                  <c:v>63.811151000000002</c:v>
                </c:pt>
              </c:numCache>
            </c:numRef>
          </c:val>
          <c:smooth val="0"/>
          <c:extLst>
            <c:ext xmlns:c16="http://schemas.microsoft.com/office/drawing/2014/chart" uri="{C3380CC4-5D6E-409C-BE32-E72D297353CC}">
              <c16:uniqueId val="{00000000-1818-48CB-85B5-3A546881B697}"/>
            </c:ext>
          </c:extLst>
        </c:ser>
        <c:dLbls>
          <c:dLblPos val="t"/>
          <c:showLegendKey val="0"/>
          <c:showVal val="1"/>
          <c:showCatName val="0"/>
          <c:showSerName val="0"/>
          <c:showPercent val="0"/>
          <c:showBubbleSize val="0"/>
        </c:dLbls>
        <c:smooth val="0"/>
        <c:axId val="283566592"/>
        <c:axId val="194651264"/>
      </c:lineChart>
      <c:catAx>
        <c:axId val="283566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94651264"/>
        <c:crosses val="autoZero"/>
        <c:auto val="1"/>
        <c:lblAlgn val="ctr"/>
        <c:lblOffset val="100"/>
        <c:noMultiLvlLbl val="0"/>
      </c:catAx>
      <c:valAx>
        <c:axId val="194651264"/>
        <c:scaling>
          <c:orientation val="minMax"/>
          <c:min val="6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83566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0.10185185185185185"/>
          <c:w val="0.90286351706036749"/>
          <c:h val="0.79074876057159504"/>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'Minas Gerais'!$D$38:$L$38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'Minas Gerais'!$D$41:$L$41</c:f>
              <c:numCache>
                <c:formatCode>0</c:formatCode>
                <c:ptCount val="9"/>
                <c:pt idx="0">
                  <c:v>53.939</c:v>
                </c:pt>
                <c:pt idx="1">
                  <c:v>54.695500000000003</c:v>
                </c:pt>
                <c:pt idx="2">
                  <c:v>57.160708</c:v>
                </c:pt>
                <c:pt idx="3">
                  <c:v>60.037149999999997</c:v>
                </c:pt>
                <c:pt idx="4">
                  <c:v>62.561950000000003</c:v>
                </c:pt>
                <c:pt idx="5">
                  <c:v>58.806600000000003</c:v>
                </c:pt>
                <c:pt idx="6">
                  <c:v>58.713498999999999</c:v>
                </c:pt>
                <c:pt idx="7">
                  <c:v>56.573293999999997</c:v>
                </c:pt>
                <c:pt idx="8">
                  <c:v>53.623280999999999</c:v>
                </c:pt>
              </c:numCache>
            </c:numRef>
          </c:val>
          <c:smooth val="0"/>
          <c:extLst>
            <c:ext xmlns:c16="http://schemas.microsoft.com/office/drawing/2014/chart" uri="{C3380CC4-5D6E-409C-BE32-E72D297353CC}">
              <c16:uniqueId val="{00000000-27C7-4D29-ADC0-FF1CAD9A499D}"/>
            </c:ext>
          </c:extLst>
        </c:ser>
        <c:dLbls>
          <c:dLblPos val="t"/>
          <c:showLegendKey val="0"/>
          <c:showVal val="1"/>
          <c:showCatName val="0"/>
          <c:showSerName val="0"/>
          <c:showPercent val="0"/>
          <c:showBubbleSize val="0"/>
        </c:dLbls>
        <c:smooth val="0"/>
        <c:axId val="194736128"/>
        <c:axId val="194652992"/>
      </c:lineChart>
      <c:catAx>
        <c:axId val="19473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94652992"/>
        <c:crosses val="autoZero"/>
        <c:auto val="1"/>
        <c:lblAlgn val="ctr"/>
        <c:lblOffset val="100"/>
        <c:noMultiLvlLbl val="0"/>
      </c:catAx>
      <c:valAx>
        <c:axId val="194652992"/>
        <c:scaling>
          <c:orientation val="minMax"/>
          <c:max val="64"/>
          <c:min val="52"/>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94736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0.10185185185185185"/>
          <c:w val="0.90286351706036749"/>
          <c:h val="0.79074876057159504"/>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'Minas Gerais'!$D$38:$L$38</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'Minas Gerais'!$D$42:$L$42</c:f>
              <c:numCache>
                <c:formatCode>0</c:formatCode>
                <c:ptCount val="9"/>
                <c:pt idx="0">
                  <c:v>920.55896800000005</c:v>
                </c:pt>
                <c:pt idx="1">
                  <c:v>991.11465699999997</c:v>
                </c:pt>
                <c:pt idx="2">
                  <c:v>1013.256297</c:v>
                </c:pt>
                <c:pt idx="3">
                  <c:v>1036.1145260000001</c:v>
                </c:pt>
                <c:pt idx="4">
                  <c:v>1062.407825</c:v>
                </c:pt>
                <c:pt idx="5">
                  <c:v>1005.322362</c:v>
                </c:pt>
                <c:pt idx="6">
                  <c:v>988.93217600000003</c:v>
                </c:pt>
                <c:pt idx="7">
                  <c:v>963.84354299999995</c:v>
                </c:pt>
                <c:pt idx="8">
                  <c:v>906.14106600000002</c:v>
                </c:pt>
              </c:numCache>
            </c:numRef>
          </c:val>
          <c:smooth val="0"/>
          <c:extLst>
            <c:ext xmlns:c16="http://schemas.microsoft.com/office/drawing/2014/chart" uri="{C3380CC4-5D6E-409C-BE32-E72D297353CC}">
              <c16:uniqueId val="{00000000-DD16-4E04-92FB-1DF3DDBBA394}"/>
            </c:ext>
          </c:extLst>
        </c:ser>
        <c:dLbls>
          <c:dLblPos val="t"/>
          <c:showLegendKey val="0"/>
          <c:showVal val="1"/>
          <c:showCatName val="0"/>
          <c:showSerName val="0"/>
          <c:showPercent val="0"/>
          <c:showBubbleSize val="0"/>
        </c:dLbls>
        <c:smooth val="0"/>
        <c:axId val="244848128"/>
        <c:axId val="194654720"/>
      </c:lineChart>
      <c:catAx>
        <c:axId val="24484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94654720"/>
        <c:crosses val="autoZero"/>
        <c:auto val="1"/>
        <c:lblAlgn val="ctr"/>
        <c:lblOffset val="100"/>
        <c:noMultiLvlLbl val="0"/>
      </c:catAx>
      <c:valAx>
        <c:axId val="194654720"/>
        <c:scaling>
          <c:orientation val="minMax"/>
          <c:min val="9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484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4759405074365"/>
          <c:y val="6.9444444444444448E-2"/>
          <c:w val="0.86919685039370087"/>
          <c:h val="0.8231561679790026"/>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'São Paulo'!$C$167:$K$167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'São Paulo'!$C$168:$K$168</c:f>
              <c:numCache>
                <c:formatCode>0</c:formatCode>
                <c:ptCount val="9"/>
                <c:pt idx="0">
                  <c:v>1774.0884289999999</c:v>
                </c:pt>
                <c:pt idx="1">
                  <c:v>1810.5310059999999</c:v>
                </c:pt>
                <c:pt idx="2">
                  <c:v>1968.5253419999999</c:v>
                </c:pt>
                <c:pt idx="3">
                  <c:v>2101.607497</c:v>
                </c:pt>
                <c:pt idx="4">
                  <c:v>2082.950049</c:v>
                </c:pt>
                <c:pt idx="5">
                  <c:v>2052.2728550000002</c:v>
                </c:pt>
                <c:pt idx="6">
                  <c:v>2063.4455800000001</c:v>
                </c:pt>
                <c:pt idx="7">
                  <c:v>2133.1189869999998</c:v>
                </c:pt>
                <c:pt idx="8">
                  <c:v>2146.06808</c:v>
                </c:pt>
              </c:numCache>
            </c:numRef>
          </c:val>
          <c:smooth val="0"/>
          <c:extLst>
            <c:ext xmlns:c16="http://schemas.microsoft.com/office/drawing/2014/chart" uri="{C3380CC4-5D6E-409C-BE32-E72D297353CC}">
              <c16:uniqueId val="{00000000-4829-493B-99E8-7339F72D1C1A}"/>
            </c:ext>
          </c:extLst>
        </c:ser>
        <c:dLbls>
          <c:dLblPos val="t"/>
          <c:showLegendKey val="0"/>
          <c:showVal val="1"/>
          <c:showCatName val="0"/>
          <c:showSerName val="0"/>
          <c:showPercent val="0"/>
          <c:showBubbleSize val="0"/>
        </c:dLbls>
        <c:smooth val="0"/>
        <c:axId val="244848640"/>
        <c:axId val="194656448"/>
      </c:lineChart>
      <c:catAx>
        <c:axId val="24484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94656448"/>
        <c:crosses val="autoZero"/>
        <c:auto val="1"/>
        <c:lblAlgn val="ctr"/>
        <c:lblOffset val="100"/>
        <c:noMultiLvlLbl val="0"/>
      </c:catAx>
      <c:valAx>
        <c:axId val="194656448"/>
        <c:scaling>
          <c:orientation val="minMax"/>
          <c:min val="17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4848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867549668874169E-2"/>
          <c:y val="7.7326410688334443E-2"/>
          <c:w val="0.87922737306843268"/>
          <c:h val="0.73460090153917712"/>
        </c:manualLayout>
      </c:layout>
      <c:barChart>
        <c:barDir val="col"/>
        <c:grouping val="clustered"/>
        <c:varyColors val="0"/>
        <c:ser>
          <c:idx val="0"/>
          <c:order val="0"/>
          <c:tx>
            <c:strRef>
              <c:f>Planilha1!$A$16</c:f>
              <c:strCache>
                <c:ptCount val="1"/>
                <c:pt idx="0">
                  <c:v>Despesa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Planilha1!$B$12:$J$12</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Planilha1!$B$16:$J$16</c:f>
              <c:numCache>
                <c:formatCode>0.00</c:formatCode>
                <c:ptCount val="9"/>
                <c:pt idx="0">
                  <c:v>44.227107612620003</c:v>
                </c:pt>
                <c:pt idx="1">
                  <c:v>49.896713615023472</c:v>
                </c:pt>
                <c:pt idx="2">
                  <c:v>54.878048780487802</c:v>
                </c:pt>
                <c:pt idx="3">
                  <c:v>59.171247357293872</c:v>
                </c:pt>
                <c:pt idx="4">
                  <c:v>59.385528637895078</c:v>
                </c:pt>
                <c:pt idx="5">
                  <c:v>59.698514741742422</c:v>
                </c:pt>
                <c:pt idx="6">
                  <c:v>58.868803841265361</c:v>
                </c:pt>
                <c:pt idx="7">
                  <c:v>63.726914297572108</c:v>
                </c:pt>
                <c:pt idx="8">
                  <c:v>66.329557713052864</c:v>
                </c:pt>
              </c:numCache>
            </c:numRef>
          </c:val>
          <c:extLst>
            <c:ext xmlns:c16="http://schemas.microsoft.com/office/drawing/2014/chart" uri="{C3380CC4-5D6E-409C-BE32-E72D297353CC}">
              <c16:uniqueId val="{00000000-8946-4312-BBE6-AFCED74277C4}"/>
            </c:ext>
          </c:extLst>
        </c:ser>
        <c:ser>
          <c:idx val="1"/>
          <c:order val="1"/>
          <c:tx>
            <c:strRef>
              <c:f>Planilha1!$A$17</c:f>
              <c:strCache>
                <c:ptCount val="1"/>
                <c:pt idx="0">
                  <c:v>Despesa com pessoal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Planilha1!$B$12:$J$12</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Planilha1!$B$17:$J$17</c:f>
              <c:numCache>
                <c:formatCode>0.00</c:formatCode>
                <c:ptCount val="9"/>
                <c:pt idx="0">
                  <c:v>22.28</c:v>
                </c:pt>
                <c:pt idx="1">
                  <c:v>24.009389671361504</c:v>
                </c:pt>
                <c:pt idx="2">
                  <c:v>25.974719601210609</c:v>
                </c:pt>
                <c:pt idx="3">
                  <c:v>27.416490486257931</c:v>
                </c:pt>
                <c:pt idx="4">
                  <c:v>29.319749719236324</c:v>
                </c:pt>
                <c:pt idx="5">
                  <c:v>32.099312790955445</c:v>
                </c:pt>
                <c:pt idx="6">
                  <c:v>33.130913712752438</c:v>
                </c:pt>
                <c:pt idx="7">
                  <c:v>34.509234280971157</c:v>
                </c:pt>
                <c:pt idx="8">
                  <c:v>34.533441208198489</c:v>
                </c:pt>
              </c:numCache>
            </c:numRef>
          </c:val>
          <c:extLst>
            <c:ext xmlns:c16="http://schemas.microsoft.com/office/drawing/2014/chart" uri="{C3380CC4-5D6E-409C-BE32-E72D297353CC}">
              <c16:uniqueId val="{00000001-8946-4312-BBE6-AFCED74277C4}"/>
            </c:ext>
          </c:extLst>
        </c:ser>
        <c:dLbls>
          <c:dLblPos val="outEnd"/>
          <c:showLegendKey val="0"/>
          <c:showVal val="1"/>
          <c:showCatName val="0"/>
          <c:showSerName val="0"/>
          <c:showPercent val="0"/>
          <c:showBubbleSize val="0"/>
        </c:dLbls>
        <c:gapWidth val="219"/>
        <c:overlap val="-27"/>
        <c:axId val="253970944"/>
        <c:axId val="194840832"/>
      </c:barChart>
      <c:catAx>
        <c:axId val="25397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194840832"/>
        <c:crosses val="autoZero"/>
        <c:auto val="1"/>
        <c:lblAlgn val="ctr"/>
        <c:lblOffset val="100"/>
        <c:noMultiLvlLbl val="0"/>
      </c:catAx>
      <c:valAx>
        <c:axId val="19484083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25397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86111111111111"/>
          <c:y val="4.9282589676290463E-2"/>
          <c:w val="0.84802777777777782"/>
          <c:h val="0.73276793525809281"/>
        </c:manualLayout>
      </c:layout>
      <c:lineChart>
        <c:grouping val="standard"/>
        <c:varyColors val="0"/>
        <c:ser>
          <c:idx val="0"/>
          <c:order val="0"/>
          <c:tx>
            <c:strRef>
              <c:f>Planilha2!$C$18</c:f>
              <c:strCache>
                <c:ptCount val="1"/>
                <c:pt idx="0">
                  <c:v>Minas Gerais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Planilha2!$D$13:$L$13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Planilha2!$D$18:$L$18</c:f>
              <c:numCache>
                <c:formatCode>0.00</c:formatCode>
                <c:ptCount val="9"/>
                <c:pt idx="0">
                  <c:v>0.95728661532638792</c:v>
                </c:pt>
                <c:pt idx="1">
                  <c:v>0.97357284649267994</c:v>
                </c:pt>
                <c:pt idx="2">
                  <c:v>1.2652317605474699</c:v>
                </c:pt>
                <c:pt idx="3">
                  <c:v>1.3908776093117201</c:v>
                </c:pt>
                <c:pt idx="4">
                  <c:v>1.45287119192633</c:v>
                </c:pt>
                <c:pt idx="5">
                  <c:v>1.38233364519651</c:v>
                </c:pt>
                <c:pt idx="6">
                  <c:v>1.3705261764338101</c:v>
                </c:pt>
                <c:pt idx="7">
                  <c:v>1.4170232525449</c:v>
                </c:pt>
                <c:pt idx="8">
                  <c:v>1.54983667589633</c:v>
                </c:pt>
              </c:numCache>
            </c:numRef>
          </c:val>
          <c:smooth val="0"/>
          <c:extLst>
            <c:ext xmlns:c16="http://schemas.microsoft.com/office/drawing/2014/chart" uri="{C3380CC4-5D6E-409C-BE32-E72D297353CC}">
              <c16:uniqueId val="{00000000-7066-467E-928B-4A5DB9787B3C}"/>
            </c:ext>
          </c:extLst>
        </c:ser>
        <c:ser>
          <c:idx val="1"/>
          <c:order val="1"/>
          <c:tx>
            <c:strRef>
              <c:f>Planilha2!$C$19</c:f>
              <c:strCache>
                <c:ptCount val="1"/>
                <c:pt idx="0">
                  <c:v>São Paulo</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Planilha2!$D$13:$L$13</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Planilha2!$D$19:$L$19</c:f>
              <c:numCache>
                <c:formatCode>0.00</c:formatCode>
                <c:ptCount val="9"/>
                <c:pt idx="0">
                  <c:v>1.7128304437800002</c:v>
                </c:pt>
                <c:pt idx="1">
                  <c:v>1.6886225456733299</c:v>
                </c:pt>
                <c:pt idx="2">
                  <c:v>1.7312491333923599</c:v>
                </c:pt>
                <c:pt idx="3">
                  <c:v>1.9042282324984199</c:v>
                </c:pt>
                <c:pt idx="4">
                  <c:v>1.9171197701651501</c:v>
                </c:pt>
                <c:pt idx="5">
                  <c:v>1.91304003054714</c:v>
                </c:pt>
                <c:pt idx="6">
                  <c:v>1.8686333004011</c:v>
                </c:pt>
                <c:pt idx="7">
                  <c:v>1.9224928582579999</c:v>
                </c:pt>
                <c:pt idx="8">
                  <c:v>2.1005254176452501</c:v>
                </c:pt>
              </c:numCache>
            </c:numRef>
          </c:val>
          <c:smooth val="0"/>
          <c:extLst>
            <c:ext xmlns:c16="http://schemas.microsoft.com/office/drawing/2014/chart" uri="{C3380CC4-5D6E-409C-BE32-E72D297353CC}">
              <c16:uniqueId val="{00000001-7066-467E-928B-4A5DB9787B3C}"/>
            </c:ext>
          </c:extLst>
        </c:ser>
        <c:dLbls>
          <c:dLblPos val="t"/>
          <c:showLegendKey val="0"/>
          <c:showVal val="1"/>
          <c:showCatName val="0"/>
          <c:showSerName val="0"/>
          <c:showPercent val="0"/>
          <c:showBubbleSize val="0"/>
        </c:dLbls>
        <c:smooth val="0"/>
        <c:axId val="244849152"/>
        <c:axId val="195043328"/>
      </c:lineChart>
      <c:catAx>
        <c:axId val="24484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95043328"/>
        <c:crosses val="autoZero"/>
        <c:auto val="1"/>
        <c:lblAlgn val="ctr"/>
        <c:lblOffset val="100"/>
        <c:noMultiLvlLbl val="0"/>
      </c:catAx>
      <c:valAx>
        <c:axId val="195043328"/>
        <c:scaling>
          <c:orientation val="minMax"/>
          <c:max val="2.2000000000000002"/>
          <c:min val="0.9"/>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4484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lgn="ctr">
            <a:defRPr lang="en-US"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122622068935597E-2"/>
          <c:y val="0.10831213406016556"/>
          <c:w val="0.8806349536886402"/>
          <c:h val="0.78145972138098119"/>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Planilha2!$B$20:$J$20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Planilha2!$B$21:$J$21</c:f>
              <c:numCache>
                <c:formatCode>0.00</c:formatCode>
                <c:ptCount val="9"/>
                <c:pt idx="0">
                  <c:v>21.599330757320001</c:v>
                </c:pt>
                <c:pt idx="1">
                  <c:v>22.79444586314554</c:v>
                </c:pt>
                <c:pt idx="2">
                  <c:v>23.752882368533026</c:v>
                </c:pt>
                <c:pt idx="3">
                  <c:v>24.85357198033827</c:v>
                </c:pt>
                <c:pt idx="4">
                  <c:v>25.36602644734478</c:v>
                </c:pt>
                <c:pt idx="5">
                  <c:v>23.472658303798124</c:v>
                </c:pt>
                <c:pt idx="6">
                  <c:v>25.109399988384407</c:v>
                </c:pt>
                <c:pt idx="7">
                  <c:v>26.245001436957882</c:v>
                </c:pt>
                <c:pt idx="8">
                  <c:v>27.30580589772115</c:v>
                </c:pt>
              </c:numCache>
            </c:numRef>
          </c:val>
          <c:smooth val="0"/>
          <c:extLst>
            <c:ext xmlns:c16="http://schemas.microsoft.com/office/drawing/2014/chart" uri="{C3380CC4-5D6E-409C-BE32-E72D297353CC}">
              <c16:uniqueId val="{00000000-922C-47FD-B94A-9A042D8D38A2}"/>
            </c:ext>
          </c:extLst>
        </c:ser>
        <c:dLbls>
          <c:dLblPos val="t"/>
          <c:showLegendKey val="0"/>
          <c:showVal val="1"/>
          <c:showCatName val="0"/>
          <c:showSerName val="0"/>
          <c:showPercent val="0"/>
          <c:showBubbleSize val="0"/>
        </c:dLbls>
        <c:smooth val="0"/>
        <c:axId val="253971456"/>
        <c:axId val="194842560"/>
      </c:lineChart>
      <c:catAx>
        <c:axId val="25397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94842560"/>
        <c:crosses val="autoZero"/>
        <c:auto val="1"/>
        <c:lblAlgn val="ctr"/>
        <c:lblOffset val="100"/>
        <c:noMultiLvlLbl val="0"/>
      </c:catAx>
      <c:valAx>
        <c:axId val="194842560"/>
        <c:scaling>
          <c:orientation val="minMax"/>
          <c:max val="28"/>
          <c:min val="21"/>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53971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456036745406818E-2"/>
          <c:y val="0.15277777777777779"/>
          <c:w val="0.88498840769903764"/>
          <c:h val="0.73982283464566923"/>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Planilha2!$M$4:$U$4</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Planilha2!$M$7:$U$7</c:f>
              <c:numCache>
                <c:formatCode>0%</c:formatCode>
                <c:ptCount val="9"/>
                <c:pt idx="0">
                  <c:v>0.51807456750009229</c:v>
                </c:pt>
                <c:pt idx="1">
                  <c:v>0.50950937179805078</c:v>
                </c:pt>
                <c:pt idx="2">
                  <c:v>0.51995602478351888</c:v>
                </c:pt>
                <c:pt idx="3">
                  <c:v>0.49426714774869956</c:v>
                </c:pt>
                <c:pt idx="4">
                  <c:v>0.5030806983885755</c:v>
                </c:pt>
                <c:pt idx="5">
                  <c:v>0.53555930726353496</c:v>
                </c:pt>
                <c:pt idx="6">
                  <c:v>0.55063025281379618</c:v>
                </c:pt>
                <c:pt idx="7">
                  <c:v>0.55952449055631537</c:v>
                </c:pt>
                <c:pt idx="8">
                  <c:v>0.54915392167799737</c:v>
                </c:pt>
              </c:numCache>
            </c:numRef>
          </c:val>
          <c:extLst>
            <c:ext xmlns:c16="http://schemas.microsoft.com/office/drawing/2014/chart" uri="{C3380CC4-5D6E-409C-BE32-E72D297353CC}">
              <c16:uniqueId val="{00000000-6C6D-4796-9E15-2D7EE6A963A1}"/>
            </c:ext>
          </c:extLst>
        </c:ser>
        <c:dLbls>
          <c:dLblPos val="outEnd"/>
          <c:showLegendKey val="0"/>
          <c:showVal val="1"/>
          <c:showCatName val="0"/>
          <c:showSerName val="0"/>
          <c:showPercent val="0"/>
          <c:showBubbleSize val="0"/>
        </c:dLbls>
        <c:gapWidth val="219"/>
        <c:overlap val="-27"/>
        <c:axId val="276123136"/>
        <c:axId val="194844288"/>
      </c:barChart>
      <c:catAx>
        <c:axId val="27612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94844288"/>
        <c:crosses val="autoZero"/>
        <c:auto val="1"/>
        <c:lblAlgn val="ctr"/>
        <c:lblOffset val="100"/>
        <c:noMultiLvlLbl val="0"/>
      </c:catAx>
      <c:valAx>
        <c:axId val="194844288"/>
        <c:scaling>
          <c:orientation val="minMax"/>
          <c:max val="0.60000000000000009"/>
          <c:min val="0.4"/>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76123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417741693883346"/>
          <c:y val="6.6230314960629921E-2"/>
          <c:w val="0.33460460403262365"/>
          <c:h val="0.80049504228638091"/>
        </c:manualLayout>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B960-4F37-AE2D-DD8355F5E068}"/>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B960-4F37-AE2D-DD8355F5E068}"/>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B960-4F37-AE2D-DD8355F5E068}"/>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B960-4F37-AE2D-DD8355F5E068}"/>
              </c:ext>
            </c:extLst>
          </c:dPt>
          <c:dPt>
            <c:idx val="4"/>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9-B960-4F37-AE2D-DD8355F5E068}"/>
              </c:ext>
            </c:extLst>
          </c:dPt>
          <c:dLbls>
            <c:dLbl>
              <c:idx val="0"/>
              <c:layout>
                <c:manualLayout>
                  <c:x val="-5.0871879188021565E-2"/>
                  <c:y val="0.15220873432487605"/>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960-4F37-AE2D-DD8355F5E068}"/>
                </c:ext>
              </c:extLst>
            </c:dLbl>
            <c:dLbl>
              <c:idx val="1"/>
              <c:layout>
                <c:manualLayout>
                  <c:x val="-6.2724554205760633E-2"/>
                  <c:y val="-3.825094779819197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960-4F37-AE2D-DD8355F5E068}"/>
                </c:ext>
              </c:extLst>
            </c:dLbl>
            <c:dLbl>
              <c:idx val="2"/>
              <c:layout>
                <c:manualLayout>
                  <c:x val="-6.5653520450727476E-2"/>
                  <c:y val="-0.1493580489938758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960-4F37-AE2D-DD8355F5E068}"/>
                </c:ext>
              </c:extLst>
            </c:dLbl>
            <c:dLbl>
              <c:idx val="3"/>
              <c:layout>
                <c:manualLayout>
                  <c:x val="5.1155579427752951E-3"/>
                  <c:y val="-0.1416065179352581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960-4F37-AE2D-DD8355F5E068}"/>
                </c:ext>
              </c:extLst>
            </c:dLbl>
            <c:dLbl>
              <c:idx val="4"/>
              <c:layout>
                <c:manualLayout>
                  <c:x val="8.7804684791759444E-2"/>
                  <c:y val="2.361402741324001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960-4F37-AE2D-DD8355F5E06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'[Dados TCC.xlsx]Tabelas'!$A$16:$A$20</c:f>
              <c:strCache>
                <c:ptCount val="5"/>
                <c:pt idx="0">
                  <c:v>Combustíveis</c:v>
                </c:pt>
                <c:pt idx="1">
                  <c:v>Bebidas</c:v>
                </c:pt>
                <c:pt idx="2">
                  <c:v>Energia Elétrica</c:v>
                </c:pt>
                <c:pt idx="3">
                  <c:v>Telecomunicações</c:v>
                </c:pt>
                <c:pt idx="4">
                  <c:v>Outros</c:v>
                </c:pt>
              </c:strCache>
            </c:strRef>
          </c:cat>
          <c:val>
            <c:numRef>
              <c:f>'[Dados TCC.xlsx]Tabelas'!$J$16:$J$20</c:f>
              <c:numCache>
                <c:formatCode>#,##0.00</c:formatCode>
                <c:ptCount val="5"/>
                <c:pt idx="0">
                  <c:v>7338463.2181094941</c:v>
                </c:pt>
                <c:pt idx="1">
                  <c:v>1477442.5426712513</c:v>
                </c:pt>
                <c:pt idx="2">
                  <c:v>4225697.0293015102</c:v>
                </c:pt>
                <c:pt idx="3">
                  <c:v>1953487.6032295038</c:v>
                </c:pt>
                <c:pt idx="4">
                  <c:v>12310715.504409386</c:v>
                </c:pt>
              </c:numCache>
            </c:numRef>
          </c:val>
          <c:extLst>
            <c:ext xmlns:c16="http://schemas.microsoft.com/office/drawing/2014/chart" uri="{C3380CC4-5D6E-409C-BE32-E72D297353CC}">
              <c16:uniqueId val="{0000000A-B960-4F37-AE2D-DD8355F5E06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6.2598476879901943E-2"/>
          <c:y val="0.87702282006415844"/>
          <c:w val="0.89580042503985369"/>
          <c:h val="8.594014289880432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483814523184598E-2"/>
          <c:y val="0.11574074074074074"/>
          <c:w val="0.88396062992125979"/>
          <c:h val="0.67445572531394393"/>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Planilha2!$B$20:$J$20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Planilha2!$B$9:$J$9</c:f>
              <c:numCache>
                <c:formatCode>0.00</c:formatCode>
                <c:ptCount val="9"/>
                <c:pt idx="0">
                  <c:v>2.7405748340099998</c:v>
                </c:pt>
                <c:pt idx="1">
                  <c:v>2.7223471334835683</c:v>
                </c:pt>
                <c:pt idx="2">
                  <c:v>2.8038331801584477</c:v>
                </c:pt>
                <c:pt idx="3">
                  <c:v>2.3999631859534887</c:v>
                </c:pt>
                <c:pt idx="4">
                  <c:v>2.5771477377988132</c:v>
                </c:pt>
                <c:pt idx="5">
                  <c:v>3.208392117800932</c:v>
                </c:pt>
                <c:pt idx="6">
                  <c:v>3.9167448954879251</c:v>
                </c:pt>
                <c:pt idx="7">
                  <c:v>4.1428962691913949</c:v>
                </c:pt>
                <c:pt idx="8">
                  <c:v>4.2256970293015099</c:v>
                </c:pt>
              </c:numCache>
            </c:numRef>
          </c:val>
          <c:smooth val="0"/>
          <c:extLst>
            <c:ext xmlns:c16="http://schemas.microsoft.com/office/drawing/2014/chart" uri="{C3380CC4-5D6E-409C-BE32-E72D297353CC}">
              <c16:uniqueId val="{00000000-C64E-420E-9639-21618F06EFE6}"/>
            </c:ext>
          </c:extLst>
        </c:ser>
        <c:dLbls>
          <c:dLblPos val="t"/>
          <c:showLegendKey val="0"/>
          <c:showVal val="1"/>
          <c:showCatName val="0"/>
          <c:showSerName val="0"/>
          <c:showPercent val="0"/>
          <c:showBubbleSize val="0"/>
        </c:dLbls>
        <c:smooth val="0"/>
        <c:axId val="283567616"/>
        <c:axId val="219054656"/>
      </c:lineChart>
      <c:catAx>
        <c:axId val="28356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19054656"/>
        <c:crosses val="autoZero"/>
        <c:auto val="1"/>
        <c:lblAlgn val="ctr"/>
        <c:lblOffset val="100"/>
        <c:noMultiLvlLbl val="0"/>
      </c:catAx>
      <c:valAx>
        <c:axId val="219054656"/>
        <c:scaling>
          <c:orientation val="minMax"/>
          <c:min val="2"/>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83567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99103237095364"/>
          <c:y val="0.10735374869146769"/>
          <c:w val="0.86918372703412061"/>
          <c:h val="0.7930294112077990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Planilha2!$B$20:$J$20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Planilha2!$B$10:$J$10</c:f>
              <c:numCache>
                <c:formatCode>0%</c:formatCode>
                <c:ptCount val="9"/>
                <c:pt idx="0">
                  <c:v>0.12688239579280577</c:v>
                </c:pt>
                <c:pt idx="1">
                  <c:v>0.1194302835799622</c:v>
                </c:pt>
                <c:pt idx="2">
                  <c:v>0.11804180800696704</c:v>
                </c:pt>
                <c:pt idx="3">
                  <c:v>9.6564115124059685E-2</c:v>
                </c:pt>
                <c:pt idx="4">
                  <c:v>0.10159840143463145</c:v>
                </c:pt>
                <c:pt idx="5">
                  <c:v>0.13668635551524985</c:v>
                </c:pt>
                <c:pt idx="6">
                  <c:v>0.15598719592263491</c:v>
                </c:pt>
                <c:pt idx="7">
                  <c:v>0.15785467869540371</c:v>
                </c:pt>
                <c:pt idx="8">
                  <c:v>0.15475452528775838</c:v>
                </c:pt>
              </c:numCache>
            </c:numRef>
          </c:val>
          <c:extLst>
            <c:ext xmlns:c16="http://schemas.microsoft.com/office/drawing/2014/chart" uri="{C3380CC4-5D6E-409C-BE32-E72D297353CC}">
              <c16:uniqueId val="{00000000-69E7-48C7-8834-8E481DF168CC}"/>
            </c:ext>
          </c:extLst>
        </c:ser>
        <c:dLbls>
          <c:showLegendKey val="0"/>
          <c:showVal val="0"/>
          <c:showCatName val="0"/>
          <c:showSerName val="0"/>
          <c:showPercent val="0"/>
          <c:showBubbleSize val="0"/>
        </c:dLbls>
        <c:gapWidth val="219"/>
        <c:overlap val="-27"/>
        <c:axId val="253971968"/>
        <c:axId val="219056384"/>
      </c:barChart>
      <c:catAx>
        <c:axId val="25397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19056384"/>
        <c:crosses val="autoZero"/>
        <c:auto val="1"/>
        <c:lblAlgn val="ctr"/>
        <c:lblOffset val="100"/>
        <c:noMultiLvlLbl val="0"/>
      </c:catAx>
      <c:valAx>
        <c:axId val="21905638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53971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483814523184598E-2"/>
          <c:y val="0.12037037037037036"/>
          <c:w val="0.88396062992125979"/>
          <c:h val="0.77223024205307667"/>
        </c:manualLayout>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Planilha2!$B$20:$J$20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Planilha2!$B$17:$J$17</c:f>
              <c:numCache>
                <c:formatCode>0.00</c:formatCode>
                <c:ptCount val="9"/>
                <c:pt idx="0">
                  <c:v>2.44992788306</c:v>
                </c:pt>
                <c:pt idx="1">
                  <c:v>2.5176344816056337</c:v>
                </c:pt>
                <c:pt idx="2">
                  <c:v>2.4688791147676694</c:v>
                </c:pt>
                <c:pt idx="3">
                  <c:v>2.5115596009133196</c:v>
                </c:pt>
                <c:pt idx="4">
                  <c:v>2.2955321622573397</c:v>
                </c:pt>
                <c:pt idx="5">
                  <c:v>2.0817010447055351</c:v>
                </c:pt>
                <c:pt idx="6">
                  <c:v>2.1255659544485241</c:v>
                </c:pt>
                <c:pt idx="7">
                  <c:v>2.1012864032648539</c:v>
                </c:pt>
                <c:pt idx="8">
                  <c:v>1.9534876032295039</c:v>
                </c:pt>
              </c:numCache>
            </c:numRef>
          </c:val>
          <c:smooth val="0"/>
          <c:extLst>
            <c:ext xmlns:c16="http://schemas.microsoft.com/office/drawing/2014/chart" uri="{C3380CC4-5D6E-409C-BE32-E72D297353CC}">
              <c16:uniqueId val="{00000000-F013-4D65-8370-893E2175F5CC}"/>
            </c:ext>
          </c:extLst>
        </c:ser>
        <c:dLbls>
          <c:dLblPos val="t"/>
          <c:showLegendKey val="0"/>
          <c:showVal val="1"/>
          <c:showCatName val="0"/>
          <c:showSerName val="0"/>
          <c:showPercent val="0"/>
          <c:showBubbleSize val="0"/>
        </c:dLbls>
        <c:smooth val="0"/>
        <c:axId val="274690560"/>
        <c:axId val="219058112"/>
      </c:lineChart>
      <c:catAx>
        <c:axId val="27469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19058112"/>
        <c:crosses val="autoZero"/>
        <c:auto val="1"/>
        <c:lblAlgn val="ctr"/>
        <c:lblOffset val="100"/>
        <c:noMultiLvlLbl val="0"/>
      </c:catAx>
      <c:valAx>
        <c:axId val="219058112"/>
        <c:scaling>
          <c:orientation val="minMax"/>
          <c:min val="1.9"/>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274690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73474-B523-4F98-858F-42114319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91</Pages>
  <Words>23919</Words>
  <Characters>129164</Characters>
  <Application>Microsoft Office Word</Application>
  <DocSecurity>0</DocSecurity>
  <Lines>1076</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Ronaldo Naves Botelho</dc:creator>
  <cp:lastModifiedBy>José Ronaldo Naves Botelho</cp:lastModifiedBy>
  <cp:revision>14</cp:revision>
  <cp:lastPrinted>2020-12-14T19:51:00Z</cp:lastPrinted>
  <dcterms:created xsi:type="dcterms:W3CDTF">2020-12-10T19:00:00Z</dcterms:created>
  <dcterms:modified xsi:type="dcterms:W3CDTF">2020-12-14T19:52:00Z</dcterms:modified>
</cp:coreProperties>
</file>