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8DF6B" w14:textId="77777777" w:rsidR="00745EFE" w:rsidRPr="00AD6C54" w:rsidRDefault="00745EFE" w:rsidP="008A2084">
      <w:pPr>
        <w:pStyle w:val="SemEspaamento"/>
      </w:pPr>
      <w:r w:rsidRPr="00AD6C54">
        <w:t>UNIVERSIDADE FEDERAL DE UBERLÂNDIA – UFU</w:t>
      </w:r>
    </w:p>
    <w:p w14:paraId="5C7FC5F0" w14:textId="77777777" w:rsidR="00745EFE" w:rsidRPr="00AD6C54" w:rsidRDefault="00745EFE" w:rsidP="008A2084">
      <w:pPr>
        <w:pStyle w:val="SemEspaamento"/>
      </w:pPr>
      <w:r w:rsidRPr="00AD6C54">
        <w:t>FACULDADE DE CIÊNCIAS CONTÁBEIS – FACIC</w:t>
      </w:r>
    </w:p>
    <w:p w14:paraId="2CD97FA0" w14:textId="77777777" w:rsidR="00745EFE" w:rsidRPr="00AD6C54" w:rsidRDefault="00745EFE" w:rsidP="008A2084">
      <w:pPr>
        <w:pStyle w:val="SemEspaamento"/>
      </w:pPr>
      <w:r w:rsidRPr="00AD6C54">
        <w:t>GRADUAÇÃO EM CIÊNCIAS CONTÁBEIS</w:t>
      </w:r>
    </w:p>
    <w:p w14:paraId="2F01E522" w14:textId="77777777" w:rsidR="00745EFE" w:rsidRPr="00AD6C54" w:rsidRDefault="00745EFE" w:rsidP="008A2084">
      <w:pPr>
        <w:pStyle w:val="SemEspaamento"/>
      </w:pPr>
    </w:p>
    <w:p w14:paraId="76C0122E" w14:textId="77777777" w:rsidR="00745EFE" w:rsidRPr="00AD6C54" w:rsidRDefault="00745EFE" w:rsidP="008A2084">
      <w:pPr>
        <w:pStyle w:val="SemEspaamento"/>
      </w:pPr>
    </w:p>
    <w:p w14:paraId="41865DD4" w14:textId="77777777" w:rsidR="00745EFE" w:rsidRPr="00AD6C54" w:rsidRDefault="00745EFE" w:rsidP="008A2084">
      <w:pPr>
        <w:pStyle w:val="SemEspaamento"/>
      </w:pPr>
    </w:p>
    <w:p w14:paraId="2426F567" w14:textId="77777777" w:rsidR="00745EFE" w:rsidRPr="00AD6C54" w:rsidRDefault="00745EFE" w:rsidP="00745EFE">
      <w:pPr>
        <w:pStyle w:val="SemEspaamento"/>
      </w:pPr>
    </w:p>
    <w:p w14:paraId="05A131D6" w14:textId="77777777" w:rsidR="00745EFE" w:rsidRPr="00AD6C54" w:rsidRDefault="00745EFE" w:rsidP="00745EFE">
      <w:pPr>
        <w:pStyle w:val="SemEspaamento"/>
      </w:pPr>
    </w:p>
    <w:p w14:paraId="140181D0" w14:textId="77777777" w:rsidR="00745EFE" w:rsidRPr="00AD6C54" w:rsidRDefault="00745EFE" w:rsidP="00745EFE">
      <w:pPr>
        <w:pStyle w:val="SemEspaamento"/>
      </w:pPr>
    </w:p>
    <w:p w14:paraId="18DDBC57" w14:textId="77777777" w:rsidR="00745EFE" w:rsidRPr="00AD6C54" w:rsidRDefault="00745EFE" w:rsidP="00745EFE">
      <w:pPr>
        <w:pStyle w:val="SemEspaamento"/>
      </w:pPr>
    </w:p>
    <w:p w14:paraId="0D8F1CCA" w14:textId="77777777" w:rsidR="00745EFE" w:rsidRPr="00AD6C54" w:rsidRDefault="00745EFE" w:rsidP="00745EFE">
      <w:pPr>
        <w:pStyle w:val="SemEspaamento"/>
      </w:pPr>
    </w:p>
    <w:p w14:paraId="46503A4A" w14:textId="77777777" w:rsidR="00745EFE" w:rsidRPr="00AD6C54" w:rsidRDefault="00745EFE" w:rsidP="00745EFE">
      <w:pPr>
        <w:pStyle w:val="SemEspaamento"/>
      </w:pPr>
    </w:p>
    <w:p w14:paraId="0ED8F89C" w14:textId="77777777" w:rsidR="00745EFE" w:rsidRPr="00AD6C54" w:rsidRDefault="00745EFE" w:rsidP="00745EFE">
      <w:pPr>
        <w:pStyle w:val="SemEspaamento"/>
      </w:pPr>
    </w:p>
    <w:p w14:paraId="34C63657" w14:textId="77777777" w:rsidR="00745EFE" w:rsidRPr="00AD6C54" w:rsidRDefault="00745EFE" w:rsidP="00745EFE">
      <w:pPr>
        <w:pStyle w:val="SemEspaamento"/>
      </w:pPr>
    </w:p>
    <w:p w14:paraId="331F6DE4" w14:textId="77777777" w:rsidR="00745EFE" w:rsidRPr="00AD6C54" w:rsidRDefault="00745EFE" w:rsidP="00745EFE">
      <w:pPr>
        <w:pStyle w:val="SemEspaamento"/>
      </w:pPr>
    </w:p>
    <w:p w14:paraId="57C785D7" w14:textId="77777777" w:rsidR="00745EFE" w:rsidRPr="00AD6C54" w:rsidRDefault="00745EFE" w:rsidP="00745EFE">
      <w:pPr>
        <w:pStyle w:val="SemEspaamento"/>
      </w:pPr>
    </w:p>
    <w:p w14:paraId="1C6663EC" w14:textId="27E630D2" w:rsidR="00B979C7" w:rsidRPr="00AD6C54" w:rsidRDefault="00510434" w:rsidP="00B979C7">
      <w:pPr>
        <w:ind w:firstLine="0"/>
        <w:jc w:val="center"/>
        <w:rPr>
          <w:b/>
        </w:rPr>
      </w:pPr>
      <w:r w:rsidRPr="00AD6C54">
        <w:rPr>
          <w:b/>
        </w:rPr>
        <w:t xml:space="preserve">GOVERNANÇA NO SETOR PÚBLICO: CONFRONTO ENTRE UM INDICADOR DE GOVERNANÇA E OS RESULTADOS </w:t>
      </w:r>
      <w:r w:rsidR="00C21C80">
        <w:rPr>
          <w:b/>
        </w:rPr>
        <w:t>OBTIDOS</w:t>
      </w:r>
      <w:r w:rsidRPr="00AD6C54">
        <w:rPr>
          <w:b/>
        </w:rPr>
        <w:t xml:space="preserve"> </w:t>
      </w:r>
      <w:r w:rsidR="009E7068">
        <w:rPr>
          <w:b/>
        </w:rPr>
        <w:t>PELAS</w:t>
      </w:r>
      <w:r w:rsidRPr="00AD6C54">
        <w:rPr>
          <w:b/>
        </w:rPr>
        <w:t xml:space="preserve"> INSTITUIÇÕES </w:t>
      </w:r>
      <w:r w:rsidR="00DF1D78">
        <w:rPr>
          <w:b/>
        </w:rPr>
        <w:t xml:space="preserve">FEDERAIS DE ENSINO </w:t>
      </w:r>
      <w:r w:rsidRPr="00AD6C54">
        <w:rPr>
          <w:b/>
        </w:rPr>
        <w:t>SUPERIOR BRASILEIRAS</w:t>
      </w:r>
    </w:p>
    <w:p w14:paraId="1F140DE8" w14:textId="77777777" w:rsidR="00745EFE" w:rsidRPr="00AD6C54" w:rsidRDefault="00745EFE" w:rsidP="00745EFE">
      <w:pPr>
        <w:pStyle w:val="SemEspaamento"/>
      </w:pPr>
    </w:p>
    <w:p w14:paraId="5F664775" w14:textId="77777777" w:rsidR="00745EFE" w:rsidRPr="00AD6C54" w:rsidRDefault="00745EFE" w:rsidP="00745EFE">
      <w:pPr>
        <w:pStyle w:val="SemEspaamento"/>
      </w:pPr>
    </w:p>
    <w:p w14:paraId="71D04CF6" w14:textId="77777777" w:rsidR="00745EFE" w:rsidRPr="00AD6C54" w:rsidRDefault="00745EFE" w:rsidP="00745EFE">
      <w:pPr>
        <w:pStyle w:val="SemEspaamento"/>
      </w:pPr>
    </w:p>
    <w:p w14:paraId="5F256410" w14:textId="77777777" w:rsidR="00745EFE" w:rsidRPr="00AD6C54" w:rsidRDefault="00745EFE" w:rsidP="00745EFE">
      <w:pPr>
        <w:pStyle w:val="SemEspaamento"/>
      </w:pPr>
    </w:p>
    <w:p w14:paraId="387CACD4" w14:textId="77777777" w:rsidR="00745EFE" w:rsidRPr="00AD6C54" w:rsidRDefault="00745EFE" w:rsidP="00745EFE">
      <w:pPr>
        <w:pStyle w:val="SemEspaamento"/>
      </w:pPr>
    </w:p>
    <w:p w14:paraId="21FF13E3" w14:textId="77777777" w:rsidR="00745EFE" w:rsidRPr="00AD6C54" w:rsidRDefault="00745EFE" w:rsidP="00745EFE">
      <w:pPr>
        <w:pStyle w:val="SemEspaamento"/>
      </w:pPr>
    </w:p>
    <w:p w14:paraId="51AAC142" w14:textId="77777777" w:rsidR="00745EFE" w:rsidRPr="00AD6C54" w:rsidRDefault="00745EFE" w:rsidP="00745EFE">
      <w:pPr>
        <w:pStyle w:val="SemEspaamento"/>
      </w:pPr>
    </w:p>
    <w:p w14:paraId="1EC4D9FE" w14:textId="77777777" w:rsidR="00745EFE" w:rsidRPr="00AD6C54" w:rsidRDefault="00745EFE" w:rsidP="00745EFE">
      <w:pPr>
        <w:pStyle w:val="SemEspaamento"/>
      </w:pPr>
    </w:p>
    <w:p w14:paraId="00EBB706" w14:textId="77777777" w:rsidR="00745EFE" w:rsidRPr="00AD6C54" w:rsidRDefault="00745EFE" w:rsidP="00745EFE">
      <w:pPr>
        <w:pStyle w:val="SemEspaamento"/>
      </w:pPr>
    </w:p>
    <w:p w14:paraId="6DD91B2C" w14:textId="77777777" w:rsidR="00745EFE" w:rsidRPr="00AD6C54" w:rsidRDefault="00745EFE" w:rsidP="00745EFE">
      <w:pPr>
        <w:pStyle w:val="SemEspaamento"/>
      </w:pPr>
    </w:p>
    <w:p w14:paraId="3CF45774" w14:textId="77777777" w:rsidR="00745EFE" w:rsidRPr="00AD6C54" w:rsidRDefault="00745EFE" w:rsidP="00745EFE">
      <w:pPr>
        <w:pStyle w:val="SemEspaamento"/>
      </w:pPr>
    </w:p>
    <w:p w14:paraId="04CBD4E3" w14:textId="77777777" w:rsidR="00745EFE" w:rsidRPr="00AD6C54" w:rsidRDefault="00745EFE" w:rsidP="00745EFE">
      <w:pPr>
        <w:pStyle w:val="SemEspaamento"/>
      </w:pPr>
      <w:r w:rsidRPr="00AD6C54">
        <w:t>UBERLÂNDIA</w:t>
      </w:r>
    </w:p>
    <w:p w14:paraId="1AB2B07B" w14:textId="4898C44A" w:rsidR="00FE5B25" w:rsidRPr="00AD6C54" w:rsidRDefault="000B47C9" w:rsidP="00745EFE">
      <w:pPr>
        <w:pStyle w:val="SemEspaamento"/>
      </w:pPr>
      <w:r w:rsidRPr="00AD6C54">
        <w:t xml:space="preserve">NOVEMBRO DE </w:t>
      </w:r>
      <w:r w:rsidR="00510434" w:rsidRPr="00AD6C54">
        <w:t>2019</w:t>
      </w:r>
    </w:p>
    <w:p w14:paraId="46A4C0D3" w14:textId="76E0A195" w:rsidR="00745EFE" w:rsidRPr="00AD6C54" w:rsidRDefault="00745EFE" w:rsidP="70C777D9">
      <w:pPr>
        <w:spacing w:after="168"/>
        <w:ind w:firstLine="0"/>
        <w:jc w:val="center"/>
        <w:rPr>
          <w:b/>
          <w:bCs/>
          <w:lang w:eastAsia="pt-BR"/>
        </w:rPr>
      </w:pPr>
      <w:r>
        <w:br w:type="page"/>
      </w:r>
    </w:p>
    <w:p w14:paraId="39864049" w14:textId="77777777" w:rsidR="00745EFE" w:rsidRPr="00AD6C54" w:rsidRDefault="00745EFE" w:rsidP="00745EFE">
      <w:pPr>
        <w:ind w:firstLine="0"/>
        <w:jc w:val="left"/>
        <w:rPr>
          <w:rFonts w:eastAsia="Times New Roman" w:cs="Times New Roman"/>
          <w:b/>
          <w:szCs w:val="24"/>
          <w:lang w:eastAsia="pt-BR"/>
        </w:rPr>
      </w:pPr>
    </w:p>
    <w:p w14:paraId="6E5CFDFE" w14:textId="77777777" w:rsidR="00745EFE" w:rsidRPr="00AD6C54" w:rsidRDefault="00745EFE" w:rsidP="00745EFE">
      <w:pPr>
        <w:ind w:firstLine="0"/>
        <w:jc w:val="left"/>
        <w:rPr>
          <w:rFonts w:eastAsia="Times New Roman" w:cs="Times New Roman"/>
          <w:b/>
          <w:szCs w:val="24"/>
          <w:lang w:eastAsia="pt-BR"/>
        </w:rPr>
      </w:pPr>
    </w:p>
    <w:p w14:paraId="0088F270" w14:textId="77777777" w:rsidR="00745EFE" w:rsidRPr="00AD6C54" w:rsidRDefault="00745EFE" w:rsidP="00745EFE">
      <w:pPr>
        <w:ind w:firstLine="0"/>
        <w:jc w:val="left"/>
        <w:rPr>
          <w:rFonts w:eastAsia="Times New Roman" w:cs="Times New Roman"/>
          <w:b/>
          <w:szCs w:val="24"/>
          <w:lang w:eastAsia="pt-BR"/>
        </w:rPr>
      </w:pPr>
    </w:p>
    <w:p w14:paraId="20C95B3A" w14:textId="77777777" w:rsidR="00745EFE" w:rsidRPr="00AD6C54" w:rsidRDefault="00745EFE" w:rsidP="00745EFE">
      <w:pPr>
        <w:ind w:firstLine="0"/>
        <w:jc w:val="left"/>
        <w:rPr>
          <w:rFonts w:eastAsia="Times New Roman" w:cs="Times New Roman"/>
          <w:b/>
          <w:szCs w:val="24"/>
          <w:lang w:eastAsia="pt-BR"/>
        </w:rPr>
      </w:pPr>
    </w:p>
    <w:p w14:paraId="67BD7DCF" w14:textId="77777777" w:rsidR="00745EFE" w:rsidRPr="00AD6C54" w:rsidRDefault="00745EFE" w:rsidP="00745EFE">
      <w:pPr>
        <w:ind w:firstLine="0"/>
        <w:jc w:val="left"/>
        <w:rPr>
          <w:rFonts w:eastAsia="Times New Roman" w:cs="Times New Roman"/>
          <w:b/>
          <w:szCs w:val="24"/>
          <w:lang w:eastAsia="pt-BR"/>
        </w:rPr>
      </w:pPr>
    </w:p>
    <w:p w14:paraId="6B906D50" w14:textId="77777777" w:rsidR="00745EFE" w:rsidRPr="00AD6C54" w:rsidRDefault="00745EFE" w:rsidP="00745EFE">
      <w:pPr>
        <w:ind w:firstLine="0"/>
        <w:jc w:val="left"/>
        <w:rPr>
          <w:rFonts w:eastAsia="Times New Roman" w:cs="Times New Roman"/>
          <w:b/>
          <w:szCs w:val="24"/>
          <w:lang w:eastAsia="pt-BR"/>
        </w:rPr>
      </w:pPr>
    </w:p>
    <w:p w14:paraId="1EBE8901" w14:textId="77777777" w:rsidR="00745EFE" w:rsidRPr="00AD6C54" w:rsidRDefault="00745EFE" w:rsidP="00745EFE">
      <w:pPr>
        <w:ind w:firstLine="0"/>
        <w:jc w:val="left"/>
        <w:rPr>
          <w:rFonts w:eastAsia="Times New Roman" w:cs="Times New Roman"/>
          <w:b/>
          <w:szCs w:val="24"/>
          <w:lang w:eastAsia="pt-BR"/>
        </w:rPr>
      </w:pPr>
    </w:p>
    <w:p w14:paraId="0E9AB76B" w14:textId="77777777" w:rsidR="00745EFE" w:rsidRPr="00AD6C54" w:rsidRDefault="00745EFE" w:rsidP="00745EFE">
      <w:pPr>
        <w:ind w:firstLine="0"/>
        <w:jc w:val="left"/>
        <w:rPr>
          <w:rFonts w:eastAsia="Times New Roman" w:cs="Times New Roman"/>
          <w:b/>
          <w:szCs w:val="24"/>
          <w:lang w:eastAsia="pt-BR"/>
        </w:rPr>
      </w:pPr>
    </w:p>
    <w:p w14:paraId="607B455B" w14:textId="77777777" w:rsidR="00745EFE" w:rsidRPr="00AD6C54" w:rsidRDefault="00745EFE" w:rsidP="00745EFE">
      <w:pPr>
        <w:ind w:firstLine="0"/>
        <w:jc w:val="left"/>
        <w:rPr>
          <w:rFonts w:eastAsia="Times New Roman" w:cs="Times New Roman"/>
          <w:b/>
          <w:szCs w:val="24"/>
          <w:lang w:eastAsia="pt-BR"/>
        </w:rPr>
      </w:pPr>
    </w:p>
    <w:p w14:paraId="7420AAD1" w14:textId="77777777" w:rsidR="00745EFE" w:rsidRPr="00AD6C54" w:rsidRDefault="00745EFE" w:rsidP="00745EFE">
      <w:pPr>
        <w:ind w:firstLine="0"/>
        <w:jc w:val="left"/>
        <w:rPr>
          <w:rFonts w:eastAsia="Times New Roman" w:cs="Times New Roman"/>
          <w:b/>
          <w:szCs w:val="24"/>
          <w:lang w:eastAsia="pt-BR"/>
        </w:rPr>
      </w:pPr>
    </w:p>
    <w:p w14:paraId="2446104F" w14:textId="77777777" w:rsidR="00745EFE" w:rsidRPr="00AD6C54" w:rsidRDefault="00745EFE" w:rsidP="00745EFE">
      <w:pPr>
        <w:ind w:firstLine="0"/>
        <w:jc w:val="left"/>
        <w:rPr>
          <w:rFonts w:eastAsia="Times New Roman" w:cs="Times New Roman"/>
          <w:b/>
          <w:szCs w:val="24"/>
          <w:lang w:eastAsia="pt-BR"/>
        </w:rPr>
      </w:pPr>
    </w:p>
    <w:p w14:paraId="2EEC6E42" w14:textId="5D707E51" w:rsidR="00745EFE" w:rsidRDefault="00745EFE" w:rsidP="00745EFE">
      <w:pPr>
        <w:ind w:firstLine="0"/>
        <w:jc w:val="left"/>
        <w:rPr>
          <w:rFonts w:eastAsia="Times New Roman" w:cs="Times New Roman"/>
          <w:b/>
          <w:szCs w:val="24"/>
          <w:lang w:eastAsia="pt-BR"/>
        </w:rPr>
      </w:pPr>
    </w:p>
    <w:p w14:paraId="3FAAC450" w14:textId="153A1791" w:rsidR="002B598F" w:rsidRDefault="002B598F" w:rsidP="00745EFE">
      <w:pPr>
        <w:ind w:firstLine="0"/>
        <w:jc w:val="left"/>
        <w:rPr>
          <w:rFonts w:eastAsia="Times New Roman" w:cs="Times New Roman"/>
          <w:b/>
          <w:szCs w:val="24"/>
          <w:lang w:eastAsia="pt-BR"/>
        </w:rPr>
      </w:pPr>
    </w:p>
    <w:p w14:paraId="70A6DBBB" w14:textId="77777777" w:rsidR="002B598F" w:rsidRPr="00AD6C54" w:rsidRDefault="002B598F" w:rsidP="00745EFE">
      <w:pPr>
        <w:ind w:firstLine="0"/>
        <w:jc w:val="left"/>
        <w:rPr>
          <w:rFonts w:eastAsia="Times New Roman" w:cs="Times New Roman"/>
          <w:b/>
          <w:szCs w:val="24"/>
          <w:lang w:eastAsia="pt-BR"/>
        </w:rPr>
      </w:pPr>
    </w:p>
    <w:p w14:paraId="72275C39" w14:textId="0402C1BB" w:rsidR="00DF1D78" w:rsidRPr="00AD6C54" w:rsidRDefault="00DF1D78" w:rsidP="00DF1D78">
      <w:pPr>
        <w:ind w:firstLine="0"/>
        <w:jc w:val="center"/>
        <w:rPr>
          <w:b/>
        </w:rPr>
      </w:pPr>
      <w:bookmarkStart w:id="0" w:name="_Hlk22999091"/>
      <w:r w:rsidRPr="00AD6C54">
        <w:rPr>
          <w:b/>
        </w:rPr>
        <w:t xml:space="preserve">GOVERNANÇA NO SETOR PÚBLICO: CONFRONTO ENTRE UM INDICADOR DE GOVERNANÇA E OS RESULTADOS </w:t>
      </w:r>
      <w:r w:rsidR="00C21C80">
        <w:rPr>
          <w:b/>
        </w:rPr>
        <w:t>OBTIDOS</w:t>
      </w:r>
      <w:r w:rsidRPr="00AD6C54">
        <w:rPr>
          <w:b/>
        </w:rPr>
        <w:t xml:space="preserve"> </w:t>
      </w:r>
      <w:r w:rsidR="009E7068">
        <w:rPr>
          <w:b/>
        </w:rPr>
        <w:t>PELAS</w:t>
      </w:r>
      <w:r w:rsidRPr="00AD6C54">
        <w:rPr>
          <w:b/>
        </w:rPr>
        <w:t xml:space="preserve"> INSTITUIÇÕES </w:t>
      </w:r>
      <w:r>
        <w:rPr>
          <w:b/>
        </w:rPr>
        <w:t xml:space="preserve">FEDERAIS DE ENSINO </w:t>
      </w:r>
      <w:r w:rsidRPr="00AD6C54">
        <w:rPr>
          <w:b/>
        </w:rPr>
        <w:t>SUPERIOR BRASILEIRAS</w:t>
      </w:r>
    </w:p>
    <w:bookmarkEnd w:id="0"/>
    <w:p w14:paraId="46446DE7" w14:textId="77777777" w:rsidR="00745EFE" w:rsidRPr="00AD6C54" w:rsidRDefault="00745EFE" w:rsidP="00745EFE">
      <w:pPr>
        <w:ind w:firstLine="0"/>
        <w:jc w:val="left"/>
        <w:rPr>
          <w:rFonts w:eastAsia="Times New Roman" w:cs="Times New Roman"/>
          <w:b/>
          <w:szCs w:val="24"/>
          <w:lang w:eastAsia="pt-BR"/>
        </w:rPr>
      </w:pPr>
    </w:p>
    <w:p w14:paraId="4A391CD2" w14:textId="77777777" w:rsidR="00745EFE" w:rsidRPr="00AD6C54" w:rsidRDefault="00745EFE" w:rsidP="00745EFE">
      <w:pPr>
        <w:ind w:firstLine="0"/>
        <w:jc w:val="left"/>
        <w:rPr>
          <w:rFonts w:eastAsia="Times New Roman" w:cs="Times New Roman"/>
          <w:b/>
          <w:szCs w:val="24"/>
          <w:lang w:eastAsia="pt-BR"/>
        </w:rPr>
      </w:pPr>
    </w:p>
    <w:p w14:paraId="0C137F55" w14:textId="77777777" w:rsidR="00745EFE" w:rsidRPr="00AD6C54" w:rsidRDefault="00745EFE" w:rsidP="00745EFE">
      <w:pPr>
        <w:ind w:firstLine="0"/>
        <w:jc w:val="left"/>
        <w:rPr>
          <w:rFonts w:eastAsia="Times New Roman" w:cs="Times New Roman"/>
          <w:b/>
          <w:szCs w:val="24"/>
          <w:lang w:eastAsia="pt-BR"/>
        </w:rPr>
      </w:pPr>
    </w:p>
    <w:p w14:paraId="63088797" w14:textId="77777777" w:rsidR="00745EFE" w:rsidRPr="00AD6C54" w:rsidRDefault="00745EFE" w:rsidP="00745EFE">
      <w:pPr>
        <w:ind w:firstLine="0"/>
        <w:jc w:val="left"/>
        <w:rPr>
          <w:rFonts w:eastAsia="Times New Roman" w:cs="Times New Roman"/>
          <w:b/>
          <w:szCs w:val="24"/>
          <w:lang w:eastAsia="pt-BR"/>
        </w:rPr>
      </w:pPr>
    </w:p>
    <w:p w14:paraId="382B6ECD" w14:textId="77777777" w:rsidR="000B47C9" w:rsidRPr="00AD6C54" w:rsidRDefault="000B47C9" w:rsidP="000B47C9">
      <w:pPr>
        <w:spacing w:line="240" w:lineRule="auto"/>
        <w:ind w:left="4536" w:firstLine="0"/>
        <w:rPr>
          <w:rFonts w:eastAsia="Times New Roman" w:cs="Times New Roman"/>
          <w:bCs/>
          <w:szCs w:val="24"/>
        </w:rPr>
      </w:pPr>
      <w:r w:rsidRPr="00AD6C54">
        <w:rPr>
          <w:rFonts w:eastAsia="Times New Roman" w:cs="Times New Roman"/>
          <w:bCs/>
          <w:szCs w:val="24"/>
        </w:rPr>
        <w:t>Trabalho de Conclusão de curso apresentado à Faculdade de Ciências Contábeis da Universidade Federal de Uberlândia como requisito parcial para obtenção de Bacharel em Ciências Contábeis.</w:t>
      </w:r>
    </w:p>
    <w:p w14:paraId="03107D7E" w14:textId="77777777" w:rsidR="00745EFE" w:rsidRPr="00AD6C54" w:rsidRDefault="00745EFE" w:rsidP="00745EFE">
      <w:pPr>
        <w:spacing w:after="200"/>
        <w:ind w:firstLine="0"/>
        <w:jc w:val="left"/>
        <w:rPr>
          <w:rFonts w:eastAsia="Times New Roman" w:cs="Times New Roman"/>
          <w:b/>
          <w:szCs w:val="24"/>
          <w:lang w:eastAsia="pt-BR"/>
        </w:rPr>
      </w:pPr>
    </w:p>
    <w:p w14:paraId="7DDA240F" w14:textId="77777777" w:rsidR="00745EFE" w:rsidRPr="00AD6C54" w:rsidRDefault="00745EFE" w:rsidP="00745EFE">
      <w:pPr>
        <w:ind w:firstLine="0"/>
        <w:jc w:val="left"/>
        <w:rPr>
          <w:rFonts w:eastAsia="Times New Roman" w:cs="Times New Roman"/>
          <w:b/>
          <w:szCs w:val="24"/>
          <w:lang w:eastAsia="pt-BR"/>
        </w:rPr>
      </w:pPr>
    </w:p>
    <w:p w14:paraId="34A642F2" w14:textId="77777777" w:rsidR="00745EFE" w:rsidRPr="00AD6C54" w:rsidRDefault="00745EFE" w:rsidP="00745EFE">
      <w:pPr>
        <w:ind w:firstLine="0"/>
        <w:jc w:val="left"/>
        <w:rPr>
          <w:rFonts w:eastAsia="Times New Roman" w:cs="Times New Roman"/>
          <w:b/>
          <w:szCs w:val="24"/>
          <w:lang w:eastAsia="pt-BR"/>
        </w:rPr>
      </w:pPr>
    </w:p>
    <w:p w14:paraId="6962FC2D" w14:textId="77777777" w:rsidR="00745EFE" w:rsidRPr="00AD6C54" w:rsidRDefault="00745EFE" w:rsidP="00745EFE">
      <w:pPr>
        <w:ind w:firstLine="0"/>
        <w:jc w:val="left"/>
        <w:rPr>
          <w:rFonts w:eastAsia="Times New Roman" w:cs="Times New Roman"/>
          <w:b/>
          <w:szCs w:val="24"/>
          <w:lang w:eastAsia="pt-BR"/>
        </w:rPr>
      </w:pPr>
    </w:p>
    <w:p w14:paraId="15714861" w14:textId="77777777" w:rsidR="00745EFE" w:rsidRPr="00AD6C54" w:rsidRDefault="00745EFE" w:rsidP="00745EFE">
      <w:pPr>
        <w:ind w:firstLine="0"/>
        <w:jc w:val="left"/>
        <w:rPr>
          <w:rFonts w:eastAsia="Times New Roman" w:cs="Times New Roman"/>
          <w:b/>
          <w:szCs w:val="24"/>
          <w:lang w:eastAsia="pt-BR"/>
        </w:rPr>
      </w:pPr>
    </w:p>
    <w:p w14:paraId="320B2FC1" w14:textId="77777777" w:rsidR="00745EFE" w:rsidRPr="00AD6C54" w:rsidRDefault="00745EFE" w:rsidP="00745EFE">
      <w:pPr>
        <w:ind w:firstLine="0"/>
        <w:jc w:val="center"/>
        <w:rPr>
          <w:rFonts w:eastAsia="Times New Roman" w:cs="Times New Roman"/>
          <w:b/>
          <w:szCs w:val="24"/>
          <w:lang w:eastAsia="pt-BR"/>
        </w:rPr>
      </w:pPr>
      <w:r w:rsidRPr="00AD6C54">
        <w:rPr>
          <w:rFonts w:eastAsia="Times New Roman" w:cs="Times New Roman"/>
          <w:b/>
          <w:szCs w:val="24"/>
          <w:lang w:eastAsia="pt-BR"/>
        </w:rPr>
        <w:t>UBERLÂNDIA</w:t>
      </w:r>
    </w:p>
    <w:p w14:paraId="7233C279" w14:textId="6DFBA124" w:rsidR="00032698" w:rsidRPr="00AD6C54" w:rsidRDefault="000B47C9" w:rsidP="00032698">
      <w:pPr>
        <w:ind w:firstLine="0"/>
        <w:jc w:val="center"/>
        <w:rPr>
          <w:rFonts w:eastAsia="Times New Roman" w:cs="Times New Roman"/>
          <w:b/>
          <w:szCs w:val="24"/>
          <w:lang w:eastAsia="pt-BR"/>
        </w:rPr>
        <w:sectPr w:rsidR="00032698" w:rsidRPr="00AD6C54" w:rsidSect="002C33C1">
          <w:headerReference w:type="default" r:id="rId8"/>
          <w:pgSz w:w="11906" w:h="16838"/>
          <w:pgMar w:top="1701" w:right="1134" w:bottom="1134" w:left="1701" w:header="709" w:footer="709" w:gutter="0"/>
          <w:pgNumType w:start="12"/>
          <w:cols w:space="708"/>
          <w:docGrid w:linePitch="360"/>
        </w:sectPr>
      </w:pPr>
      <w:r w:rsidRPr="00AD6C54">
        <w:rPr>
          <w:rFonts w:eastAsia="Times New Roman" w:cs="Times New Roman"/>
          <w:b/>
          <w:szCs w:val="24"/>
          <w:lang w:eastAsia="pt-BR"/>
        </w:rPr>
        <w:t xml:space="preserve">NOVEMBRO DE </w:t>
      </w:r>
      <w:r w:rsidR="00510434" w:rsidRPr="00AD6C54">
        <w:rPr>
          <w:rFonts w:eastAsia="Times New Roman" w:cs="Times New Roman"/>
          <w:b/>
          <w:szCs w:val="24"/>
          <w:lang w:eastAsia="pt-BR"/>
        </w:rPr>
        <w:t>2019</w:t>
      </w:r>
    </w:p>
    <w:p w14:paraId="2CADBB15" w14:textId="5E58C11D" w:rsidR="00E9571A" w:rsidRPr="00AD6C54" w:rsidRDefault="00E9571A" w:rsidP="00E9571A">
      <w:pPr>
        <w:spacing w:after="200" w:line="276" w:lineRule="auto"/>
        <w:ind w:firstLine="0"/>
        <w:jc w:val="center"/>
        <w:rPr>
          <w:b/>
          <w:szCs w:val="24"/>
        </w:rPr>
      </w:pPr>
    </w:p>
    <w:p w14:paraId="0DF557C5" w14:textId="1834D911" w:rsidR="000B47C9" w:rsidRPr="00AD6C54" w:rsidRDefault="000B47C9" w:rsidP="00E9571A">
      <w:pPr>
        <w:spacing w:after="200" w:line="276" w:lineRule="auto"/>
        <w:ind w:firstLine="0"/>
        <w:jc w:val="center"/>
        <w:rPr>
          <w:b/>
          <w:szCs w:val="24"/>
        </w:rPr>
      </w:pPr>
    </w:p>
    <w:p w14:paraId="3E781301" w14:textId="77777777" w:rsidR="000B47C9" w:rsidRPr="00AD6C54" w:rsidRDefault="000B47C9" w:rsidP="00E9571A">
      <w:pPr>
        <w:spacing w:after="200" w:line="276" w:lineRule="auto"/>
        <w:ind w:firstLine="0"/>
        <w:jc w:val="center"/>
        <w:rPr>
          <w:b/>
          <w:szCs w:val="24"/>
        </w:rPr>
      </w:pPr>
    </w:p>
    <w:p w14:paraId="64C40D45" w14:textId="58DE53B1" w:rsidR="00E9571A" w:rsidRPr="00AD6C54" w:rsidRDefault="009E7068" w:rsidP="00E9571A">
      <w:pPr>
        <w:spacing w:after="200" w:line="276" w:lineRule="auto"/>
        <w:ind w:firstLine="0"/>
        <w:jc w:val="center"/>
        <w:rPr>
          <w:b/>
          <w:szCs w:val="24"/>
        </w:rPr>
      </w:pPr>
      <w:r w:rsidRPr="009E7068">
        <w:rPr>
          <w:b/>
        </w:rPr>
        <w:t>Governança no setor público: confronto entre um indicador de governança e os resultados auferidos pelas instituições federais de ensino superior brasileiras</w:t>
      </w:r>
    </w:p>
    <w:p w14:paraId="0DFC5913" w14:textId="643D86D7" w:rsidR="00E9571A" w:rsidRDefault="00E9571A" w:rsidP="00E9571A">
      <w:pPr>
        <w:spacing w:after="200" w:line="276" w:lineRule="auto"/>
        <w:ind w:firstLine="0"/>
        <w:jc w:val="center"/>
        <w:rPr>
          <w:b/>
          <w:szCs w:val="24"/>
        </w:rPr>
      </w:pPr>
    </w:p>
    <w:p w14:paraId="276AC245" w14:textId="77777777" w:rsidR="009E7068" w:rsidRPr="00AD6C54" w:rsidRDefault="009E7068" w:rsidP="00E9571A">
      <w:pPr>
        <w:spacing w:after="200" w:line="276" w:lineRule="auto"/>
        <w:ind w:firstLine="0"/>
        <w:jc w:val="center"/>
        <w:rPr>
          <w:b/>
          <w:szCs w:val="24"/>
        </w:rPr>
      </w:pPr>
    </w:p>
    <w:p w14:paraId="0C43BC7A" w14:textId="77777777" w:rsidR="000B47C9" w:rsidRPr="00AD6C54" w:rsidRDefault="000B47C9" w:rsidP="000B47C9">
      <w:pPr>
        <w:spacing w:line="240" w:lineRule="auto"/>
        <w:ind w:left="4536" w:firstLine="0"/>
        <w:rPr>
          <w:rFonts w:eastAsia="Times New Roman" w:cs="Times New Roman"/>
          <w:bCs/>
          <w:szCs w:val="24"/>
        </w:rPr>
      </w:pPr>
      <w:r w:rsidRPr="00AD6C54">
        <w:rPr>
          <w:rFonts w:eastAsia="Times New Roman" w:cs="Times New Roman"/>
          <w:bCs/>
          <w:szCs w:val="24"/>
        </w:rPr>
        <w:t>Trabalho de Conclusão de curso apresentado à Faculdade de Ciências Contábeis da Universidade Federal de Uberlândia como requisito parcial para obtenção de Bacharel em Ciências Contábeis.</w:t>
      </w:r>
    </w:p>
    <w:p w14:paraId="49A2A3FE" w14:textId="1DA24AA5" w:rsidR="000B47C9" w:rsidRPr="00AD6C54" w:rsidRDefault="000B47C9" w:rsidP="00E9571A">
      <w:pPr>
        <w:spacing w:after="200" w:line="276" w:lineRule="auto"/>
        <w:ind w:firstLine="0"/>
        <w:jc w:val="center"/>
        <w:rPr>
          <w:b/>
          <w:szCs w:val="24"/>
        </w:rPr>
      </w:pPr>
    </w:p>
    <w:p w14:paraId="761669DD" w14:textId="54E83FE4" w:rsidR="000B47C9" w:rsidRPr="00AD6C54" w:rsidRDefault="000B47C9" w:rsidP="00E9571A">
      <w:pPr>
        <w:spacing w:after="200" w:line="276" w:lineRule="auto"/>
        <w:ind w:firstLine="0"/>
        <w:jc w:val="center"/>
        <w:rPr>
          <w:b/>
          <w:szCs w:val="24"/>
        </w:rPr>
      </w:pPr>
    </w:p>
    <w:p w14:paraId="6CE7EA5D" w14:textId="2B4B9C84" w:rsidR="000B47C9" w:rsidRPr="00AD6C54" w:rsidRDefault="000B47C9" w:rsidP="000B47C9">
      <w:pPr>
        <w:spacing w:after="200" w:line="276" w:lineRule="auto"/>
        <w:ind w:firstLine="0"/>
        <w:jc w:val="left"/>
        <w:rPr>
          <w:b/>
          <w:szCs w:val="24"/>
        </w:rPr>
      </w:pPr>
      <w:r w:rsidRPr="00AD6C54">
        <w:rPr>
          <w:b/>
          <w:szCs w:val="24"/>
        </w:rPr>
        <w:t>Banca de Avaliação:</w:t>
      </w:r>
    </w:p>
    <w:p w14:paraId="0EC04DF2" w14:textId="027AF62A" w:rsidR="000B47C9" w:rsidRPr="00AD6C54" w:rsidRDefault="000B47C9" w:rsidP="000B47C9">
      <w:pPr>
        <w:spacing w:after="200" w:line="276" w:lineRule="auto"/>
        <w:ind w:firstLine="0"/>
        <w:jc w:val="left"/>
        <w:rPr>
          <w:b/>
          <w:szCs w:val="24"/>
        </w:rPr>
      </w:pPr>
    </w:p>
    <w:p w14:paraId="4242540B" w14:textId="059EF8FA" w:rsidR="000B47C9" w:rsidRPr="00AD6C54" w:rsidRDefault="000B47C9" w:rsidP="000B47C9">
      <w:pPr>
        <w:spacing w:after="200" w:line="276" w:lineRule="auto"/>
        <w:ind w:firstLine="0"/>
        <w:jc w:val="left"/>
        <w:rPr>
          <w:b/>
          <w:szCs w:val="24"/>
        </w:rPr>
      </w:pPr>
    </w:p>
    <w:p w14:paraId="3EE10DD0" w14:textId="7D4DBF87" w:rsidR="000B47C9" w:rsidRPr="00AD6C54" w:rsidRDefault="70C777D9" w:rsidP="000B47C9">
      <w:pPr>
        <w:spacing w:line="240" w:lineRule="auto"/>
        <w:ind w:firstLine="0"/>
        <w:jc w:val="center"/>
        <w:rPr>
          <w:b/>
          <w:szCs w:val="24"/>
        </w:rPr>
      </w:pPr>
      <w:r w:rsidRPr="70C777D9">
        <w:rPr>
          <w:b/>
          <w:bCs/>
        </w:rPr>
        <w:t>________________________________</w:t>
      </w:r>
    </w:p>
    <w:p w14:paraId="7EEE8E83" w14:textId="28F4118A" w:rsidR="000B47C9" w:rsidRPr="00AD6C54" w:rsidRDefault="00FD2120" w:rsidP="000B47C9">
      <w:pPr>
        <w:spacing w:line="240" w:lineRule="auto"/>
        <w:ind w:firstLine="0"/>
        <w:jc w:val="center"/>
        <w:rPr>
          <w:b/>
          <w:szCs w:val="24"/>
        </w:rPr>
      </w:pPr>
      <w:r>
        <w:rPr>
          <w:b/>
          <w:szCs w:val="24"/>
        </w:rPr>
        <w:t>Professor (a)</w:t>
      </w:r>
    </w:p>
    <w:p w14:paraId="08CCEFF6" w14:textId="391E66EA" w:rsidR="000B47C9" w:rsidRPr="00AD6C54" w:rsidRDefault="000B47C9" w:rsidP="000B47C9">
      <w:pPr>
        <w:spacing w:line="240" w:lineRule="auto"/>
        <w:ind w:firstLine="0"/>
        <w:jc w:val="center"/>
        <w:rPr>
          <w:b/>
          <w:szCs w:val="24"/>
        </w:rPr>
      </w:pPr>
    </w:p>
    <w:p w14:paraId="5E5F01D6" w14:textId="7DD65EFB" w:rsidR="000B47C9" w:rsidRPr="00AD6C54" w:rsidRDefault="000B47C9" w:rsidP="000B47C9">
      <w:pPr>
        <w:spacing w:line="240" w:lineRule="auto"/>
        <w:ind w:firstLine="0"/>
        <w:jc w:val="center"/>
        <w:rPr>
          <w:b/>
          <w:szCs w:val="24"/>
        </w:rPr>
      </w:pPr>
    </w:p>
    <w:p w14:paraId="2406C722" w14:textId="3312383F" w:rsidR="000B47C9" w:rsidRPr="00AD6C54" w:rsidRDefault="000B47C9" w:rsidP="000B47C9">
      <w:pPr>
        <w:spacing w:line="240" w:lineRule="auto"/>
        <w:ind w:firstLine="0"/>
        <w:jc w:val="center"/>
        <w:rPr>
          <w:b/>
          <w:szCs w:val="24"/>
        </w:rPr>
      </w:pPr>
    </w:p>
    <w:p w14:paraId="5D049B02" w14:textId="47BC932A" w:rsidR="000B47C9" w:rsidRPr="00AD6C54" w:rsidRDefault="000B47C9" w:rsidP="000B47C9">
      <w:pPr>
        <w:spacing w:line="240" w:lineRule="auto"/>
        <w:ind w:firstLine="0"/>
        <w:jc w:val="center"/>
        <w:rPr>
          <w:b/>
          <w:szCs w:val="24"/>
        </w:rPr>
      </w:pPr>
    </w:p>
    <w:p w14:paraId="03D3ED55" w14:textId="77777777" w:rsidR="000B47C9" w:rsidRPr="00AD6C54" w:rsidRDefault="70C777D9" w:rsidP="000B47C9">
      <w:pPr>
        <w:spacing w:line="240" w:lineRule="auto"/>
        <w:ind w:firstLine="0"/>
        <w:jc w:val="center"/>
        <w:rPr>
          <w:b/>
          <w:szCs w:val="24"/>
        </w:rPr>
      </w:pPr>
      <w:r w:rsidRPr="70C777D9">
        <w:rPr>
          <w:b/>
          <w:bCs/>
        </w:rPr>
        <w:t>________________________________</w:t>
      </w:r>
    </w:p>
    <w:p w14:paraId="03ACA15D" w14:textId="2BE900E2" w:rsidR="000B47C9" w:rsidRPr="00AD6C54" w:rsidRDefault="00FD2120" w:rsidP="000B47C9">
      <w:pPr>
        <w:spacing w:line="240" w:lineRule="auto"/>
        <w:ind w:firstLine="0"/>
        <w:jc w:val="center"/>
        <w:rPr>
          <w:b/>
          <w:szCs w:val="24"/>
        </w:rPr>
      </w:pPr>
      <w:r>
        <w:rPr>
          <w:b/>
          <w:szCs w:val="24"/>
        </w:rPr>
        <w:t>Professor (a)</w:t>
      </w:r>
    </w:p>
    <w:p w14:paraId="28669E4E" w14:textId="10B72CDA" w:rsidR="000B47C9" w:rsidRPr="00AD6C54" w:rsidRDefault="000B47C9" w:rsidP="000B47C9">
      <w:pPr>
        <w:spacing w:line="240" w:lineRule="auto"/>
        <w:ind w:firstLine="0"/>
        <w:jc w:val="center"/>
        <w:rPr>
          <w:b/>
          <w:szCs w:val="24"/>
        </w:rPr>
      </w:pPr>
    </w:p>
    <w:p w14:paraId="5E406649" w14:textId="67A0D61C" w:rsidR="000B47C9" w:rsidRPr="00AD6C54" w:rsidRDefault="000B47C9" w:rsidP="000B47C9">
      <w:pPr>
        <w:spacing w:line="240" w:lineRule="auto"/>
        <w:ind w:firstLine="0"/>
        <w:jc w:val="center"/>
        <w:rPr>
          <w:b/>
          <w:szCs w:val="24"/>
        </w:rPr>
      </w:pPr>
    </w:p>
    <w:p w14:paraId="2042D6FA" w14:textId="3F3DF064" w:rsidR="000B47C9" w:rsidRPr="00AD6C54" w:rsidRDefault="000B47C9" w:rsidP="000B47C9">
      <w:pPr>
        <w:spacing w:line="240" w:lineRule="auto"/>
        <w:ind w:firstLine="0"/>
        <w:jc w:val="center"/>
        <w:rPr>
          <w:b/>
          <w:szCs w:val="24"/>
        </w:rPr>
      </w:pPr>
    </w:p>
    <w:p w14:paraId="463BEF50" w14:textId="0458B8BE" w:rsidR="000B47C9" w:rsidRPr="00AD6C54" w:rsidRDefault="000B47C9" w:rsidP="000B47C9">
      <w:pPr>
        <w:spacing w:line="240" w:lineRule="auto"/>
        <w:ind w:firstLine="0"/>
        <w:jc w:val="center"/>
        <w:rPr>
          <w:b/>
          <w:szCs w:val="24"/>
        </w:rPr>
      </w:pPr>
    </w:p>
    <w:p w14:paraId="45B06499" w14:textId="77777777" w:rsidR="000B47C9" w:rsidRPr="00AD6C54" w:rsidRDefault="70C777D9" w:rsidP="000B47C9">
      <w:pPr>
        <w:spacing w:line="240" w:lineRule="auto"/>
        <w:ind w:firstLine="0"/>
        <w:jc w:val="center"/>
        <w:rPr>
          <w:b/>
          <w:szCs w:val="24"/>
        </w:rPr>
      </w:pPr>
      <w:r w:rsidRPr="70C777D9">
        <w:rPr>
          <w:b/>
          <w:bCs/>
        </w:rPr>
        <w:t>________________________________</w:t>
      </w:r>
    </w:p>
    <w:p w14:paraId="51D98859" w14:textId="4B378AEA" w:rsidR="000B47C9" w:rsidRPr="00AD6C54" w:rsidRDefault="00FD2120" w:rsidP="000B47C9">
      <w:pPr>
        <w:spacing w:line="240" w:lineRule="auto"/>
        <w:ind w:firstLine="0"/>
        <w:jc w:val="center"/>
        <w:rPr>
          <w:b/>
          <w:szCs w:val="24"/>
        </w:rPr>
      </w:pPr>
      <w:r>
        <w:rPr>
          <w:b/>
          <w:szCs w:val="24"/>
        </w:rPr>
        <w:t>Professor (a)</w:t>
      </w:r>
    </w:p>
    <w:p w14:paraId="5AB3FAFB" w14:textId="77777777" w:rsidR="000B47C9" w:rsidRPr="00AD6C54" w:rsidRDefault="000B47C9" w:rsidP="000B47C9">
      <w:pPr>
        <w:spacing w:line="240" w:lineRule="auto"/>
        <w:ind w:firstLine="0"/>
        <w:jc w:val="center"/>
        <w:rPr>
          <w:b/>
          <w:szCs w:val="24"/>
        </w:rPr>
      </w:pPr>
    </w:p>
    <w:p w14:paraId="5FAB237F" w14:textId="11C042B4" w:rsidR="00E9571A" w:rsidRPr="00AD6C54" w:rsidRDefault="00E9571A">
      <w:pPr>
        <w:spacing w:after="200" w:line="276" w:lineRule="auto"/>
        <w:ind w:firstLine="0"/>
        <w:jc w:val="left"/>
        <w:rPr>
          <w:b/>
          <w:szCs w:val="24"/>
        </w:rPr>
      </w:pPr>
      <w:r w:rsidRPr="00AD6C54">
        <w:rPr>
          <w:b/>
          <w:szCs w:val="24"/>
        </w:rPr>
        <w:br w:type="page"/>
      </w:r>
    </w:p>
    <w:p w14:paraId="46B8811C" w14:textId="5C69BE01" w:rsidR="000178A6" w:rsidRPr="00AD6C54" w:rsidRDefault="00F629C7" w:rsidP="00032698">
      <w:pPr>
        <w:ind w:firstLine="0"/>
        <w:jc w:val="center"/>
        <w:rPr>
          <w:b/>
          <w:szCs w:val="24"/>
        </w:rPr>
      </w:pPr>
      <w:r w:rsidRPr="00AD6C54">
        <w:rPr>
          <w:b/>
          <w:szCs w:val="24"/>
        </w:rPr>
        <w:lastRenderedPageBreak/>
        <w:t>RESUMO</w:t>
      </w:r>
    </w:p>
    <w:p w14:paraId="2F3DF167" w14:textId="77777777" w:rsidR="00E5007C" w:rsidRPr="00AD6C54" w:rsidRDefault="00E5007C" w:rsidP="00E5007C">
      <w:pPr>
        <w:spacing w:after="168"/>
        <w:ind w:firstLine="0"/>
        <w:rPr>
          <w:rFonts w:cs="Times New Roman"/>
          <w:szCs w:val="24"/>
          <w:shd w:val="clear" w:color="auto" w:fill="FFFFFF"/>
        </w:rPr>
      </w:pPr>
    </w:p>
    <w:p w14:paraId="7662DB46" w14:textId="77777777" w:rsidR="00B979C7" w:rsidRPr="00AD6C54" w:rsidRDefault="00B979C7" w:rsidP="00E5007C">
      <w:pPr>
        <w:spacing w:after="168"/>
        <w:ind w:firstLine="0"/>
        <w:rPr>
          <w:rFonts w:cs="Times New Roman"/>
          <w:szCs w:val="24"/>
          <w:shd w:val="clear" w:color="auto" w:fill="FFFFFF"/>
        </w:rPr>
      </w:pPr>
    </w:p>
    <w:p w14:paraId="41D2358B" w14:textId="7EC972C5" w:rsidR="00505948" w:rsidRPr="00AD6C54" w:rsidRDefault="00972CAB" w:rsidP="00505948">
      <w:pPr>
        <w:spacing w:line="240" w:lineRule="auto"/>
        <w:ind w:firstLine="0"/>
      </w:pPr>
      <w:bookmarkStart w:id="1" w:name="_Hlk530497448"/>
      <w:r>
        <w:t>Na década de 2000</w:t>
      </w:r>
      <w:r w:rsidR="00505948" w:rsidRPr="00AD6C54">
        <w:t xml:space="preserve"> </w:t>
      </w:r>
      <w:r>
        <w:t xml:space="preserve">os </w:t>
      </w:r>
      <w:r w:rsidR="00505948" w:rsidRPr="00AD6C54">
        <w:t xml:space="preserve">órgãos de controle das contas públicas no Brasil </w:t>
      </w:r>
      <w:r>
        <w:t xml:space="preserve">moveram diversas ações </w:t>
      </w:r>
      <w:r w:rsidR="00505948" w:rsidRPr="00AD6C54">
        <w:t xml:space="preserve">que </w:t>
      </w:r>
      <w:r>
        <w:t>buscam</w:t>
      </w:r>
      <w:r w:rsidR="00505948" w:rsidRPr="00AD6C54">
        <w:t xml:space="preserve"> estimular boas práticas no gasto do dinheiro público</w:t>
      </w:r>
      <w:r>
        <w:t xml:space="preserve">, com destaque </w:t>
      </w:r>
      <w:r w:rsidR="00505948" w:rsidRPr="00AD6C54">
        <w:t xml:space="preserve">ao uso efetivo de mecanismos de governança. </w:t>
      </w:r>
      <w:r>
        <w:t>Um exemplo de mecanismos de governança foi a criação de um índice integrado de governança e gestão pelo</w:t>
      </w:r>
      <w:r w:rsidR="00505948" w:rsidRPr="00AD6C54">
        <w:t xml:space="preserve"> Tribunal de Contas da União. Neste </w:t>
      </w:r>
      <w:r>
        <w:t>contexto</w:t>
      </w:r>
      <w:r w:rsidR="00505948" w:rsidRPr="00AD6C54">
        <w:t xml:space="preserve">, o presente artigo busca </w:t>
      </w:r>
      <w:r>
        <w:t xml:space="preserve">analisar os efeitos da governança e da gestão, mensuradas por este índice, na qualidade </w:t>
      </w:r>
      <w:r w:rsidR="00505948" w:rsidRPr="00AD6C54">
        <w:t xml:space="preserve">das </w:t>
      </w:r>
      <w:r w:rsidR="00505948">
        <w:t>i</w:t>
      </w:r>
      <w:r w:rsidR="00505948" w:rsidRPr="00AD6C54">
        <w:t>nstituições de</w:t>
      </w:r>
      <w:r w:rsidR="00505948">
        <w:t xml:space="preserve"> e</w:t>
      </w:r>
      <w:r w:rsidR="00505948" w:rsidRPr="00AD6C54">
        <w:t xml:space="preserve">ducação </w:t>
      </w:r>
      <w:r w:rsidR="00505948">
        <w:t>s</w:t>
      </w:r>
      <w:r w:rsidR="00505948" w:rsidRPr="00AD6C54">
        <w:t xml:space="preserve">uperior, </w:t>
      </w:r>
      <w:r>
        <w:t>mensuradas pel</w:t>
      </w:r>
      <w:r w:rsidR="00505948" w:rsidRPr="00AD6C54">
        <w:t xml:space="preserve">o </w:t>
      </w:r>
      <w:r>
        <w:t>Í</w:t>
      </w:r>
      <w:r w:rsidR="00505948" w:rsidRPr="00AD6C54">
        <w:t xml:space="preserve">ndice </w:t>
      </w:r>
      <w:r>
        <w:t>G</w:t>
      </w:r>
      <w:r w:rsidR="00505948" w:rsidRPr="00AD6C54">
        <w:t xml:space="preserve">eral de </w:t>
      </w:r>
      <w:r>
        <w:t>C</w:t>
      </w:r>
      <w:r w:rsidR="00505948" w:rsidRPr="00AD6C54">
        <w:t>ursos. Assim, mediante comparabilidade de dois indicadores utilizados em âmbito nacional, procurou-se investigar se as instituições posicionadas em bons níveis de governança apresentam igualmente eficaz entrega na atividade-fim</w:t>
      </w:r>
      <w:r w:rsidR="000C5D2B">
        <w:t>, neste caso a educação superior,</w:t>
      </w:r>
      <w:r w:rsidR="00505948" w:rsidRPr="00AD6C54">
        <w:t xml:space="preserve"> a qual são incumbidas de prestar</w:t>
      </w:r>
      <w:r w:rsidR="00505948">
        <w:t>em</w:t>
      </w:r>
      <w:r w:rsidR="00505948" w:rsidRPr="00AD6C54">
        <w:t xml:space="preserve"> à sociedade. Tais análises</w:t>
      </w:r>
      <w:r w:rsidR="00505948">
        <w:t xml:space="preserve"> levaram à conclusão</w:t>
      </w:r>
      <w:r w:rsidR="00505948" w:rsidRPr="00AD6C54">
        <w:t xml:space="preserve"> que a capacidade de governança apresentou maiores níveis de correlação nos resultados do grupo das instituições de médio porte </w:t>
      </w:r>
      <w:r w:rsidR="00212B64">
        <w:t>quanto</w:t>
      </w:r>
      <w:r w:rsidR="00505948" w:rsidRPr="00AD6C54">
        <w:t xml:space="preserve"> à receita bruta. Ainda, demonstr</w:t>
      </w:r>
      <w:r w:rsidR="00505948">
        <w:t>aram</w:t>
      </w:r>
      <w:r w:rsidR="00505948" w:rsidRPr="00AD6C54">
        <w:t xml:space="preserve"> que práticas relacionadas à gestão de pessoas e de tecnologia da informação apresentaram graus mais elevados de correlação com os resultados.</w:t>
      </w:r>
    </w:p>
    <w:bookmarkEnd w:id="1"/>
    <w:p w14:paraId="43493772" w14:textId="77777777" w:rsidR="00B979C7" w:rsidRPr="00AD6C54" w:rsidRDefault="00B979C7" w:rsidP="00B979C7">
      <w:pPr>
        <w:ind w:firstLine="0"/>
      </w:pPr>
    </w:p>
    <w:p w14:paraId="6AE0D858" w14:textId="15D61103" w:rsidR="00E607AE" w:rsidRPr="00AD6C54" w:rsidRDefault="00B979C7" w:rsidP="00B979C7">
      <w:pPr>
        <w:spacing w:after="168"/>
        <w:ind w:firstLine="0"/>
        <w:rPr>
          <w:rFonts w:cs="Times New Roman"/>
          <w:szCs w:val="24"/>
          <w:shd w:val="clear" w:color="auto" w:fill="FFFFFF"/>
        </w:rPr>
      </w:pPr>
      <w:r w:rsidRPr="00AD6C54">
        <w:rPr>
          <w:b/>
        </w:rPr>
        <w:t>Palavras-chave:</w:t>
      </w:r>
      <w:r w:rsidRPr="00AD6C54">
        <w:t xml:space="preserve"> governança</w:t>
      </w:r>
      <w:r w:rsidR="00306A41">
        <w:t xml:space="preserve"> públic</w:t>
      </w:r>
      <w:r w:rsidR="004A5E37">
        <w:t>a</w:t>
      </w:r>
      <w:r w:rsidRPr="00AD6C54">
        <w:t xml:space="preserve">. </w:t>
      </w:r>
      <w:r w:rsidR="00E06AE8">
        <w:t>desempenho do setor público</w:t>
      </w:r>
      <w:r w:rsidRPr="00AD6C54">
        <w:t xml:space="preserve">. </w:t>
      </w:r>
      <w:r w:rsidR="00E06AE8" w:rsidRPr="0085425E">
        <w:rPr>
          <w:i/>
          <w:iCs/>
        </w:rPr>
        <w:t>a</w:t>
      </w:r>
      <w:r w:rsidR="002F69BE" w:rsidRPr="0085425E">
        <w:rPr>
          <w:i/>
          <w:iCs/>
        </w:rPr>
        <w:t>ccountability</w:t>
      </w:r>
      <w:r w:rsidRPr="00AD6C54">
        <w:t>.</w:t>
      </w:r>
    </w:p>
    <w:p w14:paraId="4ED89032" w14:textId="77777777" w:rsidR="00E607AE" w:rsidRPr="00AD6C54" w:rsidRDefault="00E607AE">
      <w:pPr>
        <w:spacing w:line="276" w:lineRule="auto"/>
        <w:ind w:firstLine="0"/>
        <w:jc w:val="left"/>
        <w:rPr>
          <w:rFonts w:eastAsia="Times New Roman" w:cs="Times New Roman"/>
          <w:b/>
          <w:caps/>
          <w:szCs w:val="24"/>
          <w:shd w:val="clear" w:color="auto" w:fill="FFFFFF"/>
          <w:lang w:eastAsia="ar-SA"/>
        </w:rPr>
      </w:pPr>
      <w:r w:rsidRPr="00AD6C54">
        <w:rPr>
          <w:rFonts w:cs="Times New Roman"/>
          <w:szCs w:val="24"/>
          <w:shd w:val="clear" w:color="auto" w:fill="FFFFFF"/>
        </w:rPr>
        <w:br w:type="page"/>
      </w:r>
    </w:p>
    <w:p w14:paraId="455E0DE3" w14:textId="4B213227" w:rsidR="007B1E45" w:rsidRPr="002B598F" w:rsidRDefault="007B1E45" w:rsidP="007B1E45">
      <w:pPr>
        <w:ind w:firstLine="0"/>
        <w:jc w:val="center"/>
        <w:rPr>
          <w:b/>
          <w:szCs w:val="24"/>
          <w:lang w:val="en-US"/>
        </w:rPr>
      </w:pPr>
      <w:r w:rsidRPr="002B598F">
        <w:rPr>
          <w:b/>
          <w:szCs w:val="24"/>
          <w:lang w:val="en-US"/>
        </w:rPr>
        <w:lastRenderedPageBreak/>
        <w:t>ABSTRACT</w:t>
      </w:r>
    </w:p>
    <w:p w14:paraId="44479B80" w14:textId="77777777" w:rsidR="007B1E45" w:rsidRPr="002B598F" w:rsidRDefault="007B1E45" w:rsidP="007B1E45">
      <w:pPr>
        <w:spacing w:after="168"/>
        <w:ind w:firstLine="0"/>
        <w:rPr>
          <w:rFonts w:cs="Times New Roman"/>
          <w:szCs w:val="24"/>
          <w:shd w:val="clear" w:color="auto" w:fill="FFFFFF"/>
          <w:lang w:val="en-US"/>
        </w:rPr>
      </w:pPr>
    </w:p>
    <w:p w14:paraId="0A2555C5" w14:textId="77777777" w:rsidR="007B1E45" w:rsidRPr="002B598F" w:rsidRDefault="007B1E45" w:rsidP="007B1E45">
      <w:pPr>
        <w:spacing w:after="168"/>
        <w:ind w:firstLine="0"/>
        <w:rPr>
          <w:rFonts w:cs="Times New Roman"/>
          <w:szCs w:val="24"/>
          <w:shd w:val="clear" w:color="auto" w:fill="FFFFFF"/>
          <w:lang w:val="en-US"/>
        </w:rPr>
      </w:pPr>
    </w:p>
    <w:p w14:paraId="555818FE" w14:textId="24D66AE5" w:rsidR="007B1E45" w:rsidRPr="002B598F" w:rsidRDefault="00B6268D" w:rsidP="007B1E45">
      <w:pPr>
        <w:spacing w:line="240" w:lineRule="auto"/>
        <w:ind w:firstLine="0"/>
        <w:rPr>
          <w:lang w:val="en-US"/>
        </w:rPr>
      </w:pPr>
      <w:r>
        <w:rPr>
          <w:i/>
          <w:iCs/>
          <w:lang w:val="en-US"/>
        </w:rPr>
        <w:t>S</w:t>
      </w:r>
      <w:r w:rsidR="00962C6A" w:rsidRPr="002B598F">
        <w:rPr>
          <w:i/>
          <w:iCs/>
          <w:lang w:val="en-US"/>
        </w:rPr>
        <w:t xml:space="preserve">everal </w:t>
      </w:r>
      <w:r w:rsidR="00964D1F" w:rsidRPr="002B598F">
        <w:rPr>
          <w:i/>
          <w:iCs/>
          <w:lang w:val="en-US"/>
        </w:rPr>
        <w:t xml:space="preserve">acts </w:t>
      </w:r>
      <w:r w:rsidR="00833F9C" w:rsidRPr="002B598F">
        <w:rPr>
          <w:i/>
          <w:iCs/>
          <w:lang w:val="en-US"/>
        </w:rPr>
        <w:t xml:space="preserve">that aim to </w:t>
      </w:r>
      <w:r w:rsidR="002E4320" w:rsidRPr="002B598F">
        <w:rPr>
          <w:i/>
          <w:iCs/>
          <w:lang w:val="en-US"/>
        </w:rPr>
        <w:t>boost</w:t>
      </w:r>
      <w:r w:rsidR="00964D1F" w:rsidRPr="002B598F">
        <w:rPr>
          <w:i/>
          <w:iCs/>
          <w:lang w:val="en-US"/>
        </w:rPr>
        <w:t xml:space="preserve"> good practices </w:t>
      </w:r>
      <w:r w:rsidR="00FE39FF" w:rsidRPr="002B598F">
        <w:rPr>
          <w:i/>
          <w:iCs/>
          <w:lang w:val="en-US"/>
        </w:rPr>
        <w:t>in the</w:t>
      </w:r>
      <w:r w:rsidR="00814978" w:rsidRPr="002B598F">
        <w:rPr>
          <w:i/>
          <w:iCs/>
          <w:lang w:val="en-US"/>
        </w:rPr>
        <w:t xml:space="preserve"> spending o</w:t>
      </w:r>
      <w:r w:rsidR="00832A67" w:rsidRPr="002B598F">
        <w:rPr>
          <w:i/>
          <w:iCs/>
          <w:lang w:val="en-US"/>
        </w:rPr>
        <w:t xml:space="preserve">f public </w:t>
      </w:r>
      <w:r w:rsidR="00B44AC2" w:rsidRPr="002B598F">
        <w:rPr>
          <w:i/>
          <w:iCs/>
          <w:lang w:val="en-US"/>
        </w:rPr>
        <w:t>money, promoted</w:t>
      </w:r>
      <w:r w:rsidR="008B36E0" w:rsidRPr="002B598F">
        <w:rPr>
          <w:i/>
          <w:iCs/>
          <w:lang w:val="en-US"/>
        </w:rPr>
        <w:t xml:space="preserve"> by </w:t>
      </w:r>
      <w:r w:rsidR="00560C1B">
        <w:rPr>
          <w:i/>
          <w:iCs/>
          <w:lang w:val="en-US"/>
        </w:rPr>
        <w:t>B</w:t>
      </w:r>
      <w:r w:rsidR="001831B9" w:rsidRPr="002B598F">
        <w:rPr>
          <w:i/>
          <w:iCs/>
          <w:lang w:val="en-US"/>
        </w:rPr>
        <w:t>razilian audit</w:t>
      </w:r>
      <w:r w:rsidR="007B1E45" w:rsidRPr="002B598F">
        <w:rPr>
          <w:lang w:val="en-US"/>
        </w:rPr>
        <w:t xml:space="preserve"> </w:t>
      </w:r>
      <w:r w:rsidR="001831B9" w:rsidRPr="002B598F">
        <w:rPr>
          <w:i/>
          <w:iCs/>
          <w:lang w:val="en-US"/>
        </w:rPr>
        <w:t>offices</w:t>
      </w:r>
      <w:r w:rsidR="0020554B">
        <w:rPr>
          <w:i/>
          <w:iCs/>
          <w:lang w:val="en-US"/>
        </w:rPr>
        <w:t>,</w:t>
      </w:r>
      <w:r w:rsidR="00844384" w:rsidRPr="002B598F">
        <w:rPr>
          <w:lang w:val="en-US"/>
        </w:rPr>
        <w:t xml:space="preserve"> </w:t>
      </w:r>
      <w:r w:rsidR="00844384" w:rsidRPr="002B598F">
        <w:rPr>
          <w:i/>
          <w:iCs/>
          <w:lang w:val="en-US"/>
        </w:rPr>
        <w:t>have been observed</w:t>
      </w:r>
      <w:r w:rsidR="0020554B">
        <w:rPr>
          <w:i/>
          <w:iCs/>
          <w:lang w:val="en-US"/>
        </w:rPr>
        <w:t xml:space="preserve"> </w:t>
      </w:r>
      <w:r w:rsidR="0053364F">
        <w:rPr>
          <w:i/>
          <w:iCs/>
          <w:lang w:val="en-US"/>
        </w:rPr>
        <w:t>throu</w:t>
      </w:r>
      <w:r w:rsidR="006D786D">
        <w:rPr>
          <w:i/>
          <w:iCs/>
          <w:lang w:val="en-US"/>
        </w:rPr>
        <w:t>ghout the years</w:t>
      </w:r>
      <w:r w:rsidR="007B1E45" w:rsidRPr="002B598F">
        <w:rPr>
          <w:lang w:val="en-US"/>
        </w:rPr>
        <w:t xml:space="preserve">. </w:t>
      </w:r>
      <w:r w:rsidR="0052008E" w:rsidRPr="002B598F">
        <w:rPr>
          <w:i/>
          <w:iCs/>
          <w:lang w:val="en-US"/>
        </w:rPr>
        <w:t>In this re</w:t>
      </w:r>
      <w:r w:rsidR="004002F0">
        <w:rPr>
          <w:i/>
          <w:iCs/>
          <w:lang w:val="en-US"/>
        </w:rPr>
        <w:t>gard</w:t>
      </w:r>
      <w:r w:rsidR="0052008E" w:rsidRPr="002B598F">
        <w:rPr>
          <w:i/>
          <w:iCs/>
          <w:lang w:val="en-US"/>
        </w:rPr>
        <w:t xml:space="preserve">, </w:t>
      </w:r>
      <w:r w:rsidR="00664635" w:rsidRPr="002B598F">
        <w:rPr>
          <w:i/>
          <w:iCs/>
          <w:lang w:val="en-US"/>
        </w:rPr>
        <w:t>the incentive</w:t>
      </w:r>
      <w:r w:rsidR="001E2081" w:rsidRPr="002B598F">
        <w:rPr>
          <w:i/>
          <w:iCs/>
          <w:lang w:val="en-US"/>
        </w:rPr>
        <w:t xml:space="preserve"> to the effective use of governance mechanisms</w:t>
      </w:r>
      <w:r w:rsidR="002326CF" w:rsidRPr="002B598F">
        <w:rPr>
          <w:i/>
          <w:iCs/>
          <w:lang w:val="en-US"/>
        </w:rPr>
        <w:t xml:space="preserve"> </w:t>
      </w:r>
      <w:r w:rsidR="00786D4E" w:rsidRPr="002B598F">
        <w:rPr>
          <w:i/>
          <w:iCs/>
          <w:lang w:val="en-US"/>
        </w:rPr>
        <w:t>is highlighted. Thus</w:t>
      </w:r>
      <w:r w:rsidR="00783CA0" w:rsidRPr="002B598F">
        <w:rPr>
          <w:i/>
          <w:iCs/>
          <w:lang w:val="en-US"/>
        </w:rPr>
        <w:t>, in a national-level study,</w:t>
      </w:r>
      <w:r w:rsidR="005270B7" w:rsidRPr="002B598F">
        <w:rPr>
          <w:i/>
          <w:iCs/>
          <w:lang w:val="en-US"/>
        </w:rPr>
        <w:t xml:space="preserve"> the Federal Audit Court </w:t>
      </w:r>
      <w:r w:rsidR="00D460CB" w:rsidRPr="002B598F">
        <w:rPr>
          <w:i/>
          <w:iCs/>
          <w:lang w:val="en-US"/>
        </w:rPr>
        <w:t xml:space="preserve">established </w:t>
      </w:r>
      <w:r w:rsidR="00B44AC2" w:rsidRPr="002B598F">
        <w:rPr>
          <w:i/>
          <w:iCs/>
          <w:lang w:val="en-US"/>
        </w:rPr>
        <w:t xml:space="preserve">an integrated governance and </w:t>
      </w:r>
      <w:r w:rsidR="000C4CF6" w:rsidRPr="002B598F">
        <w:rPr>
          <w:i/>
          <w:iCs/>
          <w:lang w:val="en-US"/>
        </w:rPr>
        <w:t>management index</w:t>
      </w:r>
      <w:r w:rsidR="00A060B5" w:rsidRPr="002B598F">
        <w:rPr>
          <w:i/>
          <w:iCs/>
          <w:lang w:val="en-US"/>
        </w:rPr>
        <w:t>.</w:t>
      </w:r>
      <w:r w:rsidR="00415AD6" w:rsidRPr="002B598F">
        <w:rPr>
          <w:lang w:val="en-US"/>
        </w:rPr>
        <w:t xml:space="preserve"> </w:t>
      </w:r>
      <w:r w:rsidR="00415AD6" w:rsidRPr="002B598F">
        <w:rPr>
          <w:i/>
          <w:iCs/>
          <w:lang w:val="en-US"/>
        </w:rPr>
        <w:t>This broad study seeks to identify the way public resources are used in various aspects, under the principle that society longs for good results derived from the use of people's assets</w:t>
      </w:r>
      <w:r w:rsidR="007B1E45" w:rsidRPr="002B598F">
        <w:rPr>
          <w:lang w:val="en-US"/>
        </w:rPr>
        <w:t>.</w:t>
      </w:r>
      <w:r w:rsidR="00D95CD0" w:rsidRPr="002B598F">
        <w:rPr>
          <w:lang w:val="en-US"/>
        </w:rPr>
        <w:t xml:space="preserve"> </w:t>
      </w:r>
      <w:r w:rsidR="00D74CEB" w:rsidRPr="002B598F">
        <w:rPr>
          <w:i/>
          <w:iCs/>
          <w:lang w:val="en-US"/>
        </w:rPr>
        <w:t>In this re</w:t>
      </w:r>
      <w:r w:rsidR="00230DFC">
        <w:rPr>
          <w:i/>
          <w:iCs/>
          <w:lang w:val="en-US"/>
        </w:rPr>
        <w:t>spect</w:t>
      </w:r>
      <w:r w:rsidR="00D74CEB" w:rsidRPr="002B598F">
        <w:rPr>
          <w:i/>
          <w:iCs/>
          <w:lang w:val="en-US"/>
        </w:rPr>
        <w:t xml:space="preserve">, the present article </w:t>
      </w:r>
      <w:r w:rsidR="003B4DC2">
        <w:rPr>
          <w:i/>
          <w:iCs/>
          <w:lang w:val="en-US"/>
        </w:rPr>
        <w:t>aims</w:t>
      </w:r>
      <w:r w:rsidR="00D74CEB" w:rsidRPr="002B598F">
        <w:rPr>
          <w:i/>
          <w:iCs/>
          <w:lang w:val="en-US"/>
        </w:rPr>
        <w:t xml:space="preserve"> to confront this predictable indicator as a result of the joint effort of </w:t>
      </w:r>
      <w:r w:rsidR="007D7BDA">
        <w:rPr>
          <w:i/>
          <w:iCs/>
          <w:lang w:val="en-US"/>
        </w:rPr>
        <w:t>several</w:t>
      </w:r>
      <w:r w:rsidR="00D74CEB" w:rsidRPr="002B598F">
        <w:rPr>
          <w:i/>
          <w:iCs/>
          <w:lang w:val="en-US"/>
        </w:rPr>
        <w:t xml:space="preserve"> control agencies, under the conduction of maximum </w:t>
      </w:r>
      <w:r w:rsidR="00B826CC" w:rsidRPr="002B598F">
        <w:rPr>
          <w:i/>
          <w:iCs/>
          <w:lang w:val="en-US"/>
        </w:rPr>
        <w:t>Audit Court</w:t>
      </w:r>
      <w:r w:rsidR="000B04BE" w:rsidRPr="002B598F">
        <w:rPr>
          <w:i/>
          <w:iCs/>
          <w:lang w:val="en-US"/>
        </w:rPr>
        <w:t xml:space="preserve">. </w:t>
      </w:r>
      <w:r w:rsidR="00A55D3F">
        <w:rPr>
          <w:i/>
          <w:iCs/>
          <w:lang w:val="en-US"/>
        </w:rPr>
        <w:t>In order t</w:t>
      </w:r>
      <w:r w:rsidR="00F241C6" w:rsidRPr="002B598F">
        <w:rPr>
          <w:i/>
          <w:iCs/>
          <w:lang w:val="en-US"/>
        </w:rPr>
        <w:t xml:space="preserve">o make such comparison possible, </w:t>
      </w:r>
      <w:r w:rsidR="00E37A43" w:rsidRPr="002B598F">
        <w:rPr>
          <w:i/>
          <w:iCs/>
          <w:lang w:val="en-US"/>
        </w:rPr>
        <w:t xml:space="preserve">it was necessary </w:t>
      </w:r>
      <w:r w:rsidR="00F241C6" w:rsidRPr="002B598F">
        <w:rPr>
          <w:i/>
          <w:iCs/>
          <w:lang w:val="en-US"/>
        </w:rPr>
        <w:t xml:space="preserve">to measure quantitatively the benefit generated to society by a certain </w:t>
      </w:r>
      <w:r w:rsidR="008638F1" w:rsidRPr="002B598F">
        <w:rPr>
          <w:i/>
          <w:iCs/>
          <w:lang w:val="en-US"/>
        </w:rPr>
        <w:t>group</w:t>
      </w:r>
      <w:r w:rsidR="00F241C6" w:rsidRPr="002B598F">
        <w:rPr>
          <w:i/>
          <w:iCs/>
          <w:lang w:val="en-US"/>
        </w:rPr>
        <w:t xml:space="preserve"> of institutions evaluated by the index</w:t>
      </w:r>
      <w:r w:rsidR="007B1E45" w:rsidRPr="002B598F">
        <w:rPr>
          <w:lang w:val="en-US"/>
        </w:rPr>
        <w:t>.</w:t>
      </w:r>
      <w:r w:rsidR="007E78C8" w:rsidRPr="002B598F">
        <w:rPr>
          <w:i/>
          <w:iCs/>
          <w:lang w:val="en-US"/>
        </w:rPr>
        <w:t xml:space="preserve"> For this, an evaluation historically performed by the Ministry of Education regarding the quality of Higher Education Institutions, the General Course Index, was used</w:t>
      </w:r>
      <w:r w:rsidR="00247F95" w:rsidRPr="002B598F">
        <w:rPr>
          <w:i/>
          <w:iCs/>
          <w:lang w:val="en-US"/>
        </w:rPr>
        <w:t>.</w:t>
      </w:r>
      <w:r w:rsidR="006A4D21" w:rsidRPr="002B598F">
        <w:rPr>
          <w:lang w:val="en-US"/>
        </w:rPr>
        <w:t xml:space="preserve"> </w:t>
      </w:r>
      <w:r w:rsidR="00B44687">
        <w:rPr>
          <w:i/>
          <w:iCs/>
          <w:lang w:val="en-US"/>
        </w:rPr>
        <w:t>There</w:t>
      </w:r>
      <w:r w:rsidR="006115BE">
        <w:rPr>
          <w:i/>
          <w:iCs/>
          <w:lang w:val="en-US"/>
        </w:rPr>
        <w:t>fore</w:t>
      </w:r>
      <w:r w:rsidR="006A4D21" w:rsidRPr="002B598F">
        <w:rPr>
          <w:i/>
          <w:iCs/>
          <w:lang w:val="en-US"/>
        </w:rPr>
        <w:t xml:space="preserve">, by comparing two indicators used at the national level, but initially uncorrelated, </w:t>
      </w:r>
      <w:r w:rsidR="00B37034" w:rsidRPr="002B598F">
        <w:rPr>
          <w:i/>
          <w:iCs/>
          <w:lang w:val="en-US"/>
        </w:rPr>
        <w:t>it was</w:t>
      </w:r>
      <w:r w:rsidR="006A4D21" w:rsidRPr="002B598F">
        <w:rPr>
          <w:i/>
          <w:iCs/>
          <w:lang w:val="en-US"/>
        </w:rPr>
        <w:t xml:space="preserve"> investigate</w:t>
      </w:r>
      <w:r w:rsidR="00B37034" w:rsidRPr="002B598F">
        <w:rPr>
          <w:i/>
          <w:iCs/>
          <w:lang w:val="en-US"/>
        </w:rPr>
        <w:t>d</w:t>
      </w:r>
      <w:r w:rsidR="006A4D21" w:rsidRPr="002B598F">
        <w:rPr>
          <w:i/>
          <w:iCs/>
          <w:lang w:val="en-US"/>
        </w:rPr>
        <w:t xml:space="preserve"> whether institutions positioned in good governance levels are equally effective in delivering </w:t>
      </w:r>
      <w:r w:rsidR="00A322D8" w:rsidRPr="002B598F">
        <w:rPr>
          <w:i/>
          <w:iCs/>
          <w:lang w:val="en-US"/>
        </w:rPr>
        <w:t>successful results</w:t>
      </w:r>
      <w:r w:rsidR="00B579A1" w:rsidRPr="002B598F">
        <w:rPr>
          <w:i/>
          <w:iCs/>
          <w:lang w:val="en-US"/>
        </w:rPr>
        <w:t xml:space="preserve"> on the</w:t>
      </w:r>
      <w:r w:rsidR="006A4D21" w:rsidRPr="002B598F">
        <w:rPr>
          <w:i/>
          <w:iCs/>
          <w:lang w:val="en-US"/>
        </w:rPr>
        <w:t xml:space="preserve"> activity they are tasked to provide to society.</w:t>
      </w:r>
      <w:r w:rsidR="007B6CBA" w:rsidRPr="002B598F">
        <w:rPr>
          <w:i/>
          <w:iCs/>
          <w:lang w:val="en-US"/>
        </w:rPr>
        <w:t xml:space="preserve"> </w:t>
      </w:r>
      <w:r w:rsidR="001D35E5">
        <w:rPr>
          <w:i/>
          <w:iCs/>
          <w:lang w:val="en-US"/>
        </w:rPr>
        <w:t>By means of these</w:t>
      </w:r>
      <w:r w:rsidR="007B6CBA" w:rsidRPr="002B598F">
        <w:rPr>
          <w:i/>
          <w:iCs/>
          <w:lang w:val="en-US"/>
        </w:rPr>
        <w:t xml:space="preserve"> analyzes</w:t>
      </w:r>
      <w:r w:rsidR="00EC3C0F">
        <w:rPr>
          <w:i/>
          <w:iCs/>
          <w:lang w:val="en-US"/>
        </w:rPr>
        <w:t xml:space="preserve">, </w:t>
      </w:r>
      <w:r w:rsidR="00EC0A78">
        <w:rPr>
          <w:i/>
          <w:iCs/>
          <w:lang w:val="en-US"/>
        </w:rPr>
        <w:t xml:space="preserve">it was possible to </w:t>
      </w:r>
      <w:r w:rsidR="007B6CBA" w:rsidRPr="002B598F">
        <w:rPr>
          <w:i/>
          <w:iCs/>
          <w:lang w:val="en-US"/>
        </w:rPr>
        <w:t xml:space="preserve">conclude that the governance capacity presented higher levels of correlation </w:t>
      </w:r>
      <w:r w:rsidR="00861C2C">
        <w:rPr>
          <w:i/>
          <w:iCs/>
          <w:lang w:val="en-US"/>
        </w:rPr>
        <w:t>among the</w:t>
      </w:r>
      <w:r w:rsidR="007B6CBA" w:rsidRPr="002B598F">
        <w:rPr>
          <w:i/>
          <w:iCs/>
          <w:lang w:val="en-US"/>
        </w:rPr>
        <w:t xml:space="preserve"> results of the</w:t>
      </w:r>
      <w:r w:rsidR="00733F6F">
        <w:rPr>
          <w:i/>
          <w:iCs/>
          <w:lang w:val="en-US"/>
        </w:rPr>
        <w:t xml:space="preserve"> </w:t>
      </w:r>
      <w:r w:rsidR="007B6CBA" w:rsidRPr="002B598F">
        <w:rPr>
          <w:i/>
          <w:iCs/>
          <w:lang w:val="en-US"/>
        </w:rPr>
        <w:t>midsize institutions</w:t>
      </w:r>
      <w:r w:rsidR="00733F6F">
        <w:rPr>
          <w:i/>
          <w:iCs/>
          <w:lang w:val="en-US"/>
        </w:rPr>
        <w:t xml:space="preserve"> </w:t>
      </w:r>
      <w:r w:rsidR="00733F6F" w:rsidRPr="002B598F">
        <w:rPr>
          <w:i/>
          <w:iCs/>
          <w:lang w:val="en-US"/>
        </w:rPr>
        <w:t>group</w:t>
      </w:r>
      <w:r w:rsidR="007B6CBA" w:rsidRPr="002B598F">
        <w:rPr>
          <w:i/>
          <w:iCs/>
          <w:lang w:val="en-US"/>
        </w:rPr>
        <w:t xml:space="preserve"> </w:t>
      </w:r>
      <w:r w:rsidR="0028227F">
        <w:rPr>
          <w:i/>
          <w:iCs/>
          <w:lang w:val="en-US"/>
        </w:rPr>
        <w:t>concerning the</w:t>
      </w:r>
      <w:r w:rsidR="007B6CBA" w:rsidRPr="002B598F">
        <w:rPr>
          <w:i/>
          <w:iCs/>
          <w:lang w:val="en-US"/>
        </w:rPr>
        <w:t xml:space="preserve"> gross revenue</w:t>
      </w:r>
      <w:r w:rsidR="00B61DA2" w:rsidRPr="002B598F">
        <w:rPr>
          <w:i/>
          <w:iCs/>
          <w:lang w:val="en-US"/>
        </w:rPr>
        <w:t xml:space="preserve">. Moreover, </w:t>
      </w:r>
      <w:r w:rsidR="00117D12">
        <w:rPr>
          <w:i/>
          <w:iCs/>
          <w:lang w:val="en-US"/>
        </w:rPr>
        <w:t>they</w:t>
      </w:r>
      <w:r w:rsidR="00B61DA2" w:rsidRPr="002B598F">
        <w:rPr>
          <w:i/>
          <w:iCs/>
          <w:lang w:val="en-US"/>
        </w:rPr>
        <w:t xml:space="preserve"> demonstrated that practices related to people management and information technology presented higher degrees of correlation with the results.</w:t>
      </w:r>
      <w:r w:rsidR="009838E6">
        <w:rPr>
          <w:i/>
          <w:iCs/>
          <w:lang w:val="en-US"/>
        </w:rPr>
        <w:t xml:space="preserve"> </w:t>
      </w:r>
    </w:p>
    <w:p w14:paraId="2FC3AB7B" w14:textId="77777777" w:rsidR="007B1E45" w:rsidRPr="002B598F" w:rsidRDefault="007B1E45" w:rsidP="007B1E45">
      <w:pPr>
        <w:ind w:firstLine="0"/>
        <w:rPr>
          <w:lang w:val="en-US"/>
        </w:rPr>
      </w:pPr>
    </w:p>
    <w:p w14:paraId="0096540C" w14:textId="129159F5" w:rsidR="007B1E45" w:rsidRPr="00526AC0" w:rsidRDefault="00785CC5" w:rsidP="007B1E45">
      <w:pPr>
        <w:spacing w:after="168"/>
        <w:ind w:firstLine="0"/>
        <w:rPr>
          <w:rFonts w:cs="Times New Roman"/>
          <w:i/>
          <w:iCs/>
          <w:szCs w:val="24"/>
          <w:shd w:val="clear" w:color="auto" w:fill="FFFFFF"/>
          <w:lang w:val="en-US"/>
        </w:rPr>
      </w:pPr>
      <w:r w:rsidRPr="00526AC0">
        <w:rPr>
          <w:b/>
          <w:i/>
          <w:iCs/>
          <w:lang w:val="en-US"/>
        </w:rPr>
        <w:t>Keywords</w:t>
      </w:r>
      <w:r w:rsidR="007B1E45" w:rsidRPr="00526AC0">
        <w:rPr>
          <w:b/>
          <w:i/>
          <w:iCs/>
          <w:lang w:val="en-US"/>
        </w:rPr>
        <w:t>:</w:t>
      </w:r>
      <w:r w:rsidR="007B1E45" w:rsidRPr="00526AC0">
        <w:rPr>
          <w:i/>
          <w:iCs/>
          <w:lang w:val="en-US"/>
        </w:rPr>
        <w:t xml:space="preserve"> </w:t>
      </w:r>
      <w:r w:rsidR="0085425E" w:rsidRPr="00526AC0">
        <w:rPr>
          <w:i/>
          <w:iCs/>
          <w:lang w:val="en-US"/>
        </w:rPr>
        <w:t xml:space="preserve">public </w:t>
      </w:r>
      <w:r w:rsidR="007B1E45" w:rsidRPr="00526AC0">
        <w:rPr>
          <w:i/>
          <w:iCs/>
          <w:lang w:val="en-US"/>
        </w:rPr>
        <w:t>govern</w:t>
      </w:r>
      <w:r w:rsidRPr="00526AC0">
        <w:rPr>
          <w:i/>
          <w:iCs/>
          <w:lang w:val="en-US"/>
        </w:rPr>
        <w:t>ance</w:t>
      </w:r>
      <w:r w:rsidR="007B1E45" w:rsidRPr="00526AC0">
        <w:rPr>
          <w:i/>
          <w:iCs/>
          <w:lang w:val="en-US"/>
        </w:rPr>
        <w:t xml:space="preserve">. </w:t>
      </w:r>
      <w:r w:rsidR="006868EF">
        <w:rPr>
          <w:i/>
          <w:iCs/>
          <w:lang w:val="en-US"/>
        </w:rPr>
        <w:t xml:space="preserve">public sector </w:t>
      </w:r>
      <w:r w:rsidR="008A3136">
        <w:rPr>
          <w:i/>
          <w:iCs/>
          <w:lang w:val="en-US"/>
        </w:rPr>
        <w:t>perf</w:t>
      </w:r>
      <w:r w:rsidR="006868EF">
        <w:rPr>
          <w:i/>
          <w:iCs/>
          <w:lang w:val="en-US"/>
        </w:rPr>
        <w:t>ormance</w:t>
      </w:r>
      <w:r w:rsidR="007B1E45" w:rsidRPr="00526AC0">
        <w:rPr>
          <w:i/>
          <w:iCs/>
          <w:lang w:val="en-US"/>
        </w:rPr>
        <w:t xml:space="preserve">. </w:t>
      </w:r>
      <w:r w:rsidR="00ED6F71" w:rsidRPr="00526AC0">
        <w:rPr>
          <w:i/>
          <w:iCs/>
          <w:lang w:val="en-US"/>
        </w:rPr>
        <w:t>accountability</w:t>
      </w:r>
      <w:r w:rsidR="007B1E45" w:rsidRPr="00526AC0">
        <w:rPr>
          <w:i/>
          <w:iCs/>
          <w:lang w:val="en-US"/>
        </w:rPr>
        <w:t>.</w:t>
      </w:r>
    </w:p>
    <w:p w14:paraId="30B4A0FE" w14:textId="77777777" w:rsidR="00221216" w:rsidRPr="00785CC5" w:rsidRDefault="00221216" w:rsidP="00CD7207">
      <w:pPr>
        <w:spacing w:after="168"/>
        <w:rPr>
          <w:rFonts w:eastAsia="Arial Unicode MS" w:cs="Times New Roman"/>
          <w:szCs w:val="24"/>
          <w:shd w:val="clear" w:color="auto" w:fill="FFFFFF"/>
          <w:lang w:val="en-US"/>
        </w:rPr>
      </w:pPr>
    </w:p>
    <w:p w14:paraId="1C90F67C" w14:textId="77777777" w:rsidR="00221216" w:rsidRPr="00785CC5" w:rsidRDefault="00221216" w:rsidP="00CD7207">
      <w:pPr>
        <w:spacing w:after="168"/>
        <w:rPr>
          <w:rFonts w:eastAsia="Arial Unicode MS" w:cs="Times New Roman"/>
          <w:szCs w:val="24"/>
          <w:shd w:val="clear" w:color="auto" w:fill="FFFFFF"/>
          <w:lang w:val="en-US"/>
        </w:rPr>
      </w:pPr>
    </w:p>
    <w:p w14:paraId="004CAE18" w14:textId="77777777" w:rsidR="00221216" w:rsidRPr="00785CC5" w:rsidRDefault="00221216" w:rsidP="00CD7207">
      <w:pPr>
        <w:spacing w:after="168"/>
        <w:rPr>
          <w:rFonts w:eastAsia="Arial Unicode MS" w:cs="Times New Roman"/>
          <w:szCs w:val="24"/>
          <w:shd w:val="clear" w:color="auto" w:fill="FFFFFF"/>
          <w:lang w:val="en-US"/>
        </w:rPr>
      </w:pPr>
    </w:p>
    <w:p w14:paraId="18BF874B" w14:textId="77777777" w:rsidR="00221216" w:rsidRPr="00785CC5" w:rsidRDefault="00221216" w:rsidP="00CD7207">
      <w:pPr>
        <w:spacing w:after="168"/>
        <w:rPr>
          <w:rFonts w:eastAsia="Arial Unicode MS" w:cs="Times New Roman"/>
          <w:szCs w:val="24"/>
          <w:shd w:val="clear" w:color="auto" w:fill="FFFFFF"/>
          <w:lang w:val="en-US"/>
        </w:rPr>
      </w:pPr>
    </w:p>
    <w:p w14:paraId="06B6010C" w14:textId="77777777" w:rsidR="00221216" w:rsidRPr="00785CC5" w:rsidRDefault="00221216" w:rsidP="00CD7207">
      <w:pPr>
        <w:spacing w:after="168"/>
        <w:rPr>
          <w:rFonts w:eastAsia="Arial Unicode MS" w:cs="Times New Roman"/>
          <w:szCs w:val="24"/>
          <w:shd w:val="clear" w:color="auto" w:fill="FFFFFF"/>
          <w:lang w:val="en-US"/>
        </w:rPr>
      </w:pPr>
    </w:p>
    <w:p w14:paraId="0F52DF11" w14:textId="77777777" w:rsidR="00221216" w:rsidRPr="00785CC5" w:rsidRDefault="00221216" w:rsidP="00CD7207">
      <w:pPr>
        <w:spacing w:after="168"/>
        <w:rPr>
          <w:rFonts w:eastAsia="Arial Unicode MS" w:cs="Times New Roman"/>
          <w:szCs w:val="24"/>
          <w:shd w:val="clear" w:color="auto" w:fill="FFFFFF"/>
          <w:lang w:val="en-US"/>
        </w:rPr>
      </w:pPr>
    </w:p>
    <w:p w14:paraId="14C6729B" w14:textId="69BFD89A" w:rsidR="009318C7" w:rsidRPr="00785CC5" w:rsidRDefault="009318C7" w:rsidP="70C777D9">
      <w:pPr>
        <w:spacing w:line="276" w:lineRule="auto"/>
        <w:ind w:firstLine="0"/>
        <w:jc w:val="left"/>
        <w:rPr>
          <w:rFonts w:eastAsia="Arial Unicode MS" w:cs="Times New Roman"/>
          <w:b/>
          <w:bCs/>
          <w:caps/>
          <w:lang w:val="en-US" w:eastAsia="ar-SA"/>
        </w:rPr>
      </w:pPr>
      <w:r w:rsidRPr="00785CC5">
        <w:rPr>
          <w:rFonts w:eastAsia="Arial Unicode MS" w:cs="Times New Roman"/>
          <w:lang w:val="en-US"/>
        </w:rPr>
        <w:br w:type="page"/>
      </w:r>
    </w:p>
    <w:p w14:paraId="5AD05A9F" w14:textId="77777777" w:rsidR="00B33BA1" w:rsidRPr="00785CC5" w:rsidRDefault="00B33BA1" w:rsidP="00DD7728">
      <w:pPr>
        <w:pStyle w:val="Ttulo1"/>
        <w:rPr>
          <w:rFonts w:eastAsia="Arial Unicode MS" w:cs="Times New Roman"/>
          <w:sz w:val="24"/>
          <w:szCs w:val="24"/>
          <w:shd w:val="clear" w:color="auto" w:fill="FFFFFF"/>
          <w:lang w:val="en-US"/>
        </w:rPr>
        <w:sectPr w:rsidR="00B33BA1" w:rsidRPr="00785CC5" w:rsidSect="00C718DF">
          <w:headerReference w:type="default" r:id="rId9"/>
          <w:pgSz w:w="11906" w:h="16838"/>
          <w:pgMar w:top="1701" w:right="1134" w:bottom="1134" w:left="1701" w:header="709" w:footer="709" w:gutter="0"/>
          <w:pgNumType w:fmt="lowerRoman" w:start="2"/>
          <w:cols w:space="708"/>
          <w:docGrid w:linePitch="360"/>
        </w:sectPr>
      </w:pPr>
    </w:p>
    <w:p w14:paraId="06317449" w14:textId="12D695AE" w:rsidR="002C4A86" w:rsidRPr="00350122" w:rsidRDefault="00DD7728" w:rsidP="00DD7728">
      <w:pPr>
        <w:pStyle w:val="Ttulo1"/>
        <w:rPr>
          <w:rFonts w:eastAsia="Arial Unicode MS" w:cs="Times New Roman"/>
          <w:sz w:val="24"/>
          <w:szCs w:val="24"/>
          <w:shd w:val="clear" w:color="auto" w:fill="FFFFFF"/>
        </w:rPr>
      </w:pPr>
      <w:r w:rsidRPr="00350122">
        <w:rPr>
          <w:rFonts w:eastAsia="Arial Unicode MS" w:cs="Times New Roman"/>
          <w:sz w:val="24"/>
          <w:szCs w:val="24"/>
          <w:shd w:val="clear" w:color="auto" w:fill="FFFFFF"/>
        </w:rPr>
        <w:lastRenderedPageBreak/>
        <w:t xml:space="preserve">1 </w:t>
      </w:r>
      <w:r w:rsidR="002C4A86" w:rsidRPr="00350122">
        <w:rPr>
          <w:rFonts w:eastAsia="Arial Unicode MS" w:cs="Times New Roman"/>
          <w:sz w:val="24"/>
          <w:szCs w:val="24"/>
          <w:shd w:val="clear" w:color="auto" w:fill="FFFFFF"/>
        </w:rPr>
        <w:t>INTRODUÇÃO</w:t>
      </w:r>
    </w:p>
    <w:p w14:paraId="3246C4ED" w14:textId="50521E54" w:rsidR="007C7CE2" w:rsidRPr="00350122" w:rsidRDefault="007C7CE2" w:rsidP="4FAD4B60">
      <w:pPr>
        <w:spacing w:after="168"/>
        <w:jc w:val="left"/>
      </w:pPr>
    </w:p>
    <w:p w14:paraId="7E32B0C0" w14:textId="43CF6B0F" w:rsidR="007D5C61" w:rsidRPr="00793DFC" w:rsidRDefault="00793DFC" w:rsidP="4FAD4B60">
      <w:pPr>
        <w:rPr>
          <w:shd w:val="clear" w:color="auto" w:fill="FFFFFF"/>
        </w:rPr>
      </w:pPr>
      <w:r w:rsidRPr="4FAD4B60">
        <w:rPr>
          <w:shd w:val="clear" w:color="auto" w:fill="FFFFFF"/>
        </w:rPr>
        <w:t xml:space="preserve">A </w:t>
      </w:r>
      <w:r w:rsidR="007D5C61" w:rsidRPr="4FAD4B60">
        <w:rPr>
          <w:shd w:val="clear" w:color="auto" w:fill="FFFFFF"/>
        </w:rPr>
        <w:t xml:space="preserve">governança </w:t>
      </w:r>
      <w:r w:rsidRPr="4FAD4B60">
        <w:rPr>
          <w:shd w:val="clear" w:color="auto" w:fill="FFFFFF"/>
        </w:rPr>
        <w:t>pública pode ser compreendida por meio de duas dimensões</w:t>
      </w:r>
      <w:r w:rsidR="007D5C61" w:rsidRPr="4FAD4B60">
        <w:rPr>
          <w:shd w:val="clear" w:color="auto" w:fill="FFFFFF"/>
        </w:rPr>
        <w:t xml:space="preserve">: a </w:t>
      </w:r>
      <w:r w:rsidRPr="4FAD4B60">
        <w:rPr>
          <w:shd w:val="clear" w:color="auto" w:fill="FFFFFF"/>
        </w:rPr>
        <w:t xml:space="preserve">capacidade </w:t>
      </w:r>
      <w:r w:rsidR="007D5C61" w:rsidRPr="4FAD4B60">
        <w:rPr>
          <w:shd w:val="clear" w:color="auto" w:fill="FFFFFF"/>
        </w:rPr>
        <w:t xml:space="preserve">financeira e a </w:t>
      </w:r>
      <w:r w:rsidRPr="4FAD4B60">
        <w:rPr>
          <w:shd w:val="clear" w:color="auto" w:fill="FFFFFF"/>
        </w:rPr>
        <w:t xml:space="preserve">capacidade </w:t>
      </w:r>
      <w:r w:rsidR="007D5C61" w:rsidRPr="4FAD4B60">
        <w:rPr>
          <w:shd w:val="clear" w:color="auto" w:fill="FFFFFF"/>
        </w:rPr>
        <w:t xml:space="preserve">administrativa. </w:t>
      </w:r>
      <w:r w:rsidRPr="4FAD4B60">
        <w:rPr>
          <w:shd w:val="clear" w:color="auto" w:fill="FFFFFF"/>
        </w:rPr>
        <w:t xml:space="preserve">A dimensão mais estudada na esfera pública é a capacidade financeira, relativa à </w:t>
      </w:r>
      <w:r w:rsidR="007D5C61" w:rsidRPr="4FAD4B60">
        <w:rPr>
          <w:shd w:val="clear" w:color="auto" w:fill="FFFFFF"/>
        </w:rPr>
        <w:t>disponibili</w:t>
      </w:r>
      <w:r w:rsidRPr="4FAD4B60">
        <w:rPr>
          <w:shd w:val="clear" w:color="auto" w:fill="FFFFFF"/>
        </w:rPr>
        <w:t xml:space="preserve">zação </w:t>
      </w:r>
      <w:r w:rsidR="007D5C61" w:rsidRPr="4FAD4B60">
        <w:rPr>
          <w:shd w:val="clear" w:color="auto" w:fill="FFFFFF"/>
        </w:rPr>
        <w:t>de recursos para investimentos</w:t>
      </w:r>
      <w:r w:rsidRPr="4FAD4B60">
        <w:rPr>
          <w:shd w:val="clear" w:color="auto" w:fill="FFFFFF"/>
        </w:rPr>
        <w:t xml:space="preserve"> e implementação de </w:t>
      </w:r>
      <w:r w:rsidR="007D5C61" w:rsidRPr="4FAD4B60">
        <w:rPr>
          <w:shd w:val="clear" w:color="auto" w:fill="FFFFFF"/>
        </w:rPr>
        <w:t xml:space="preserve">políticas </w:t>
      </w:r>
      <w:r w:rsidRPr="4FAD4B60">
        <w:rPr>
          <w:shd w:val="clear" w:color="auto" w:fill="FFFFFF"/>
        </w:rPr>
        <w:t>públicas</w:t>
      </w:r>
      <w:r w:rsidR="007D5C61" w:rsidRPr="4FAD4B60">
        <w:rPr>
          <w:shd w:val="clear" w:color="auto" w:fill="FFFFFF"/>
        </w:rPr>
        <w:t xml:space="preserve">. </w:t>
      </w:r>
      <w:r w:rsidRPr="4FAD4B60">
        <w:rPr>
          <w:shd w:val="clear" w:color="auto" w:fill="FFFFFF"/>
        </w:rPr>
        <w:t xml:space="preserve">Já a segunda dimensão, a capacidade administrativa é menos frequente nos trabalhos de governança pública e diz </w:t>
      </w:r>
      <w:r w:rsidR="007D5C61" w:rsidRPr="4FAD4B60">
        <w:rPr>
          <w:shd w:val="clear" w:color="auto" w:fill="FFFFFF"/>
        </w:rPr>
        <w:t xml:space="preserve">respeito à disponibilidade </w:t>
      </w:r>
      <w:r w:rsidRPr="4FAD4B60">
        <w:rPr>
          <w:shd w:val="clear" w:color="auto" w:fill="FFFFFF"/>
        </w:rPr>
        <w:t xml:space="preserve">de quadro de pessoal, ao </w:t>
      </w:r>
      <w:r w:rsidR="007D5C61" w:rsidRPr="4FAD4B60">
        <w:rPr>
          <w:shd w:val="clear" w:color="auto" w:fill="FFFFFF"/>
        </w:rPr>
        <w:t>estilo de gestão e aos limites impostos à ação administrativa (GRAÇAS RUA, 2014).</w:t>
      </w:r>
    </w:p>
    <w:p w14:paraId="7C63F9E3" w14:textId="1545C720" w:rsidR="008B0C1B" w:rsidRPr="00AD6C54" w:rsidRDefault="00793DFC" w:rsidP="007D5C61">
      <w:pPr>
        <w:rPr>
          <w:shd w:val="clear" w:color="auto" w:fill="FFFFFF"/>
        </w:rPr>
      </w:pPr>
      <w:r>
        <w:rPr>
          <w:shd w:val="clear" w:color="auto" w:fill="FFFFFF"/>
        </w:rPr>
        <w:t>Buscando contribuir com a dimensão da capacidade administrativa da governança pública, o</w:t>
      </w:r>
      <w:r w:rsidR="008B0C1B" w:rsidRPr="00AD6C54">
        <w:rPr>
          <w:shd w:val="clear" w:color="auto" w:fill="FFFFFF"/>
        </w:rPr>
        <w:t xml:space="preserve"> presente estudo </w:t>
      </w:r>
      <w:r>
        <w:rPr>
          <w:shd w:val="clear" w:color="auto" w:fill="FFFFFF"/>
        </w:rPr>
        <w:t xml:space="preserve">abordará </w:t>
      </w:r>
      <w:r w:rsidR="00CB7398">
        <w:rPr>
          <w:shd w:val="clear" w:color="auto" w:fill="FFFFFF"/>
        </w:rPr>
        <w:t xml:space="preserve">como as </w:t>
      </w:r>
      <w:r w:rsidR="008B0C1B" w:rsidRPr="00AD6C54">
        <w:rPr>
          <w:shd w:val="clear" w:color="auto" w:fill="FFFFFF"/>
        </w:rPr>
        <w:t xml:space="preserve">boas práticas na gestão </w:t>
      </w:r>
      <w:r w:rsidR="00CB7398">
        <w:rPr>
          <w:shd w:val="clear" w:color="auto" w:fill="FFFFFF"/>
        </w:rPr>
        <w:t xml:space="preserve">podem proporcionar melhores serviços públicos na esfera da educação superior. Parte-se do pressuposto de que a dimensão da capacidade administrativa da governança pública </w:t>
      </w:r>
      <w:r w:rsidR="00CB7398" w:rsidRPr="00AD6C54">
        <w:rPr>
          <w:shd w:val="clear" w:color="auto" w:fill="FFFFFF"/>
        </w:rPr>
        <w:t>se</w:t>
      </w:r>
      <w:r w:rsidR="00CB7398">
        <w:rPr>
          <w:shd w:val="clear" w:color="auto" w:fill="FFFFFF"/>
        </w:rPr>
        <w:t>ja capaz de induzir transformações na gestão, conforme ressaltam</w:t>
      </w:r>
      <w:r w:rsidR="008B0C1B" w:rsidRPr="00AD6C54">
        <w:rPr>
          <w:shd w:val="clear" w:color="auto" w:fill="FFFFFF"/>
        </w:rPr>
        <w:t xml:space="preserve"> </w:t>
      </w:r>
      <w:proofErr w:type="spellStart"/>
      <w:r w:rsidR="008B0C1B" w:rsidRPr="00AD6C54">
        <w:rPr>
          <w:shd w:val="clear" w:color="auto" w:fill="FFFFFF"/>
        </w:rPr>
        <w:t>Kissler</w:t>
      </w:r>
      <w:proofErr w:type="spellEnd"/>
      <w:r w:rsidR="00F54937" w:rsidRPr="00AD6C54">
        <w:rPr>
          <w:shd w:val="clear" w:color="auto" w:fill="FFFFFF"/>
        </w:rPr>
        <w:t xml:space="preserve"> e</w:t>
      </w:r>
      <w:r w:rsidR="008B0C1B" w:rsidRPr="00AD6C54">
        <w:rPr>
          <w:shd w:val="clear" w:color="auto" w:fill="FFFFFF"/>
        </w:rPr>
        <w:t xml:space="preserve"> </w:t>
      </w:r>
      <w:proofErr w:type="spellStart"/>
      <w:r w:rsidR="008B0C1B" w:rsidRPr="00AD6C54">
        <w:rPr>
          <w:shd w:val="clear" w:color="auto" w:fill="FFFFFF"/>
        </w:rPr>
        <w:t>Heidemann</w:t>
      </w:r>
      <w:proofErr w:type="spellEnd"/>
      <w:r w:rsidR="00AC2DB4" w:rsidRPr="00AD6C54">
        <w:rPr>
          <w:shd w:val="clear" w:color="auto" w:fill="FFFFFF"/>
        </w:rPr>
        <w:t xml:space="preserve"> (2006)</w:t>
      </w:r>
      <w:r w:rsidR="00F90C5A">
        <w:rPr>
          <w:shd w:val="clear" w:color="auto" w:fill="FFFFFF"/>
        </w:rPr>
        <w:t xml:space="preserve">. </w:t>
      </w:r>
      <w:r w:rsidR="00430AB5">
        <w:rPr>
          <w:shd w:val="clear" w:color="auto" w:fill="FFFFFF"/>
        </w:rPr>
        <w:t>As mudanças se dão pela</w:t>
      </w:r>
      <w:r w:rsidR="00CB7398">
        <w:rPr>
          <w:shd w:val="clear" w:color="auto" w:fill="FFFFFF"/>
        </w:rPr>
        <w:t xml:space="preserve"> incorpora</w:t>
      </w:r>
      <w:r w:rsidR="00430AB5">
        <w:rPr>
          <w:shd w:val="clear" w:color="auto" w:fill="FFFFFF"/>
        </w:rPr>
        <w:t>ção</w:t>
      </w:r>
      <w:r w:rsidR="00CB7398">
        <w:rPr>
          <w:shd w:val="clear" w:color="auto" w:fill="FFFFFF"/>
        </w:rPr>
        <w:t xml:space="preserve"> </w:t>
      </w:r>
      <w:r w:rsidR="00430AB5">
        <w:rPr>
          <w:shd w:val="clear" w:color="auto" w:fill="FFFFFF"/>
        </w:rPr>
        <w:t>n</w:t>
      </w:r>
      <w:r w:rsidR="00CB7398">
        <w:rPr>
          <w:shd w:val="clear" w:color="auto" w:fill="FFFFFF"/>
        </w:rPr>
        <w:t>os</w:t>
      </w:r>
      <w:r w:rsidR="00787F9C" w:rsidRPr="00AD6C54">
        <w:rPr>
          <w:shd w:val="clear" w:color="auto" w:fill="FFFFFF"/>
        </w:rPr>
        <w:t xml:space="preserve"> aspectos social, econômico e político</w:t>
      </w:r>
      <w:r w:rsidR="00593AB9">
        <w:rPr>
          <w:shd w:val="clear" w:color="auto" w:fill="FFFFFF"/>
        </w:rPr>
        <w:t xml:space="preserve"> de modo a</w:t>
      </w:r>
      <w:r w:rsidR="00787F9C" w:rsidRPr="00AD6C54">
        <w:rPr>
          <w:shd w:val="clear" w:color="auto" w:fill="FFFFFF"/>
        </w:rPr>
        <w:t xml:space="preserve"> revoluciona</w:t>
      </w:r>
      <w:r w:rsidR="00593AB9">
        <w:rPr>
          <w:shd w:val="clear" w:color="auto" w:fill="FFFFFF"/>
        </w:rPr>
        <w:t>r</w:t>
      </w:r>
      <w:r w:rsidR="00787F9C" w:rsidRPr="00AD6C54">
        <w:rPr>
          <w:shd w:val="clear" w:color="auto" w:fill="FFFFFF"/>
        </w:rPr>
        <w:t xml:space="preserve"> </w:t>
      </w:r>
      <w:r w:rsidR="00430AB5">
        <w:rPr>
          <w:shd w:val="clear" w:color="auto" w:fill="FFFFFF"/>
        </w:rPr>
        <w:t>a maneira</w:t>
      </w:r>
      <w:r w:rsidR="00787F9C" w:rsidRPr="00AD6C54">
        <w:rPr>
          <w:shd w:val="clear" w:color="auto" w:fill="FFFFFF"/>
        </w:rPr>
        <w:t xml:space="preserve"> como são gerenciados estes temas</w:t>
      </w:r>
      <w:r w:rsidR="00CB7398">
        <w:rPr>
          <w:shd w:val="clear" w:color="auto" w:fill="FFFFFF"/>
        </w:rPr>
        <w:t>, promovendo melhorias nos serviços prestados pelos órgãos públicos.</w:t>
      </w:r>
    </w:p>
    <w:p w14:paraId="64E4AFA3" w14:textId="4B034885" w:rsidR="007D5C61" w:rsidRDefault="00F54937" w:rsidP="007D5C61">
      <w:pPr>
        <w:rPr>
          <w:rFonts w:cs="Times New Roman"/>
          <w:szCs w:val="24"/>
        </w:rPr>
      </w:pPr>
      <w:r w:rsidRPr="00AD6C54">
        <w:rPr>
          <w:shd w:val="clear" w:color="auto" w:fill="FFFFFF"/>
        </w:rPr>
        <w:t xml:space="preserve">No Brasil, destacam-se recentes esforços envidados por órgãos de controle no sentido de incentivar a mudança nas práticas de gestão. Neste aspecto, cita-se o </w:t>
      </w:r>
      <w:r w:rsidR="00AC2DB4" w:rsidRPr="00AD6C54">
        <w:rPr>
          <w:shd w:val="clear" w:color="auto" w:fill="FFFFFF"/>
        </w:rPr>
        <w:t xml:space="preserve">acórdão TCU </w:t>
      </w:r>
      <w:r w:rsidRPr="00AD6C54">
        <w:rPr>
          <w:shd w:val="clear" w:color="auto" w:fill="FFFFFF"/>
        </w:rPr>
        <w:t>n</w:t>
      </w:r>
      <w:r w:rsidRPr="00AD6C54">
        <w:rPr>
          <w:rFonts w:cs="Times New Roman"/>
          <w:szCs w:val="24"/>
        </w:rPr>
        <w:t>º 588/2018 – Plenário</w:t>
      </w:r>
      <w:r w:rsidR="00AC2DB4" w:rsidRPr="00AD6C54">
        <w:rPr>
          <w:rFonts w:cs="Times New Roman"/>
          <w:szCs w:val="24"/>
        </w:rPr>
        <w:t xml:space="preserve">, em que foi relatado levantamento realizado em 581 órgãos e entidades da Administração Pública Federal sobre governança e gestão em 2017. </w:t>
      </w:r>
      <w:r w:rsidR="005436DE">
        <w:rPr>
          <w:rFonts w:cs="Times New Roman"/>
          <w:szCs w:val="24"/>
        </w:rPr>
        <w:t>Sobre</w:t>
      </w:r>
      <w:r w:rsidR="00AC2DB4" w:rsidRPr="00AD6C54">
        <w:rPr>
          <w:rFonts w:cs="Times New Roman"/>
          <w:szCs w:val="24"/>
        </w:rPr>
        <w:t xml:space="preserve"> este relatório, Rosilho (2018) reflete </w:t>
      </w:r>
      <w:r w:rsidR="003C2054">
        <w:rPr>
          <w:rFonts w:cs="Times New Roman"/>
          <w:szCs w:val="24"/>
        </w:rPr>
        <w:t xml:space="preserve">que, embora </w:t>
      </w:r>
      <w:r w:rsidR="00204D20">
        <w:rPr>
          <w:rFonts w:cs="Times New Roman"/>
          <w:szCs w:val="24"/>
        </w:rPr>
        <w:t>o</w:t>
      </w:r>
      <w:r w:rsidR="00B6238E">
        <w:rPr>
          <w:rFonts w:cs="Times New Roman"/>
          <w:szCs w:val="24"/>
        </w:rPr>
        <w:t xml:space="preserve"> trabalho realizado pelo TCU não </w:t>
      </w:r>
      <w:r w:rsidR="00A75BFC">
        <w:rPr>
          <w:rFonts w:cs="Times New Roman"/>
          <w:szCs w:val="24"/>
        </w:rPr>
        <w:t xml:space="preserve">imponha necessariamente </w:t>
      </w:r>
      <w:r w:rsidR="003B28DF">
        <w:rPr>
          <w:rFonts w:cs="Times New Roman"/>
          <w:szCs w:val="24"/>
        </w:rPr>
        <w:t>obrigações de melhoria</w:t>
      </w:r>
      <w:r w:rsidR="00333694">
        <w:rPr>
          <w:rFonts w:cs="Times New Roman"/>
          <w:szCs w:val="24"/>
        </w:rPr>
        <w:t xml:space="preserve"> às instituições, </w:t>
      </w:r>
      <w:r w:rsidR="0081039E">
        <w:rPr>
          <w:rFonts w:cs="Times New Roman"/>
          <w:szCs w:val="24"/>
        </w:rPr>
        <w:t>possui valiosa atribuição</w:t>
      </w:r>
      <w:r w:rsidR="00DF1DF1">
        <w:rPr>
          <w:rFonts w:cs="Times New Roman"/>
          <w:szCs w:val="24"/>
        </w:rPr>
        <w:t xml:space="preserve"> pedagógi</w:t>
      </w:r>
      <w:r w:rsidR="0081039E">
        <w:rPr>
          <w:rFonts w:cs="Times New Roman"/>
          <w:szCs w:val="24"/>
        </w:rPr>
        <w:t>ca.</w:t>
      </w:r>
    </w:p>
    <w:p w14:paraId="4FC83CFE" w14:textId="51DCCDE4" w:rsidR="00E13FF7" w:rsidRDefault="007879E5" w:rsidP="007D5C61">
      <w:pPr>
        <w:rPr>
          <w:rFonts w:cs="Times New Roman"/>
          <w:szCs w:val="24"/>
        </w:rPr>
      </w:pPr>
      <w:r>
        <w:rPr>
          <w:rFonts w:cs="Times New Roman"/>
          <w:szCs w:val="24"/>
        </w:rPr>
        <w:t>Noutro a</w:t>
      </w:r>
      <w:r w:rsidR="00340527">
        <w:rPr>
          <w:rFonts w:cs="Times New Roman"/>
          <w:szCs w:val="24"/>
        </w:rPr>
        <w:t xml:space="preserve">specto, </w:t>
      </w:r>
      <w:r w:rsidR="00051E2F">
        <w:rPr>
          <w:rFonts w:cs="Times New Roman"/>
          <w:szCs w:val="24"/>
        </w:rPr>
        <w:t>c</w:t>
      </w:r>
      <w:r w:rsidR="00051E2F" w:rsidRPr="00051E2F">
        <w:rPr>
          <w:rFonts w:cs="Times New Roman"/>
          <w:szCs w:val="24"/>
        </w:rPr>
        <w:t>onforme acórdão nº 2699/2018 do TCU, o estudo de governança realizado pelo órgão, ao fomentar práticas adequadas de governança e gestão tem como finalidade melhorar a capacidade de entrega de resultados dos organismos públicos (BRASIL, 2018).</w:t>
      </w:r>
      <w:r w:rsidR="00051E2F">
        <w:rPr>
          <w:rFonts w:cs="Times New Roman"/>
          <w:szCs w:val="24"/>
        </w:rPr>
        <w:t xml:space="preserve"> Após um ano da publicação des</w:t>
      </w:r>
      <w:r w:rsidR="008E7B35">
        <w:rPr>
          <w:rFonts w:cs="Times New Roman"/>
          <w:szCs w:val="24"/>
        </w:rPr>
        <w:t>s</w:t>
      </w:r>
      <w:r w:rsidR="00051E2F">
        <w:rPr>
          <w:rFonts w:cs="Times New Roman"/>
          <w:szCs w:val="24"/>
        </w:rPr>
        <w:t xml:space="preserve">e estudo do TCU, surge então uma necessidade de </w:t>
      </w:r>
      <w:r w:rsidR="00A94448">
        <w:rPr>
          <w:rFonts w:cs="Times New Roman"/>
          <w:szCs w:val="24"/>
        </w:rPr>
        <w:t>observar</w:t>
      </w:r>
      <w:r w:rsidR="007D287B">
        <w:rPr>
          <w:rFonts w:cs="Times New Roman"/>
          <w:szCs w:val="24"/>
        </w:rPr>
        <w:t xml:space="preserve"> </w:t>
      </w:r>
      <w:r w:rsidR="00CB7398">
        <w:rPr>
          <w:rFonts w:cs="Times New Roman"/>
          <w:szCs w:val="24"/>
        </w:rPr>
        <w:t xml:space="preserve">se </w:t>
      </w:r>
      <w:r w:rsidR="007D287B">
        <w:rPr>
          <w:rFonts w:cs="Times New Roman"/>
          <w:szCs w:val="24"/>
        </w:rPr>
        <w:t>os</w:t>
      </w:r>
      <w:r w:rsidR="00A94448">
        <w:rPr>
          <w:rFonts w:cs="Times New Roman"/>
          <w:szCs w:val="24"/>
        </w:rPr>
        <w:t xml:space="preserve"> </w:t>
      </w:r>
      <w:r w:rsidR="00E057E3">
        <w:rPr>
          <w:rFonts w:cs="Times New Roman"/>
          <w:szCs w:val="24"/>
        </w:rPr>
        <w:t xml:space="preserve">resultados das transformações promovidas pelas práticas de governança </w:t>
      </w:r>
      <w:r w:rsidR="00940AC8">
        <w:rPr>
          <w:rFonts w:cs="Times New Roman"/>
          <w:szCs w:val="24"/>
        </w:rPr>
        <w:t>estimuladas</w:t>
      </w:r>
      <w:r w:rsidR="00CB7398">
        <w:rPr>
          <w:rFonts w:cs="Times New Roman"/>
          <w:szCs w:val="24"/>
        </w:rPr>
        <w:t xml:space="preserve"> na gestão </w:t>
      </w:r>
      <w:r w:rsidR="00051E2F">
        <w:rPr>
          <w:rFonts w:cs="Times New Roman"/>
          <w:szCs w:val="24"/>
        </w:rPr>
        <w:t>efetivamente são convertid</w:t>
      </w:r>
      <w:r w:rsidR="00880467">
        <w:rPr>
          <w:rFonts w:cs="Times New Roman"/>
          <w:szCs w:val="24"/>
        </w:rPr>
        <w:t>o</w:t>
      </w:r>
      <w:r w:rsidR="00051E2F">
        <w:rPr>
          <w:rFonts w:cs="Times New Roman"/>
          <w:szCs w:val="24"/>
        </w:rPr>
        <w:t>s em melhorias de qualidade no serviço público prestado</w:t>
      </w:r>
      <w:r w:rsidR="00BC0236">
        <w:rPr>
          <w:rFonts w:cs="Times New Roman"/>
          <w:szCs w:val="24"/>
        </w:rPr>
        <w:t xml:space="preserve">. </w:t>
      </w:r>
      <w:r w:rsidR="008B3171">
        <w:rPr>
          <w:rFonts w:cs="Times New Roman"/>
          <w:szCs w:val="24"/>
        </w:rPr>
        <w:t xml:space="preserve">Para tanto, </w:t>
      </w:r>
      <w:r w:rsidR="00A86646">
        <w:rPr>
          <w:rFonts w:cs="Times New Roman"/>
          <w:szCs w:val="24"/>
        </w:rPr>
        <w:t xml:space="preserve">as reflexões foram delimitadas </w:t>
      </w:r>
      <w:r w:rsidR="006312E1">
        <w:rPr>
          <w:rFonts w:cs="Times New Roman"/>
          <w:szCs w:val="24"/>
        </w:rPr>
        <w:t xml:space="preserve">à </w:t>
      </w:r>
      <w:r w:rsidR="00051E2F">
        <w:rPr>
          <w:rFonts w:cs="Times New Roman"/>
          <w:szCs w:val="24"/>
        </w:rPr>
        <w:t>governança</w:t>
      </w:r>
      <w:r w:rsidR="006312E1">
        <w:rPr>
          <w:rFonts w:cs="Times New Roman"/>
          <w:szCs w:val="24"/>
        </w:rPr>
        <w:t xml:space="preserve"> </w:t>
      </w:r>
      <w:r w:rsidR="00FE6221">
        <w:rPr>
          <w:rFonts w:cs="Times New Roman"/>
          <w:szCs w:val="24"/>
        </w:rPr>
        <w:t xml:space="preserve">dos níveis de gestão </w:t>
      </w:r>
      <w:r w:rsidR="00A74D74">
        <w:rPr>
          <w:rFonts w:cs="Times New Roman"/>
          <w:szCs w:val="24"/>
        </w:rPr>
        <w:t>dos Institutos Federais de Ensino Superior (IFES)</w:t>
      </w:r>
      <w:r w:rsidR="00C5101A">
        <w:rPr>
          <w:rFonts w:cs="Times New Roman"/>
          <w:szCs w:val="24"/>
        </w:rPr>
        <w:t xml:space="preserve">, em comparação </w:t>
      </w:r>
      <w:r w:rsidR="00A249C6">
        <w:rPr>
          <w:rFonts w:cs="Times New Roman"/>
          <w:szCs w:val="24"/>
        </w:rPr>
        <w:t xml:space="preserve">com as avaliações </w:t>
      </w:r>
      <w:r w:rsidR="004459A8">
        <w:rPr>
          <w:rFonts w:cs="Times New Roman"/>
          <w:szCs w:val="24"/>
        </w:rPr>
        <w:t xml:space="preserve">de qualidade </w:t>
      </w:r>
      <w:r w:rsidR="00BD0A1B">
        <w:rPr>
          <w:rFonts w:cs="Times New Roman"/>
          <w:szCs w:val="24"/>
        </w:rPr>
        <w:t>sofridas</w:t>
      </w:r>
      <w:r w:rsidR="00D60A03">
        <w:rPr>
          <w:rFonts w:cs="Times New Roman"/>
          <w:szCs w:val="24"/>
        </w:rPr>
        <w:t xml:space="preserve"> por estes</w:t>
      </w:r>
      <w:r w:rsidR="00BD0A1B">
        <w:rPr>
          <w:rFonts w:cs="Times New Roman"/>
          <w:szCs w:val="24"/>
        </w:rPr>
        <w:t xml:space="preserve"> pelo Ministério da Educação (MEC).</w:t>
      </w:r>
    </w:p>
    <w:p w14:paraId="1ED37807" w14:textId="1D15AECA" w:rsidR="00051E2F" w:rsidRPr="00AD6C54" w:rsidRDefault="00051E2F" w:rsidP="00051E2F">
      <w:pPr>
        <w:rPr>
          <w:lang w:eastAsia="ar-SA"/>
        </w:rPr>
      </w:pPr>
      <w:r>
        <w:rPr>
          <w:rFonts w:cs="Times New Roman"/>
          <w:szCs w:val="24"/>
        </w:rPr>
        <w:t xml:space="preserve">Assim, este trabalho tem o </w:t>
      </w:r>
      <w:r w:rsidR="00B64FC5">
        <w:rPr>
          <w:rFonts w:cs="Times New Roman"/>
          <w:szCs w:val="24"/>
        </w:rPr>
        <w:t xml:space="preserve">objetivo </w:t>
      </w:r>
      <w:r>
        <w:rPr>
          <w:rFonts w:cs="Times New Roman"/>
          <w:szCs w:val="24"/>
        </w:rPr>
        <w:t xml:space="preserve">geral de analisar a relação entre </w:t>
      </w:r>
      <w:r w:rsidRPr="00AD6C54">
        <w:t>os índices de governança registrados pel</w:t>
      </w:r>
      <w:r>
        <w:t>o</w:t>
      </w:r>
      <w:r w:rsidRPr="00AD6C54">
        <w:t xml:space="preserve">s IFES com seus respectivos resultados entregues à sociedade, </w:t>
      </w:r>
      <w:r w:rsidRPr="00AD6C54">
        <w:lastRenderedPageBreak/>
        <w:t xml:space="preserve">tendo como parâmetro para tal, o Índice Geral de Cursos (IGC), do MEC. Em outras palavras, objetiva verificar se quanto mais aderentes às </w:t>
      </w:r>
      <w:r w:rsidR="00490D86">
        <w:t xml:space="preserve">práticas de governança </w:t>
      </w:r>
      <w:r w:rsidRPr="00AD6C54">
        <w:t xml:space="preserve">de gestão apontadas pelo </w:t>
      </w:r>
      <w:r w:rsidR="00490D86">
        <w:t>TCU</w:t>
      </w:r>
      <w:r w:rsidRPr="00AD6C54">
        <w:t xml:space="preserve"> estão as </w:t>
      </w:r>
      <w:r w:rsidR="00490D86">
        <w:t>IFES</w:t>
      </w:r>
      <w:r w:rsidRPr="00AD6C54">
        <w:t xml:space="preserve">, igualmente mais efetivas têm sido suas entregas </w:t>
      </w:r>
      <w:r w:rsidRPr="00A07169">
        <w:t>em educação</w:t>
      </w:r>
      <w:r w:rsidR="00490D86" w:rsidRPr="00A07169">
        <w:t xml:space="preserve"> superior</w:t>
      </w:r>
      <w:r w:rsidRPr="00A07169">
        <w:t>.</w:t>
      </w:r>
      <w:r w:rsidR="007B3913" w:rsidRPr="00A07169">
        <w:t xml:space="preserve"> O problema da pesquisa se baseia no fato que a implantação de controles</w:t>
      </w:r>
      <w:r w:rsidR="00740119" w:rsidRPr="00A07169">
        <w:t xml:space="preserve"> pressupõe custos. Des</w:t>
      </w:r>
      <w:r w:rsidR="003B405F">
        <w:t>s</w:t>
      </w:r>
      <w:r w:rsidR="00740119" w:rsidRPr="00A07169">
        <w:t xml:space="preserve">a forma, </w:t>
      </w:r>
      <w:r w:rsidR="008316F0" w:rsidRPr="00A07169">
        <w:t xml:space="preserve">busca </w:t>
      </w:r>
      <w:r w:rsidR="00BB35DC">
        <w:t>investigar se</w:t>
      </w:r>
      <w:r w:rsidR="00B329A0">
        <w:t xml:space="preserve"> benefícios </w:t>
      </w:r>
      <w:r w:rsidR="00BB35DC">
        <w:t xml:space="preserve">foram gerados </w:t>
      </w:r>
      <w:r w:rsidR="004F4F9F">
        <w:t>na entrega de serviços públicos associados à implantação</w:t>
      </w:r>
      <w:r w:rsidR="00B24518">
        <w:t xml:space="preserve"> de tais controles</w:t>
      </w:r>
      <w:r w:rsidR="00EE59A7">
        <w:t>.</w:t>
      </w:r>
    </w:p>
    <w:p w14:paraId="31B0650F" w14:textId="77777777" w:rsidR="00051E2F" w:rsidRPr="00AD6C54" w:rsidRDefault="00051E2F" w:rsidP="00051E2F">
      <w:pPr>
        <w:rPr>
          <w:lang w:eastAsia="ar-SA"/>
        </w:rPr>
      </w:pPr>
      <w:r w:rsidRPr="00AD6C54">
        <w:rPr>
          <w:lang w:eastAsia="ar-SA"/>
        </w:rPr>
        <w:t>Como objetivos específicos, o presente artigo propõe-se a:</w:t>
      </w:r>
    </w:p>
    <w:p w14:paraId="42DC52C6" w14:textId="3846171D" w:rsidR="00051E2F" w:rsidRPr="00AD6C54" w:rsidRDefault="00490D86" w:rsidP="002F6BE9">
      <w:pPr>
        <w:pStyle w:val="PargrafodaLista"/>
        <w:numPr>
          <w:ilvl w:val="0"/>
          <w:numId w:val="13"/>
        </w:numPr>
        <w:rPr>
          <w:lang w:eastAsia="ar-SA"/>
        </w:rPr>
      </w:pPr>
      <w:r>
        <w:rPr>
          <w:lang w:eastAsia="ar-SA"/>
        </w:rPr>
        <w:t>apresentar</w:t>
      </w:r>
      <w:r w:rsidR="00051E2F" w:rsidRPr="00AD6C54">
        <w:rPr>
          <w:lang w:eastAsia="ar-SA"/>
        </w:rPr>
        <w:t xml:space="preserve"> a metodologia adotada pelo TCU na avaliação da capacidade de governança dos órgãos públicos federais brasileiros</w:t>
      </w:r>
      <w:r>
        <w:rPr>
          <w:lang w:eastAsia="ar-SA"/>
        </w:rPr>
        <w:t xml:space="preserve">; </w:t>
      </w:r>
      <w:r w:rsidR="00051E2F" w:rsidRPr="00AD6C54">
        <w:rPr>
          <w:lang w:eastAsia="ar-SA"/>
        </w:rPr>
        <w:t>e</w:t>
      </w:r>
    </w:p>
    <w:p w14:paraId="19605EFB" w14:textId="28F24D69" w:rsidR="00051E2F" w:rsidRPr="00AD6C54" w:rsidRDefault="00490D86" w:rsidP="00051E2F">
      <w:pPr>
        <w:pStyle w:val="PargrafodaLista"/>
        <w:numPr>
          <w:ilvl w:val="0"/>
          <w:numId w:val="13"/>
        </w:numPr>
        <w:rPr>
          <w:lang w:eastAsia="ar-SA"/>
        </w:rPr>
      </w:pPr>
      <w:bookmarkStart w:id="2" w:name="_Hlk23782303"/>
      <w:r>
        <w:rPr>
          <w:lang w:eastAsia="ar-SA"/>
        </w:rPr>
        <w:t>identificar</w:t>
      </w:r>
      <w:r w:rsidR="00051E2F" w:rsidRPr="00AD6C54">
        <w:rPr>
          <w:lang w:eastAsia="ar-SA"/>
        </w:rPr>
        <w:t xml:space="preserve"> quais conjuntos de práticas de gestão mais se relacionaram com os resultados obtidos no IGC</w:t>
      </w:r>
      <w:bookmarkEnd w:id="2"/>
      <w:r w:rsidR="00051E2F" w:rsidRPr="00AD6C54">
        <w:rPr>
          <w:lang w:eastAsia="ar-SA"/>
        </w:rPr>
        <w:t>.</w:t>
      </w:r>
    </w:p>
    <w:p w14:paraId="3E906E5D" w14:textId="7B2218AA" w:rsidR="00EA485D" w:rsidRDefault="00490D86" w:rsidP="00490D86">
      <w:pPr>
        <w:rPr>
          <w:lang w:eastAsia="ar-SA"/>
        </w:rPr>
      </w:pPr>
      <w:r>
        <w:rPr>
          <w:lang w:eastAsia="ar-SA"/>
        </w:rPr>
        <w:t xml:space="preserve">Este trabalho tem uma relevância teórica ao abordar um aspecto da governança pública menos </w:t>
      </w:r>
      <w:r w:rsidR="00A57B02">
        <w:rPr>
          <w:lang w:eastAsia="ar-SA"/>
        </w:rPr>
        <w:t>desenvolvido</w:t>
      </w:r>
      <w:r>
        <w:rPr>
          <w:lang w:eastAsia="ar-SA"/>
        </w:rPr>
        <w:t xml:space="preserve"> pela literatura, a capacidade administrativa. Do ponto de vista social, o</w:t>
      </w:r>
      <w:r w:rsidR="008C7231">
        <w:rPr>
          <w:lang w:eastAsia="ar-SA"/>
        </w:rPr>
        <w:t xml:space="preserve"> </w:t>
      </w:r>
      <w:r w:rsidR="00872788">
        <w:rPr>
          <w:lang w:eastAsia="ar-SA"/>
        </w:rPr>
        <w:t xml:space="preserve">aperfeiçoamento das </w:t>
      </w:r>
      <w:r w:rsidR="00EF3BCC">
        <w:rPr>
          <w:lang w:eastAsia="ar-SA"/>
        </w:rPr>
        <w:t>práticas de gestão</w:t>
      </w:r>
      <w:r w:rsidR="008C7231">
        <w:rPr>
          <w:lang w:eastAsia="ar-SA"/>
        </w:rPr>
        <w:t xml:space="preserve"> governamental é de </w:t>
      </w:r>
      <w:r w:rsidR="005A439D">
        <w:rPr>
          <w:lang w:eastAsia="ar-SA"/>
        </w:rPr>
        <w:t>interesse público</w:t>
      </w:r>
      <w:r w:rsidR="00D7680F">
        <w:rPr>
          <w:lang w:eastAsia="ar-SA"/>
        </w:rPr>
        <w:t>.</w:t>
      </w:r>
      <w:r w:rsidR="005524E6">
        <w:rPr>
          <w:lang w:eastAsia="ar-SA"/>
        </w:rPr>
        <w:t xml:space="preserve"> Nes</w:t>
      </w:r>
      <w:r w:rsidR="00A07169">
        <w:rPr>
          <w:lang w:eastAsia="ar-SA"/>
        </w:rPr>
        <w:t>s</w:t>
      </w:r>
      <w:r w:rsidR="005524E6">
        <w:rPr>
          <w:lang w:eastAsia="ar-SA"/>
        </w:rPr>
        <w:t>e sentido, Marques (2007)</w:t>
      </w:r>
      <w:r w:rsidR="0090709A">
        <w:rPr>
          <w:lang w:eastAsia="ar-SA"/>
        </w:rPr>
        <w:t xml:space="preserve"> expõe que a sociedade cobra </w:t>
      </w:r>
      <w:r w:rsidR="001A710A">
        <w:rPr>
          <w:lang w:eastAsia="ar-SA"/>
        </w:rPr>
        <w:t>a</w:t>
      </w:r>
      <w:r w:rsidR="005A439D">
        <w:rPr>
          <w:lang w:eastAsia="ar-SA"/>
        </w:rPr>
        <w:t xml:space="preserve"> responsabilização de seus agentes</w:t>
      </w:r>
      <w:r w:rsidR="009F5B03">
        <w:rPr>
          <w:lang w:eastAsia="ar-SA"/>
        </w:rPr>
        <w:t xml:space="preserve">, que devem prestar </w:t>
      </w:r>
      <w:r w:rsidR="00CB7EE2">
        <w:rPr>
          <w:lang w:eastAsia="ar-SA"/>
        </w:rPr>
        <w:t>contas não somente ao legislativo, mas à</w:t>
      </w:r>
      <w:r w:rsidR="00862146">
        <w:rPr>
          <w:lang w:eastAsia="ar-SA"/>
        </w:rPr>
        <w:t xml:space="preserve"> população, principal parte interessada</w:t>
      </w:r>
      <w:r w:rsidR="00787F9C" w:rsidRPr="00AD6C54">
        <w:rPr>
          <w:lang w:eastAsia="ar-SA"/>
        </w:rPr>
        <w:t xml:space="preserve">. </w:t>
      </w:r>
    </w:p>
    <w:p w14:paraId="0E497B42" w14:textId="5C607004" w:rsidR="00C643CE" w:rsidRPr="00AD6C54" w:rsidRDefault="00787F9C" w:rsidP="00490D86">
      <w:pPr>
        <w:rPr>
          <w:lang w:eastAsia="ar-SA"/>
        </w:rPr>
      </w:pPr>
      <w:r w:rsidRPr="00AD6C54">
        <w:rPr>
          <w:lang w:eastAsia="ar-SA"/>
        </w:rPr>
        <w:t>No presente art</w:t>
      </w:r>
      <w:r w:rsidR="00DF6644" w:rsidRPr="00AD6C54">
        <w:rPr>
          <w:lang w:eastAsia="ar-SA"/>
        </w:rPr>
        <w:t>i</w:t>
      </w:r>
      <w:r w:rsidRPr="00AD6C54">
        <w:rPr>
          <w:lang w:eastAsia="ar-SA"/>
        </w:rPr>
        <w:t xml:space="preserve">go, </w:t>
      </w:r>
      <w:r w:rsidR="00AE2CF6">
        <w:rPr>
          <w:lang w:eastAsia="ar-SA"/>
        </w:rPr>
        <w:t>é proposta</w:t>
      </w:r>
      <w:r w:rsidRPr="00AD6C54">
        <w:rPr>
          <w:lang w:eastAsia="ar-SA"/>
        </w:rPr>
        <w:t xml:space="preserve"> uma reflexão </w:t>
      </w:r>
      <w:r w:rsidR="00DF6644" w:rsidRPr="00AD6C54">
        <w:rPr>
          <w:lang w:eastAsia="ar-SA"/>
        </w:rPr>
        <w:t xml:space="preserve">quanto </w:t>
      </w:r>
      <w:r w:rsidR="008F0EA8" w:rsidRPr="00AD6C54">
        <w:rPr>
          <w:lang w:eastAsia="ar-SA"/>
        </w:rPr>
        <w:t xml:space="preserve">à utilização de adequados procedimentos </w:t>
      </w:r>
      <w:r w:rsidR="00CF689F" w:rsidRPr="00AD6C54">
        <w:rPr>
          <w:lang w:eastAsia="ar-SA"/>
        </w:rPr>
        <w:t xml:space="preserve">de </w:t>
      </w:r>
      <w:r w:rsidR="008F0EA8" w:rsidRPr="00AD6C54">
        <w:rPr>
          <w:lang w:eastAsia="ar-SA"/>
        </w:rPr>
        <w:t>administração</w:t>
      </w:r>
      <w:r w:rsidRPr="00AD6C54">
        <w:rPr>
          <w:lang w:eastAsia="ar-SA"/>
        </w:rPr>
        <w:t xml:space="preserve"> </w:t>
      </w:r>
      <w:r w:rsidR="00CF689F" w:rsidRPr="00AD6C54">
        <w:rPr>
          <w:lang w:eastAsia="ar-SA"/>
        </w:rPr>
        <w:t>d</w:t>
      </w:r>
      <w:r w:rsidR="008F0EA8" w:rsidRPr="00AD6C54">
        <w:rPr>
          <w:lang w:eastAsia="ar-SA"/>
        </w:rPr>
        <w:t>os</w:t>
      </w:r>
      <w:r w:rsidR="00CF689F" w:rsidRPr="00AD6C54">
        <w:rPr>
          <w:lang w:eastAsia="ar-SA"/>
        </w:rPr>
        <w:t xml:space="preserve"> </w:t>
      </w:r>
      <w:r w:rsidRPr="00AD6C54">
        <w:rPr>
          <w:lang w:eastAsia="ar-SA"/>
        </w:rPr>
        <w:t>I</w:t>
      </w:r>
      <w:r w:rsidR="008F0EA8" w:rsidRPr="00AD6C54">
        <w:rPr>
          <w:lang w:eastAsia="ar-SA"/>
        </w:rPr>
        <w:t>F</w:t>
      </w:r>
      <w:r w:rsidRPr="00AD6C54">
        <w:rPr>
          <w:lang w:eastAsia="ar-SA"/>
        </w:rPr>
        <w:t>ES</w:t>
      </w:r>
      <w:r w:rsidR="00DF6644" w:rsidRPr="00AD6C54">
        <w:rPr>
          <w:lang w:eastAsia="ar-SA"/>
        </w:rPr>
        <w:t xml:space="preserve"> e </w:t>
      </w:r>
      <w:r w:rsidR="008F0EA8" w:rsidRPr="00AD6C54">
        <w:rPr>
          <w:lang w:eastAsia="ar-SA"/>
        </w:rPr>
        <w:t>o</w:t>
      </w:r>
      <w:r w:rsidR="00DF6644" w:rsidRPr="00AD6C54">
        <w:rPr>
          <w:lang w:eastAsia="ar-SA"/>
        </w:rPr>
        <w:t xml:space="preserve"> reflexo </w:t>
      </w:r>
      <w:r w:rsidR="008F0EA8" w:rsidRPr="00AD6C54">
        <w:rPr>
          <w:lang w:eastAsia="ar-SA"/>
        </w:rPr>
        <w:t xml:space="preserve">destes expedientes </w:t>
      </w:r>
      <w:r w:rsidR="006F5D62" w:rsidRPr="00AD6C54">
        <w:rPr>
          <w:lang w:eastAsia="ar-SA"/>
        </w:rPr>
        <w:t>na</w:t>
      </w:r>
      <w:r w:rsidR="00DF6644" w:rsidRPr="00AD6C54">
        <w:rPr>
          <w:lang w:eastAsia="ar-SA"/>
        </w:rPr>
        <w:t xml:space="preserve"> geração de valor à sociedade. </w:t>
      </w:r>
      <w:r w:rsidR="00490D86">
        <w:rPr>
          <w:lang w:eastAsia="ar-SA"/>
        </w:rPr>
        <w:t xml:space="preserve">Os impactos financeiros ocasionados pela ineficiência da gestão pública, segundo o </w:t>
      </w:r>
      <w:r w:rsidR="003D7C2C" w:rsidRPr="00AD6C54">
        <w:rPr>
          <w:lang w:eastAsia="ar-SA"/>
        </w:rPr>
        <w:t>Banco Interamericano de Desenvolvimento (BID</w:t>
      </w:r>
      <w:r w:rsidR="00490D86">
        <w:rPr>
          <w:lang w:eastAsia="ar-SA"/>
        </w:rPr>
        <w:t xml:space="preserve">, </w:t>
      </w:r>
      <w:r w:rsidR="003D7C2C" w:rsidRPr="00AD6C54">
        <w:rPr>
          <w:lang w:eastAsia="ar-SA"/>
        </w:rPr>
        <w:t xml:space="preserve">2019), </w:t>
      </w:r>
      <w:r w:rsidR="00490D86">
        <w:rPr>
          <w:lang w:eastAsia="ar-SA"/>
        </w:rPr>
        <w:t>são na ordem</w:t>
      </w:r>
      <w:r w:rsidR="003D7C2C" w:rsidRPr="00AD6C54">
        <w:rPr>
          <w:lang w:eastAsia="ar-SA"/>
        </w:rPr>
        <w:t xml:space="preserve"> de até US$ 68 bilhões</w:t>
      </w:r>
      <w:r w:rsidR="002E7A66">
        <w:rPr>
          <w:lang w:eastAsia="ar-SA"/>
        </w:rPr>
        <w:t xml:space="preserve"> por ano no Brasil</w:t>
      </w:r>
      <w:r w:rsidR="003D7C2C" w:rsidRPr="00AD6C54">
        <w:rPr>
          <w:lang w:eastAsia="ar-SA"/>
        </w:rPr>
        <w:t>.</w:t>
      </w:r>
      <w:r w:rsidR="003921EF" w:rsidRPr="00AD6C54">
        <w:rPr>
          <w:lang w:eastAsia="ar-SA"/>
        </w:rPr>
        <w:t xml:space="preserve"> </w:t>
      </w:r>
      <w:r w:rsidR="00150195" w:rsidRPr="00AD6C54">
        <w:rPr>
          <w:lang w:eastAsia="ar-SA"/>
        </w:rPr>
        <w:t>Paralelamente,</w:t>
      </w:r>
      <w:r w:rsidR="003921EF" w:rsidRPr="00AD6C54">
        <w:rPr>
          <w:lang w:eastAsia="ar-SA"/>
        </w:rPr>
        <w:t xml:space="preserve"> dados retirados do portal da transparência do governo federal demonstram que o orçamento previsto para o </w:t>
      </w:r>
      <w:r w:rsidR="00693E56" w:rsidRPr="00AD6C54">
        <w:rPr>
          <w:lang w:eastAsia="ar-SA"/>
        </w:rPr>
        <w:t>MEC</w:t>
      </w:r>
      <w:r w:rsidR="003921EF" w:rsidRPr="00AD6C54">
        <w:rPr>
          <w:lang w:eastAsia="ar-SA"/>
        </w:rPr>
        <w:t xml:space="preserve"> </w:t>
      </w:r>
      <w:r w:rsidR="008D4911" w:rsidRPr="00AD6C54">
        <w:rPr>
          <w:lang w:eastAsia="ar-SA"/>
        </w:rPr>
        <w:t xml:space="preserve">em 2019 </w:t>
      </w:r>
      <w:r w:rsidR="003921EF" w:rsidRPr="00AD6C54">
        <w:rPr>
          <w:lang w:eastAsia="ar-SA"/>
        </w:rPr>
        <w:t>foi de aproximadamente R$ 149 bilhões</w:t>
      </w:r>
      <w:r w:rsidR="00CF689F" w:rsidRPr="00AD6C54">
        <w:rPr>
          <w:lang w:eastAsia="ar-SA"/>
        </w:rPr>
        <w:t>, valor proporcionalmente inferior às perdas estimadas de recursos públicos</w:t>
      </w:r>
      <w:r w:rsidR="003921EF" w:rsidRPr="00AD6C54">
        <w:rPr>
          <w:lang w:eastAsia="ar-SA"/>
        </w:rPr>
        <w:t>.</w:t>
      </w:r>
    </w:p>
    <w:p w14:paraId="547AA32F" w14:textId="4A03FA66" w:rsidR="00CF689F" w:rsidRPr="00AD6C54" w:rsidRDefault="00693E56" w:rsidP="00AA2746">
      <w:pPr>
        <w:rPr>
          <w:lang w:eastAsia="ar-SA"/>
        </w:rPr>
      </w:pPr>
      <w:r w:rsidRPr="00AD6C54">
        <w:rPr>
          <w:lang w:eastAsia="ar-SA"/>
        </w:rPr>
        <w:t xml:space="preserve">Indo ao encontro dos argumentos propostos no presente artigo, observa-se </w:t>
      </w:r>
      <w:r w:rsidR="00130E26" w:rsidRPr="00AD6C54">
        <w:rPr>
          <w:lang w:eastAsia="ar-SA"/>
        </w:rPr>
        <w:t xml:space="preserve">que as ferramentas </w:t>
      </w:r>
      <w:r w:rsidR="002E7A66">
        <w:rPr>
          <w:lang w:eastAsia="ar-SA"/>
        </w:rPr>
        <w:t>de governança da gestão pública</w:t>
      </w:r>
      <w:r w:rsidRPr="00AD6C54">
        <w:rPr>
          <w:lang w:eastAsia="ar-SA"/>
        </w:rPr>
        <w:t xml:space="preserve"> </w:t>
      </w:r>
      <w:r w:rsidR="00FD04C5" w:rsidRPr="00AD6C54">
        <w:rPr>
          <w:lang w:eastAsia="ar-SA"/>
        </w:rPr>
        <w:t xml:space="preserve">estão </w:t>
      </w:r>
      <w:r w:rsidRPr="00AD6C54">
        <w:rPr>
          <w:lang w:eastAsia="ar-SA"/>
        </w:rPr>
        <w:t>em pauta</w:t>
      </w:r>
      <w:r w:rsidR="002E7A66">
        <w:rPr>
          <w:lang w:eastAsia="ar-SA"/>
        </w:rPr>
        <w:t xml:space="preserve"> no MEC</w:t>
      </w:r>
      <w:r w:rsidRPr="00AD6C54">
        <w:rPr>
          <w:lang w:eastAsia="ar-SA"/>
        </w:rPr>
        <w:t xml:space="preserve">. O MEC estuda reestruturar a maneira como são distribuídos recursos públicos às instituições </w:t>
      </w:r>
      <w:r w:rsidR="00130E26" w:rsidRPr="00AD6C54">
        <w:rPr>
          <w:lang w:eastAsia="ar-SA"/>
        </w:rPr>
        <w:t xml:space="preserve">de ensino e a capacidade de governança deverá ser um eixo relevante no modelo proposto de repartição de verbas. Para tanto, tem sido proposta a inserção </w:t>
      </w:r>
      <w:r w:rsidR="00EB61AC" w:rsidRPr="00AD6C54">
        <w:rPr>
          <w:lang w:eastAsia="ar-SA"/>
        </w:rPr>
        <w:t>do Índice</w:t>
      </w:r>
      <w:r w:rsidR="00FD04C5" w:rsidRPr="00AD6C54">
        <w:rPr>
          <w:rFonts w:cs="Times New Roman"/>
          <w:szCs w:val="24"/>
        </w:rPr>
        <w:t xml:space="preserve"> Integrado de Governança e Gestão (</w:t>
      </w:r>
      <w:proofErr w:type="spellStart"/>
      <w:r w:rsidR="00FD04C5" w:rsidRPr="00AD6C54">
        <w:rPr>
          <w:rFonts w:cs="Times New Roman"/>
          <w:szCs w:val="24"/>
        </w:rPr>
        <w:t>iGG</w:t>
      </w:r>
      <w:proofErr w:type="spellEnd"/>
      <w:r w:rsidR="00FD04C5" w:rsidRPr="00AD6C54">
        <w:rPr>
          <w:rFonts w:cs="Times New Roman"/>
          <w:szCs w:val="24"/>
        </w:rPr>
        <w:t xml:space="preserve">) do Tribunal de Contas da União (TCU), </w:t>
      </w:r>
      <w:r w:rsidR="00A432D2">
        <w:rPr>
          <w:rFonts w:cs="Times New Roman"/>
          <w:szCs w:val="24"/>
        </w:rPr>
        <w:t xml:space="preserve">tratado no presente artigo, </w:t>
      </w:r>
      <w:r w:rsidR="00FD04C5" w:rsidRPr="00AD6C54">
        <w:rPr>
          <w:rFonts w:cs="Times New Roman"/>
          <w:szCs w:val="24"/>
        </w:rPr>
        <w:t xml:space="preserve">como um dos mecanismos de avaliação dos institutos </w:t>
      </w:r>
      <w:r w:rsidR="002E7A66">
        <w:rPr>
          <w:rFonts w:cs="Times New Roman"/>
          <w:szCs w:val="24"/>
        </w:rPr>
        <w:t xml:space="preserve">para a distribuição dos recursos </w:t>
      </w:r>
      <w:r w:rsidR="00FD04C5" w:rsidRPr="00AD6C54">
        <w:rPr>
          <w:rFonts w:cs="Times New Roman"/>
          <w:szCs w:val="24"/>
        </w:rPr>
        <w:t>(BRASIL, 2019)</w:t>
      </w:r>
      <w:r w:rsidR="002E7A66">
        <w:rPr>
          <w:rFonts w:cs="Times New Roman"/>
          <w:szCs w:val="24"/>
        </w:rPr>
        <w:t>.</w:t>
      </w:r>
    </w:p>
    <w:p w14:paraId="187636CB" w14:textId="1167B330" w:rsidR="00AA2746" w:rsidRDefault="00FD04C5" w:rsidP="00150195">
      <w:pPr>
        <w:rPr>
          <w:lang w:eastAsia="ar-SA"/>
        </w:rPr>
      </w:pPr>
      <w:r w:rsidRPr="00AD6C54">
        <w:rPr>
          <w:lang w:eastAsia="ar-SA"/>
        </w:rPr>
        <w:t>Ante o exposto</w:t>
      </w:r>
      <w:r w:rsidR="00150195" w:rsidRPr="00AD6C54">
        <w:rPr>
          <w:lang w:eastAsia="ar-SA"/>
        </w:rPr>
        <w:t xml:space="preserve">, </w:t>
      </w:r>
      <w:r w:rsidR="00A4237E">
        <w:rPr>
          <w:lang w:eastAsia="ar-SA"/>
        </w:rPr>
        <w:t>é notória</w:t>
      </w:r>
      <w:r w:rsidR="00150195" w:rsidRPr="00AD6C54">
        <w:rPr>
          <w:lang w:eastAsia="ar-SA"/>
        </w:rPr>
        <w:t xml:space="preserve"> a necessidade de aprimoramento nas práticas adotadas pelos órgãos públicos na administração de seus recursos. Assim, tal artigo justifica-se, vez que colabora com as discussões acerca da governança no setor público, e busca confrontar se os </w:t>
      </w:r>
      <w:r w:rsidR="00150195" w:rsidRPr="00AD6C54">
        <w:rPr>
          <w:lang w:eastAsia="ar-SA"/>
        </w:rPr>
        <w:lastRenderedPageBreak/>
        <w:t xml:space="preserve">mecanismos propostos pelos órgãos de controle refletiram </w:t>
      </w:r>
      <w:r w:rsidR="005875AC">
        <w:rPr>
          <w:lang w:eastAsia="ar-SA"/>
        </w:rPr>
        <w:t xml:space="preserve">positivamente </w:t>
      </w:r>
      <w:r w:rsidR="00150195" w:rsidRPr="00AD6C54">
        <w:rPr>
          <w:lang w:eastAsia="ar-SA"/>
        </w:rPr>
        <w:t>no resultado dos serviços públicos oferecidos à população pelas I</w:t>
      </w:r>
      <w:r w:rsidRPr="00AD6C54">
        <w:rPr>
          <w:lang w:eastAsia="ar-SA"/>
        </w:rPr>
        <w:t>F</w:t>
      </w:r>
      <w:r w:rsidR="00150195" w:rsidRPr="00AD6C54">
        <w:rPr>
          <w:lang w:eastAsia="ar-SA"/>
        </w:rPr>
        <w:t>ES.</w:t>
      </w:r>
    </w:p>
    <w:p w14:paraId="2324186F" w14:textId="3BD00ECA" w:rsidR="002E7A66" w:rsidRPr="00AD6C54" w:rsidRDefault="002E7A66" w:rsidP="00150195">
      <w:pPr>
        <w:rPr>
          <w:strike/>
        </w:rPr>
      </w:pPr>
      <w:r>
        <w:rPr>
          <w:lang w:eastAsia="ar-SA"/>
        </w:rPr>
        <w:t>Para tanto, além des</w:t>
      </w:r>
      <w:r w:rsidR="00110412">
        <w:rPr>
          <w:lang w:eastAsia="ar-SA"/>
        </w:rPr>
        <w:t>s</w:t>
      </w:r>
      <w:r>
        <w:rPr>
          <w:lang w:eastAsia="ar-SA"/>
        </w:rPr>
        <w:t xml:space="preserve">a Introdução o artigo apresenta o embasamento de governança corporativa aplicada ao setor público, bem como as formas de se mensurar a governança e a proposta de mensuração trazida pelo TCU, o índice </w:t>
      </w:r>
      <w:proofErr w:type="spellStart"/>
      <w:r>
        <w:rPr>
          <w:lang w:eastAsia="ar-SA"/>
        </w:rPr>
        <w:t>iGG</w:t>
      </w:r>
      <w:proofErr w:type="spellEnd"/>
      <w:r>
        <w:rPr>
          <w:lang w:eastAsia="ar-SA"/>
        </w:rPr>
        <w:t xml:space="preserve">. Complementa o embasamento teórico a apresentação do IGC, índice utilizado para </w:t>
      </w:r>
      <w:r w:rsidRPr="002E7A66">
        <w:rPr>
          <w:lang w:eastAsia="ar-SA"/>
        </w:rPr>
        <w:t>medir objetivamente o resultado do ensino superior no Brasil</w:t>
      </w:r>
      <w:r>
        <w:rPr>
          <w:lang w:eastAsia="ar-SA"/>
        </w:rPr>
        <w:t xml:space="preserve">. Na </w:t>
      </w:r>
      <w:r w:rsidR="00917684">
        <w:rPr>
          <w:lang w:eastAsia="ar-SA"/>
        </w:rPr>
        <w:t>sequência</w:t>
      </w:r>
      <w:r>
        <w:rPr>
          <w:lang w:eastAsia="ar-SA"/>
        </w:rPr>
        <w:t xml:space="preserve"> é apresentad</w:t>
      </w:r>
      <w:r w:rsidR="00917684">
        <w:rPr>
          <w:lang w:eastAsia="ar-SA"/>
        </w:rPr>
        <w:t>a</w:t>
      </w:r>
      <w:r>
        <w:rPr>
          <w:lang w:eastAsia="ar-SA"/>
        </w:rPr>
        <w:t xml:space="preserve"> a seção de metodologia deste estudo, apresentando os dados, forma de coleta e procedimentos da análise.</w:t>
      </w:r>
      <w:r w:rsidR="00917684">
        <w:rPr>
          <w:lang w:eastAsia="ar-SA"/>
        </w:rPr>
        <w:t xml:space="preserve"> Segue a seção de análise dos resultados e por fim as considerações finais e referências utilizadas neste trabalho.</w:t>
      </w:r>
    </w:p>
    <w:p w14:paraId="0A20D08F" w14:textId="77777777" w:rsidR="00AC2DB4" w:rsidRPr="00AD6C54" w:rsidRDefault="00AC2DB4" w:rsidP="00AA2746"/>
    <w:p w14:paraId="712BA429" w14:textId="4767E5AC" w:rsidR="000F6285" w:rsidRPr="00AD6C54" w:rsidRDefault="00051E2F" w:rsidP="002706F4">
      <w:pPr>
        <w:pStyle w:val="Ttulo1"/>
        <w:rPr>
          <w:rFonts w:cs="Times New Roman"/>
          <w:sz w:val="24"/>
          <w:szCs w:val="24"/>
        </w:rPr>
      </w:pPr>
      <w:r>
        <w:rPr>
          <w:rFonts w:cs="Times New Roman"/>
          <w:sz w:val="24"/>
          <w:szCs w:val="24"/>
        </w:rPr>
        <w:t>2</w:t>
      </w:r>
      <w:r w:rsidR="000F6285" w:rsidRPr="00AD6C54">
        <w:rPr>
          <w:rFonts w:cs="Times New Roman"/>
          <w:sz w:val="24"/>
          <w:szCs w:val="24"/>
        </w:rPr>
        <w:t xml:space="preserve"> </w:t>
      </w:r>
      <w:r w:rsidR="00917684">
        <w:rPr>
          <w:rFonts w:cs="Times New Roman"/>
          <w:sz w:val="24"/>
          <w:szCs w:val="24"/>
        </w:rPr>
        <w:t>referencial</w:t>
      </w:r>
      <w:r w:rsidR="000F6285" w:rsidRPr="00AD6C54">
        <w:rPr>
          <w:rFonts w:cs="Times New Roman"/>
          <w:sz w:val="24"/>
          <w:szCs w:val="24"/>
        </w:rPr>
        <w:t xml:space="preserve"> TEÓRICO</w:t>
      </w:r>
    </w:p>
    <w:p w14:paraId="375C4B85" w14:textId="77E2D178" w:rsidR="009318C7" w:rsidRDefault="009318C7" w:rsidP="000F6285">
      <w:pPr>
        <w:ind w:firstLine="0"/>
        <w:rPr>
          <w:rFonts w:cs="Times New Roman"/>
          <w:b/>
          <w:szCs w:val="24"/>
        </w:rPr>
      </w:pPr>
    </w:p>
    <w:p w14:paraId="538AEE91" w14:textId="4BE54BFC" w:rsidR="00917684" w:rsidRPr="00917684" w:rsidRDefault="4FAD4B60" w:rsidP="4FAD4B60">
      <w:pPr>
        <w:ind w:firstLine="708"/>
        <w:rPr>
          <w:rFonts w:cs="Times New Roman"/>
        </w:rPr>
      </w:pPr>
      <w:r w:rsidRPr="4FAD4B60">
        <w:rPr>
          <w:rFonts w:cs="Times New Roman"/>
        </w:rPr>
        <w:t xml:space="preserve">Nesta parte do trabalho são apresentados os conceitos que embasam o trabalho, a saber o conceito de governança corporativa, o conceito de governança pública, bem como os </w:t>
      </w:r>
      <w:r>
        <w:t>indicadores utilizados para mensuração da governança pública, o Índice Integrado de Governança e Gestão (</w:t>
      </w:r>
      <w:proofErr w:type="spellStart"/>
      <w:r>
        <w:t>iGG</w:t>
      </w:r>
      <w:proofErr w:type="spellEnd"/>
      <w:r>
        <w:t>) proposto pelo TCU e utilizado neste trabalho, assim como o Índice Geral de Cursos (IGC) utilizado pelo MEC para a avaliação da qualidade da educação superior no Brasil.</w:t>
      </w:r>
    </w:p>
    <w:p w14:paraId="0E3229AD" w14:textId="77777777" w:rsidR="00917684" w:rsidRPr="00AD6C54" w:rsidRDefault="00917684" w:rsidP="000F6285">
      <w:pPr>
        <w:ind w:firstLine="0"/>
        <w:rPr>
          <w:rFonts w:cs="Times New Roman"/>
          <w:b/>
          <w:szCs w:val="24"/>
        </w:rPr>
      </w:pPr>
    </w:p>
    <w:p w14:paraId="6ACA032F" w14:textId="7C1BCCD5" w:rsidR="001C0450" w:rsidRPr="00AD6C54" w:rsidRDefault="00051E2F" w:rsidP="007C083B">
      <w:pPr>
        <w:pStyle w:val="Ttulo2"/>
      </w:pPr>
      <w:r>
        <w:t>2</w:t>
      </w:r>
      <w:r w:rsidR="000F6285" w:rsidRPr="00AD6C54">
        <w:t xml:space="preserve">.1 </w:t>
      </w:r>
      <w:r w:rsidR="007C083B" w:rsidRPr="00AD6C54">
        <w:t xml:space="preserve">Governança </w:t>
      </w:r>
      <w:r w:rsidR="00D730C5" w:rsidRPr="00AD6C54">
        <w:t>Corporativa</w:t>
      </w:r>
      <w:r w:rsidR="000D3EFA">
        <w:t xml:space="preserve"> e Governança Pública</w:t>
      </w:r>
    </w:p>
    <w:p w14:paraId="62E9020E" w14:textId="77777777" w:rsidR="00F17B56" w:rsidRPr="00AD6C54" w:rsidRDefault="00F17B56" w:rsidP="00570BCE">
      <w:pPr>
        <w:spacing w:after="168" w:line="240" w:lineRule="auto"/>
        <w:ind w:firstLine="0"/>
      </w:pPr>
    </w:p>
    <w:p w14:paraId="2000C727" w14:textId="77CC61ED" w:rsidR="007C083B" w:rsidRPr="00AD6C54" w:rsidRDefault="00D730C5" w:rsidP="00D9114A">
      <w:pPr>
        <w:ind w:firstLine="0"/>
      </w:pPr>
      <w:r w:rsidRPr="00AD6C54">
        <w:tab/>
        <w:t xml:space="preserve">Em relação </w:t>
      </w:r>
      <w:r w:rsidR="00F92526" w:rsidRPr="00AD6C54">
        <w:t>ao aspecto teórico</w:t>
      </w:r>
      <w:r w:rsidRPr="00AD6C54">
        <w:t xml:space="preserve"> </w:t>
      </w:r>
      <w:r w:rsidR="00526063">
        <w:t>relativo</w:t>
      </w:r>
      <w:r w:rsidRPr="00AD6C54">
        <w:t xml:space="preserve"> </w:t>
      </w:r>
      <w:r w:rsidR="00526063">
        <w:t>a</w:t>
      </w:r>
      <w:r w:rsidRPr="00AD6C54">
        <w:t xml:space="preserve">os índices de governança na gestão pública, </w:t>
      </w:r>
      <w:r w:rsidR="000D3EFA">
        <w:t>faz-se mister</w:t>
      </w:r>
      <w:r w:rsidRPr="00AD6C54">
        <w:t xml:space="preserve"> mencionar os conceitos </w:t>
      </w:r>
      <w:r w:rsidR="00526063">
        <w:t>já</w:t>
      </w:r>
      <w:r w:rsidRPr="00AD6C54">
        <w:t xml:space="preserve"> aplicados às corporações</w:t>
      </w:r>
      <w:r w:rsidR="00526063">
        <w:t xml:space="preserve"> privadas</w:t>
      </w:r>
      <w:r w:rsidR="000D3EFA">
        <w:t xml:space="preserve"> que inspiraram a formulação do </w:t>
      </w:r>
      <w:proofErr w:type="spellStart"/>
      <w:r w:rsidR="000D3EFA">
        <w:t>iGG</w:t>
      </w:r>
      <w:proofErr w:type="spellEnd"/>
      <w:r w:rsidR="000D3EFA">
        <w:t xml:space="preserve"> do TCU</w:t>
      </w:r>
      <w:r w:rsidRPr="00AD6C54">
        <w:t xml:space="preserve">. Para </w:t>
      </w:r>
      <w:r w:rsidR="00F61AC3">
        <w:t xml:space="preserve">Marques (2007), </w:t>
      </w:r>
      <w:r w:rsidR="000773D5">
        <w:t xml:space="preserve">governança corporativa </w:t>
      </w:r>
      <w:r w:rsidR="005224D6">
        <w:t xml:space="preserve">se relaciona aos mecanismos de direção e controle utilizados na gestão das </w:t>
      </w:r>
      <w:r w:rsidR="00980D4C">
        <w:t>empresas.</w:t>
      </w:r>
      <w:r w:rsidR="00F333B7">
        <w:t xml:space="preserve"> </w:t>
      </w:r>
      <w:r w:rsidR="00AA1680">
        <w:t>E</w:t>
      </w:r>
      <w:r w:rsidR="00F333B7">
        <w:t xml:space="preserve">xpõe </w:t>
      </w:r>
      <w:r w:rsidR="00AA1680">
        <w:t>também a</w:t>
      </w:r>
      <w:r w:rsidR="00F333B7">
        <w:t xml:space="preserve"> autor</w:t>
      </w:r>
      <w:r w:rsidR="00AA1680">
        <w:t>a</w:t>
      </w:r>
      <w:r w:rsidR="00F333B7">
        <w:t xml:space="preserve"> que </w:t>
      </w:r>
      <w:r w:rsidR="001E32A9">
        <w:t xml:space="preserve">estas ferramentas são utilizadas para agregar </w:t>
      </w:r>
      <w:r w:rsidR="00405EB4">
        <w:t>valor às instituições,</w:t>
      </w:r>
      <w:r w:rsidR="005E0944">
        <w:t xml:space="preserve"> criando obrigações e atribuições aos gestores</w:t>
      </w:r>
      <w:r w:rsidR="0008310F">
        <w:t>. Ainda nes</w:t>
      </w:r>
      <w:r w:rsidR="00954E3F">
        <w:t>s</w:t>
      </w:r>
      <w:r w:rsidR="0008310F">
        <w:t>e sentido,</w:t>
      </w:r>
    </w:p>
    <w:p w14:paraId="58E4E481" w14:textId="77777777" w:rsidR="00640729" w:rsidRPr="00AD6C54" w:rsidRDefault="00640729" w:rsidP="00D9114A">
      <w:pPr>
        <w:ind w:firstLine="0"/>
      </w:pPr>
    </w:p>
    <w:p w14:paraId="601F11B0" w14:textId="036C091C" w:rsidR="00D730C5" w:rsidRPr="00AD6C54" w:rsidRDefault="4FAD4B60" w:rsidP="00795A5D">
      <w:pPr>
        <w:spacing w:line="240" w:lineRule="auto"/>
        <w:ind w:left="2268" w:firstLine="0"/>
        <w:rPr>
          <w:rFonts w:cs="Times New Roman"/>
          <w:sz w:val="20"/>
          <w:szCs w:val="20"/>
        </w:rPr>
      </w:pPr>
      <w:r w:rsidRPr="4FAD4B60">
        <w:rPr>
          <w:sz w:val="20"/>
          <w:szCs w:val="20"/>
        </w:rPr>
        <w:t xml:space="preserve">A discussão sobre a necessidade de aprimoramento da governança corporativa nas empresas surgiu </w:t>
      </w:r>
      <w:r w:rsidRPr="4FAD4B60">
        <w:rPr>
          <w:rFonts w:cs="Times New Roman"/>
          <w:sz w:val="20"/>
          <w:szCs w:val="20"/>
        </w:rPr>
        <w:t>como resposta a diversos registros de expropriação da riqueza dos acionistas por parte dos gestores em empresas com estrutura de propriedade pulverizada e dos acionistas minoritários controladores em empresas com estrutura de propriedade concentrada. Estes registros decorrem do problema de agência dos gestores, que ocorre quando os gestores tomam decisões com o intuito de maximizar sua utilidade pessoal e não a riqueza de todos os acionistas, motivo pelo qual são contratados (SILVEIRA, 2004, p.31).</w:t>
      </w:r>
    </w:p>
    <w:p w14:paraId="22F66B33" w14:textId="77777777" w:rsidR="00640729" w:rsidRPr="00AD6C54" w:rsidRDefault="00640729" w:rsidP="00D9114A">
      <w:pPr>
        <w:ind w:left="2268" w:firstLine="0"/>
        <w:rPr>
          <w:rFonts w:cs="Times New Roman"/>
          <w:sz w:val="20"/>
          <w:szCs w:val="24"/>
        </w:rPr>
      </w:pPr>
    </w:p>
    <w:p w14:paraId="06C6F221" w14:textId="13D89F61" w:rsidR="00361CD9" w:rsidRPr="00AD6C54" w:rsidRDefault="00D9114A" w:rsidP="00D9114A">
      <w:pPr>
        <w:ind w:firstLine="0"/>
        <w:rPr>
          <w:rFonts w:cs="Times New Roman"/>
          <w:szCs w:val="24"/>
        </w:rPr>
      </w:pPr>
      <w:r w:rsidRPr="00AD6C54">
        <w:rPr>
          <w:rFonts w:cs="Times New Roman"/>
          <w:szCs w:val="24"/>
        </w:rPr>
        <w:lastRenderedPageBreak/>
        <w:tab/>
      </w:r>
      <w:r w:rsidR="003E24BE" w:rsidRPr="00AD6C54">
        <w:rPr>
          <w:rFonts w:cs="Times New Roman"/>
          <w:szCs w:val="24"/>
        </w:rPr>
        <w:t xml:space="preserve">De maneira análoga, Botelho </w:t>
      </w:r>
      <w:r w:rsidR="00F92526" w:rsidRPr="00AD6C54">
        <w:rPr>
          <w:rFonts w:cs="Times New Roman"/>
          <w:szCs w:val="24"/>
        </w:rPr>
        <w:t>(</w:t>
      </w:r>
      <w:r w:rsidR="003E24BE" w:rsidRPr="00AD6C54">
        <w:rPr>
          <w:rFonts w:cs="Times New Roman"/>
          <w:szCs w:val="24"/>
        </w:rPr>
        <w:t>2012</w:t>
      </w:r>
      <w:r w:rsidR="00F92526" w:rsidRPr="00AD6C54">
        <w:rPr>
          <w:rFonts w:cs="Times New Roman"/>
          <w:szCs w:val="24"/>
        </w:rPr>
        <w:t>)</w:t>
      </w:r>
      <w:r w:rsidR="003E24BE" w:rsidRPr="00AD6C54">
        <w:rPr>
          <w:rFonts w:cs="Times New Roman"/>
          <w:szCs w:val="24"/>
        </w:rPr>
        <w:t xml:space="preserve"> reflete sobre a tendência de o homem, quando empossado da capacidade de gerir recursos públicos, agir de maneira individualista e ter suas decisões pautadas em interesse</w:t>
      </w:r>
      <w:r w:rsidR="00F92526" w:rsidRPr="00AD6C54">
        <w:rPr>
          <w:rFonts w:cs="Times New Roman"/>
          <w:szCs w:val="24"/>
        </w:rPr>
        <w:t>s</w:t>
      </w:r>
      <w:r w:rsidR="003E24BE" w:rsidRPr="00AD6C54">
        <w:rPr>
          <w:rFonts w:cs="Times New Roman"/>
          <w:szCs w:val="24"/>
        </w:rPr>
        <w:t xml:space="preserve"> particulares, em detrimento das necessidades coletivas. A es</w:t>
      </w:r>
      <w:r w:rsidR="003A2F33">
        <w:rPr>
          <w:rFonts w:cs="Times New Roman"/>
          <w:szCs w:val="24"/>
        </w:rPr>
        <w:t>s</w:t>
      </w:r>
      <w:r w:rsidR="003E24BE" w:rsidRPr="00AD6C54">
        <w:rPr>
          <w:rFonts w:cs="Times New Roman"/>
          <w:szCs w:val="24"/>
        </w:rPr>
        <w:t>a propensão de comportamento egoístico dos gestores associa-se o problema de agência, que encontra na governança corporativa, mecanismos de gestão tendentes a minimizá-lo.</w:t>
      </w:r>
    </w:p>
    <w:p w14:paraId="7E9B3B4B" w14:textId="4EC61461" w:rsidR="00AE19C7" w:rsidRPr="00101012" w:rsidRDefault="004A4B79" w:rsidP="009318C7">
      <w:pPr>
        <w:ind w:firstLine="0"/>
      </w:pPr>
      <w:r w:rsidRPr="00AD6C54">
        <w:tab/>
      </w:r>
      <w:r w:rsidR="00AE19C7" w:rsidRPr="00101012">
        <w:t xml:space="preserve">No contexto público, destacam-se ainda outros suportes teóricos quanto aos problemas de gestão que </w:t>
      </w:r>
      <w:r w:rsidR="005E6636" w:rsidRPr="00101012">
        <w:t>encontram</w:t>
      </w:r>
      <w:r w:rsidR="00AE19C7" w:rsidRPr="00101012">
        <w:t xml:space="preserve"> nas práticas de governança instrumentos para </w:t>
      </w:r>
      <w:r w:rsidR="00350122" w:rsidRPr="00101012">
        <w:t>reduzi-los</w:t>
      </w:r>
      <w:r w:rsidR="00AE19C7" w:rsidRPr="00101012">
        <w:t xml:space="preserve">. </w:t>
      </w:r>
      <w:r w:rsidR="00C12F2A" w:rsidRPr="00101012">
        <w:t>Souza</w:t>
      </w:r>
      <w:r w:rsidR="003B54EC" w:rsidRPr="00101012">
        <w:t xml:space="preserve"> (20</w:t>
      </w:r>
      <w:r w:rsidR="00EA3C31" w:rsidRPr="00101012">
        <w:t>06</w:t>
      </w:r>
      <w:r w:rsidR="003B54EC" w:rsidRPr="00101012">
        <w:t>)</w:t>
      </w:r>
      <w:r w:rsidR="00191A68">
        <w:t>,</w:t>
      </w:r>
      <w:r w:rsidR="003B54EC" w:rsidRPr="00101012">
        <w:t xml:space="preserve"> </w:t>
      </w:r>
      <w:r w:rsidR="006F407E" w:rsidRPr="00101012">
        <w:t>em estudo sobre as políticas públicas</w:t>
      </w:r>
      <w:r w:rsidR="00E92682">
        <w:t>,</w:t>
      </w:r>
      <w:r w:rsidR="006F407E" w:rsidRPr="00101012">
        <w:t xml:space="preserve"> </w:t>
      </w:r>
      <w:r w:rsidR="0038730F" w:rsidRPr="00101012">
        <w:t xml:space="preserve">minucia os problemas </w:t>
      </w:r>
      <w:r w:rsidR="00A74030" w:rsidRPr="00101012">
        <w:t xml:space="preserve">que os gestores encontram </w:t>
      </w:r>
      <w:r w:rsidR="00075361" w:rsidRPr="00101012">
        <w:t xml:space="preserve">em seu papel de </w:t>
      </w:r>
      <w:r w:rsidR="000F0DB0" w:rsidRPr="00101012">
        <w:t>determinar</w:t>
      </w:r>
      <w:r w:rsidR="00075361" w:rsidRPr="00101012">
        <w:t xml:space="preserve"> e </w:t>
      </w:r>
      <w:r w:rsidR="000F0DB0" w:rsidRPr="00101012">
        <w:t xml:space="preserve">colocar em prática </w:t>
      </w:r>
      <w:r w:rsidR="0038730F" w:rsidRPr="00101012">
        <w:t xml:space="preserve">políticas públicas </w:t>
      </w:r>
      <w:r w:rsidR="003427DF" w:rsidRPr="00101012">
        <w:t xml:space="preserve">adequadas a </w:t>
      </w:r>
      <w:r w:rsidR="00D5486F" w:rsidRPr="00101012">
        <w:t>atender às demandas da sociedade</w:t>
      </w:r>
      <w:r w:rsidR="008C535D" w:rsidRPr="00101012">
        <w:t>.</w:t>
      </w:r>
      <w:r w:rsidR="00D5486F" w:rsidRPr="00101012">
        <w:t xml:space="preserve"> </w:t>
      </w:r>
      <w:r w:rsidR="008C535D" w:rsidRPr="00101012">
        <w:t xml:space="preserve">Cita </w:t>
      </w:r>
      <w:r w:rsidR="00D5486F" w:rsidRPr="00101012">
        <w:t>as limitações</w:t>
      </w:r>
      <w:r w:rsidR="00C356E0" w:rsidRPr="00101012">
        <w:t xml:space="preserve"> financeiras </w:t>
      </w:r>
      <w:r w:rsidR="003427DF" w:rsidRPr="00101012">
        <w:t>próprias d</w:t>
      </w:r>
      <w:r w:rsidR="00796D99" w:rsidRPr="00101012">
        <w:t>os países em desenvolvimento</w:t>
      </w:r>
      <w:r w:rsidR="001108DE" w:rsidRPr="00101012">
        <w:t xml:space="preserve">, além de </w:t>
      </w:r>
      <w:r w:rsidR="0005066F" w:rsidRPr="00101012">
        <w:t xml:space="preserve">fatores </w:t>
      </w:r>
      <w:r w:rsidR="00506995" w:rsidRPr="00101012">
        <w:t>de influência</w:t>
      </w:r>
      <w:r w:rsidR="0005066F" w:rsidRPr="00101012">
        <w:t xml:space="preserve"> internos e externos</w:t>
      </w:r>
      <w:r w:rsidR="00506995" w:rsidRPr="00101012">
        <w:t xml:space="preserve"> ao governo</w:t>
      </w:r>
      <w:r w:rsidR="006C2C55" w:rsidRPr="00101012">
        <w:t>, que acaba</w:t>
      </w:r>
      <w:r w:rsidR="000166CE" w:rsidRPr="00101012">
        <w:t>m</w:t>
      </w:r>
      <w:r w:rsidR="006C2C55" w:rsidRPr="00101012">
        <w:t xml:space="preserve"> por </w:t>
      </w:r>
      <w:r w:rsidR="008C535D" w:rsidRPr="00101012">
        <w:t xml:space="preserve">diminuir </w:t>
      </w:r>
      <w:r w:rsidR="000166CE" w:rsidRPr="00101012">
        <w:t>o campo de escolha e atuação dos gestores públicos.</w:t>
      </w:r>
    </w:p>
    <w:p w14:paraId="6B9FAC70" w14:textId="0307DB8E" w:rsidR="003A3CC6" w:rsidRDefault="003A3CC6" w:rsidP="009318C7">
      <w:pPr>
        <w:ind w:firstLine="0"/>
      </w:pPr>
      <w:r w:rsidRPr="00101012">
        <w:tab/>
      </w:r>
      <w:r w:rsidR="00C60F37" w:rsidRPr="00101012">
        <w:t xml:space="preserve">Para </w:t>
      </w:r>
      <w:r w:rsidR="00761448" w:rsidRPr="00101012">
        <w:t>Pereira</w:t>
      </w:r>
      <w:r w:rsidR="00D64C9B" w:rsidRPr="00101012">
        <w:t xml:space="preserve"> (</w:t>
      </w:r>
      <w:r w:rsidR="00761448" w:rsidRPr="00101012">
        <w:t>1997</w:t>
      </w:r>
      <w:r w:rsidR="00D64C9B" w:rsidRPr="00101012">
        <w:t>)</w:t>
      </w:r>
      <w:r w:rsidR="00C60F37" w:rsidRPr="00101012">
        <w:t>,</w:t>
      </w:r>
      <w:r w:rsidR="001D0663" w:rsidRPr="00101012">
        <w:t xml:space="preserve"> a teoria das escolhas públicas</w:t>
      </w:r>
      <w:r w:rsidR="000765C6" w:rsidRPr="00101012">
        <w:t xml:space="preserve"> </w:t>
      </w:r>
      <w:r w:rsidR="00AC1207" w:rsidRPr="00101012">
        <w:t xml:space="preserve">demonstra </w:t>
      </w:r>
      <w:r w:rsidR="00706C91" w:rsidRPr="00101012">
        <w:t>as</w:t>
      </w:r>
      <w:r w:rsidR="001D0663" w:rsidRPr="00101012">
        <w:t xml:space="preserve"> falhas de governo</w:t>
      </w:r>
      <w:r w:rsidR="00706C91" w:rsidRPr="00101012">
        <w:t xml:space="preserve"> e</w:t>
      </w:r>
      <w:r w:rsidR="00AC1207" w:rsidRPr="00101012">
        <w:t xml:space="preserve"> </w:t>
      </w:r>
      <w:r w:rsidR="00E377FE" w:rsidRPr="00101012">
        <w:t xml:space="preserve">os aspectos que </w:t>
      </w:r>
      <w:r w:rsidR="00F7693D" w:rsidRPr="00101012">
        <w:t>abafam</w:t>
      </w:r>
      <w:r w:rsidR="00E377FE" w:rsidRPr="00101012">
        <w:t xml:space="preserve"> a capacidade do gestor </w:t>
      </w:r>
      <w:r w:rsidR="0000387F" w:rsidRPr="00101012">
        <w:t xml:space="preserve">de governar conforme os interesses dos que o elegeram. </w:t>
      </w:r>
      <w:r w:rsidR="00B25516" w:rsidRPr="00101012">
        <w:t>É trazid</w:t>
      </w:r>
      <w:r w:rsidR="00FB4D07" w:rsidRPr="00101012">
        <w:t>a</w:t>
      </w:r>
      <w:r w:rsidR="00B25516" w:rsidRPr="00101012">
        <w:t xml:space="preserve"> </w:t>
      </w:r>
      <w:r w:rsidR="00EC062B" w:rsidRPr="00101012">
        <w:t>a dificuldade</w:t>
      </w:r>
      <w:r w:rsidR="00FC55DD" w:rsidRPr="00101012">
        <w:t xml:space="preserve"> </w:t>
      </w:r>
      <w:r w:rsidR="00BE3850" w:rsidRPr="00101012">
        <w:t>do</w:t>
      </w:r>
      <w:r w:rsidR="00FC55DD" w:rsidRPr="00101012">
        <w:t xml:space="preserve"> ges</w:t>
      </w:r>
      <w:r w:rsidR="00BE3850" w:rsidRPr="00101012">
        <w:t>tor público</w:t>
      </w:r>
      <w:r w:rsidR="00EF0ED7" w:rsidRPr="00101012">
        <w:t xml:space="preserve"> em seus processos de </w:t>
      </w:r>
      <w:r w:rsidR="009E0958" w:rsidRPr="00101012">
        <w:t xml:space="preserve">tomada </w:t>
      </w:r>
      <w:r w:rsidR="00EF0ED7" w:rsidRPr="00101012">
        <w:t>decisão</w:t>
      </w:r>
      <w:r w:rsidR="00EC062B" w:rsidRPr="00101012">
        <w:t xml:space="preserve">, que </w:t>
      </w:r>
      <w:r w:rsidR="000E4E26" w:rsidRPr="00101012">
        <w:t>busca compreender</w:t>
      </w:r>
      <w:r w:rsidR="009A3890" w:rsidRPr="00101012">
        <w:t xml:space="preserve"> e atender</w:t>
      </w:r>
      <w:r w:rsidR="00EC062B" w:rsidRPr="00101012">
        <w:t xml:space="preserve"> </w:t>
      </w:r>
      <w:r w:rsidR="008D1FBA" w:rsidRPr="00101012">
        <w:t>os</w:t>
      </w:r>
      <w:r w:rsidR="00EC062B" w:rsidRPr="00101012">
        <w:t xml:space="preserve"> diversos grupos de interesse</w:t>
      </w:r>
      <w:r w:rsidR="001A5AB9" w:rsidRPr="00101012">
        <w:t xml:space="preserve">, observando ainda as normas e </w:t>
      </w:r>
      <w:r w:rsidR="008D1FBA" w:rsidRPr="00101012">
        <w:t xml:space="preserve">regras. Por fim, </w:t>
      </w:r>
      <w:r w:rsidR="005B0830" w:rsidRPr="00101012">
        <w:t>relata</w:t>
      </w:r>
      <w:r w:rsidR="00974ECC" w:rsidRPr="00101012">
        <w:t xml:space="preserve"> que a consequência des</w:t>
      </w:r>
      <w:r w:rsidR="00FB4D07" w:rsidRPr="00101012">
        <w:t>s</w:t>
      </w:r>
      <w:r w:rsidR="00974ECC" w:rsidRPr="00101012">
        <w:t xml:space="preserve">es problemas é o descrédito da sociedade quanto à capacidade de resolução de problemas </w:t>
      </w:r>
      <w:r w:rsidR="005A4BFC" w:rsidRPr="00101012">
        <w:t>pelos</w:t>
      </w:r>
      <w:r w:rsidR="00974ECC" w:rsidRPr="00101012">
        <w:t xml:space="preserve"> órgãos públicos.</w:t>
      </w:r>
    </w:p>
    <w:p w14:paraId="40C6AAB7" w14:textId="1221F4E8" w:rsidR="00D730C5" w:rsidRPr="00AD6C54" w:rsidRDefault="004A4B79" w:rsidP="00AE19C7">
      <w:pPr>
        <w:ind w:firstLine="708"/>
      </w:pPr>
      <w:r w:rsidRPr="00AD6C54">
        <w:t xml:space="preserve">No âmbito </w:t>
      </w:r>
      <w:r w:rsidR="00342A5B">
        <w:t>normativo brasileiro</w:t>
      </w:r>
      <w:r w:rsidRPr="00AD6C54">
        <w:t xml:space="preserve">, percebe-se </w:t>
      </w:r>
      <w:r w:rsidR="00731F3B">
        <w:t>o fortalecimento dos conceitos de governança</w:t>
      </w:r>
      <w:r w:rsidRPr="00AD6C54">
        <w:t>. Nes</w:t>
      </w:r>
      <w:r w:rsidR="005A4BFC">
        <w:t>s</w:t>
      </w:r>
      <w:r w:rsidRPr="00AD6C54">
        <w:t>e sentido, transcreve</w:t>
      </w:r>
      <w:r w:rsidR="000A42DA" w:rsidRPr="00AD6C54">
        <w:t>m</w:t>
      </w:r>
      <w:r w:rsidRPr="00AD6C54">
        <w:t xml:space="preserve">-se </w:t>
      </w:r>
      <w:r w:rsidR="002546A0" w:rsidRPr="00AD6C54">
        <w:t xml:space="preserve">conceitos trazidos pelo </w:t>
      </w:r>
      <w:r w:rsidRPr="00AD6C54">
        <w:t xml:space="preserve">Decreto </w:t>
      </w:r>
      <w:r w:rsidR="00EE6258" w:rsidRPr="00AD6C54">
        <w:t xml:space="preserve">Federal </w:t>
      </w:r>
      <w:r w:rsidRPr="00AD6C54">
        <w:t xml:space="preserve">nº 9.203, de 22 de novembro de 2017, que </w:t>
      </w:r>
      <w:r w:rsidR="00B9740B">
        <w:t>d</w:t>
      </w:r>
      <w:r w:rsidR="002546A0" w:rsidRPr="00AD6C54">
        <w:t>ispõe sobre a política de governança da administração pública federal direta, autárquica e fundacional: “governança pública - conjunto de mecanismos de liderança, estratégia e controle postos em prática para avaliar, direcionar e monitorar a gestão, com vistas à condução de políticas públicas e à prestação de serviços de interesse da sociedade” (BRASIL, 2017).</w:t>
      </w:r>
    </w:p>
    <w:p w14:paraId="20900ACB" w14:textId="7819ADE9" w:rsidR="002546A0" w:rsidRPr="00AD6C54" w:rsidRDefault="002546A0" w:rsidP="002546A0">
      <w:pPr>
        <w:ind w:firstLine="0"/>
      </w:pPr>
      <w:r w:rsidRPr="00AD6C54">
        <w:tab/>
        <w:t xml:space="preserve">Ainda, mencionado decreto enumera princípios e diretrizes para a execução das práticas de governança pública, como transparência e gestão de </w:t>
      </w:r>
      <w:r w:rsidRPr="005741C2">
        <w:t xml:space="preserve">riscos, </w:t>
      </w:r>
      <w:r w:rsidR="00675B88" w:rsidRPr="005741C2">
        <w:t>na qualidade de</w:t>
      </w:r>
      <w:r w:rsidRPr="005741C2">
        <w:t xml:space="preserve"> mecanismos</w:t>
      </w:r>
      <w:r w:rsidRPr="00AD6C54">
        <w:t xml:space="preserve"> essenciais no intuito de, entre outros objetivos, “direcionar ações para a busca de resultados para a sociedade, encontrando soluções tempestivas e inovadoras para lidar com a limitação de recursos e com as mudanças de prioridades”</w:t>
      </w:r>
      <w:r w:rsidR="0009737B" w:rsidRPr="00AD6C54">
        <w:t xml:space="preserve"> (BRASIL, 2017).</w:t>
      </w:r>
    </w:p>
    <w:p w14:paraId="027A2963" w14:textId="6ECFD357" w:rsidR="000A42DA" w:rsidRPr="00AD6C54" w:rsidRDefault="002546A0" w:rsidP="008363D6">
      <w:pPr>
        <w:ind w:firstLine="0"/>
      </w:pPr>
      <w:r w:rsidRPr="00AD6C54">
        <w:tab/>
      </w:r>
      <w:r w:rsidR="000A42DA" w:rsidRPr="00AD6C54">
        <w:t>Observa-se que o conceito de governança pública tem como fi</w:t>
      </w:r>
      <w:r w:rsidR="00F92526" w:rsidRPr="00AD6C54">
        <w:t>nalidade</w:t>
      </w:r>
      <w:r w:rsidR="000A42DA" w:rsidRPr="00AD6C54">
        <w:t xml:space="preserve"> a melhoria na prestação de serviços à sociedade e, para tanto, delimita as ações dos gestores de recursos públicos. Tal </w:t>
      </w:r>
      <w:r w:rsidR="009A09EC" w:rsidRPr="008D5CAC">
        <w:t>definição</w:t>
      </w:r>
      <w:r w:rsidR="000A42DA" w:rsidRPr="008D5CAC">
        <w:t xml:space="preserve"> se</w:t>
      </w:r>
      <w:r w:rsidR="000A42DA" w:rsidRPr="00AD6C54">
        <w:t xml:space="preserve"> mostra assentad</w:t>
      </w:r>
      <w:r w:rsidR="009A09EC">
        <w:t>a</w:t>
      </w:r>
      <w:r w:rsidR="000A42DA" w:rsidRPr="00AD6C54">
        <w:t xml:space="preserve"> </w:t>
      </w:r>
      <w:r w:rsidR="009A09EC">
        <w:t>à</w:t>
      </w:r>
      <w:r w:rsidR="000A42DA" w:rsidRPr="00AD6C54">
        <w:t xml:space="preserve"> </w:t>
      </w:r>
      <w:r w:rsidR="009A09EC">
        <w:t xml:space="preserve">apresentada </w:t>
      </w:r>
      <w:r w:rsidR="000A42DA" w:rsidRPr="00AD6C54">
        <w:t xml:space="preserve">na governança corporativa como </w:t>
      </w:r>
      <w:r w:rsidR="004B0D75" w:rsidRPr="00AD6C54">
        <w:lastRenderedPageBreak/>
        <w:t>atenuante a</w:t>
      </w:r>
      <w:r w:rsidR="000A42DA" w:rsidRPr="00AD6C54">
        <w:t>o problema de agência.</w:t>
      </w:r>
      <w:r w:rsidR="004B0D75" w:rsidRPr="00AD6C54">
        <w:t xml:space="preserve"> </w:t>
      </w:r>
      <w:r w:rsidR="00AF2739" w:rsidRPr="004B3A55">
        <w:t xml:space="preserve">Ainda, </w:t>
      </w:r>
      <w:r w:rsidR="00AD19A0" w:rsidRPr="004B3A55">
        <w:t xml:space="preserve">tais práticas </w:t>
      </w:r>
      <w:r w:rsidR="004B3A55">
        <w:t>tendem a</w:t>
      </w:r>
      <w:r w:rsidR="00AD19A0" w:rsidRPr="004B3A55">
        <w:t xml:space="preserve"> aprimorar a definição de políticas públ</w:t>
      </w:r>
      <w:r w:rsidR="003129C2" w:rsidRPr="004B3A55">
        <w:t xml:space="preserve">icas, lidando com </w:t>
      </w:r>
      <w:r w:rsidR="00580001" w:rsidRPr="004B3A55">
        <w:t xml:space="preserve">a escassez de recursos, em consenso com a teoria </w:t>
      </w:r>
      <w:r w:rsidR="009E0AB1" w:rsidRPr="004B3A55">
        <w:t>apresentada.</w:t>
      </w:r>
      <w:r w:rsidR="00FF1D31">
        <w:t xml:space="preserve"> </w:t>
      </w:r>
    </w:p>
    <w:p w14:paraId="50FADF31" w14:textId="5B0F57E2" w:rsidR="004A4B79" w:rsidRPr="00AD6C54" w:rsidRDefault="002546A0" w:rsidP="000A42DA">
      <w:pPr>
        <w:ind w:firstLine="708"/>
      </w:pPr>
      <w:r w:rsidRPr="00AD6C54">
        <w:t>Es</w:t>
      </w:r>
      <w:r w:rsidR="00800654">
        <w:t>s</w:t>
      </w:r>
      <w:r w:rsidRPr="00AD6C54">
        <w:t xml:space="preserve">a preocupação recente </w:t>
      </w:r>
      <w:r w:rsidR="008363D6" w:rsidRPr="00AD6C54">
        <w:t xml:space="preserve">da legislação </w:t>
      </w:r>
      <w:r w:rsidRPr="00AD6C54">
        <w:t>em propiciar responsabilidade no gasto dos recursos públicos se encontra vastamente amparada na literatura.</w:t>
      </w:r>
      <w:r w:rsidR="00C96361" w:rsidRPr="00AD6C54">
        <w:t xml:space="preserve"> Nes</w:t>
      </w:r>
      <w:r w:rsidR="00800654">
        <w:t>s</w:t>
      </w:r>
      <w:r w:rsidR="00C96361" w:rsidRPr="00AD6C54">
        <w:t xml:space="preserve">e contexto, Rocha (2011) reflete quanto ao aprimoramento de ferramentas de </w:t>
      </w:r>
      <w:r w:rsidR="00C96361" w:rsidRPr="00AD6C54">
        <w:rPr>
          <w:i/>
        </w:rPr>
        <w:t>accountability</w:t>
      </w:r>
      <w:r w:rsidR="00C96361" w:rsidRPr="00AD6C54">
        <w:t xml:space="preserve"> demandado pelo regime democrático ao qual se insere a sociedade. Tal regime político gerou um dever de </w:t>
      </w:r>
      <w:r w:rsidR="00C643CE" w:rsidRPr="00AD6C54">
        <w:t xml:space="preserve">prestação de contas pelo gestor público e ao mesmo tempo uma responsabilidade na sociedade, de que esta atue como fiscalizadora </w:t>
      </w:r>
      <w:r w:rsidR="009C5D3A" w:rsidRPr="00AD6C54">
        <w:t>e,</w:t>
      </w:r>
      <w:r w:rsidR="00C643CE" w:rsidRPr="00AD6C54">
        <w:t xml:space="preserve"> portanto, instrumento de controle.</w:t>
      </w:r>
    </w:p>
    <w:p w14:paraId="435145A6" w14:textId="77777777" w:rsidR="00640729" w:rsidRPr="00AD6C54" w:rsidRDefault="00640729" w:rsidP="008363D6">
      <w:pPr>
        <w:ind w:firstLine="0"/>
      </w:pPr>
    </w:p>
    <w:p w14:paraId="68ED3D59" w14:textId="58A352E5" w:rsidR="008363D6" w:rsidRPr="00AD6C54" w:rsidRDefault="000D3EFA" w:rsidP="008363D6">
      <w:pPr>
        <w:pStyle w:val="Ttulo2"/>
      </w:pPr>
      <w:r>
        <w:t>2.2</w:t>
      </w:r>
      <w:r w:rsidR="008363D6" w:rsidRPr="00AD6C54">
        <w:t xml:space="preserve"> Indicadores de Governança Pública</w:t>
      </w:r>
    </w:p>
    <w:p w14:paraId="70577498" w14:textId="77777777" w:rsidR="008363D6" w:rsidRPr="00AD6C54" w:rsidRDefault="008363D6" w:rsidP="008363D6">
      <w:pPr>
        <w:ind w:firstLine="0"/>
      </w:pPr>
    </w:p>
    <w:p w14:paraId="6620CF52" w14:textId="3D0568D5" w:rsidR="008363D6" w:rsidRPr="00AD6C54" w:rsidRDefault="008363D6" w:rsidP="008363D6">
      <w:pPr>
        <w:ind w:firstLine="0"/>
      </w:pPr>
      <w:r w:rsidRPr="00AD6C54">
        <w:tab/>
        <w:t xml:space="preserve">De acordo com </w:t>
      </w:r>
      <w:proofErr w:type="spellStart"/>
      <w:r w:rsidRPr="00AD6C54">
        <w:t>Grateron</w:t>
      </w:r>
      <w:proofErr w:type="spellEnd"/>
      <w:r w:rsidRPr="00AD6C54">
        <w:t xml:space="preserve"> (1999</w:t>
      </w:r>
      <w:r w:rsidR="00845640" w:rsidRPr="00AD6C54">
        <w:t>, p. 2</w:t>
      </w:r>
      <w:r w:rsidRPr="00AD6C54">
        <w:t>):</w:t>
      </w:r>
    </w:p>
    <w:p w14:paraId="13BE7068" w14:textId="77777777" w:rsidR="00640729" w:rsidRPr="00AD6C54" w:rsidRDefault="00640729" w:rsidP="008363D6">
      <w:pPr>
        <w:ind w:firstLine="0"/>
      </w:pPr>
    </w:p>
    <w:p w14:paraId="0BEB03AD" w14:textId="77777777" w:rsidR="008363D6" w:rsidRPr="00AD6C54" w:rsidRDefault="008363D6" w:rsidP="00795A5D">
      <w:pPr>
        <w:spacing w:line="240" w:lineRule="auto"/>
        <w:ind w:left="2268" w:firstLine="0"/>
        <w:rPr>
          <w:sz w:val="20"/>
        </w:rPr>
      </w:pPr>
      <w:r w:rsidRPr="00AD6C54">
        <w:rPr>
          <w:sz w:val="20"/>
        </w:rPr>
        <w:t>Os governos, muito pelo contrário, fornecem serviços públicos e redistribuem as riquezas por diferentes motivos sociais e econômicos. Também se pode dizer que o benefício (ou lucro) que o governo persegue está expresso no bem comum da sociedade que representa; portanto, a atividade do setor público deve ser medida e avaliada mediante a utilização de parâmetros ou indicadores que decorram da eficiência e eficácia de modo que possam integrar os relatórios da entidade.</w:t>
      </w:r>
    </w:p>
    <w:p w14:paraId="51F8B8AC" w14:textId="77777777" w:rsidR="00640729" w:rsidRPr="00AD6C54" w:rsidRDefault="00640729" w:rsidP="00D91B74">
      <w:pPr>
        <w:ind w:left="2268" w:firstLine="0"/>
        <w:rPr>
          <w:sz w:val="20"/>
        </w:rPr>
      </w:pPr>
    </w:p>
    <w:p w14:paraId="27E529CB" w14:textId="5DE04D3E" w:rsidR="00DB521C" w:rsidRPr="00AA0286" w:rsidRDefault="00DB521C" w:rsidP="006B0519">
      <w:r w:rsidRPr="00AA0286">
        <w:t>Oliveira e Pisa (2015) relataram, à época, a carência de um índice oficial que viabilizasse a mensuração da capacidade de gestão dos governos, à luz dos conceitos de governança. Ainda, os autores propuseram a criação de um indicador que suprisse esta deficiência e atribuísse um escore aos governos com base em diversas variáveis, como efetividade da gestão, transparência</w:t>
      </w:r>
      <w:r w:rsidR="00FD597F" w:rsidRPr="00AA0286">
        <w:t xml:space="preserve">, </w:t>
      </w:r>
      <w:r w:rsidRPr="00AA0286">
        <w:rPr>
          <w:i/>
          <w:iCs/>
        </w:rPr>
        <w:t>accountability</w:t>
      </w:r>
      <w:r w:rsidRPr="00AA0286">
        <w:t>, entre outros.</w:t>
      </w:r>
    </w:p>
    <w:p w14:paraId="05C13AC1" w14:textId="7C36A217" w:rsidR="004E4960" w:rsidRDefault="006B0519" w:rsidP="004E4960">
      <w:pPr>
        <w:ind w:firstLine="708"/>
      </w:pPr>
      <w:r w:rsidRPr="00AA0286">
        <w:t xml:space="preserve">Castro </w:t>
      </w:r>
      <w:r w:rsidR="006E4A33">
        <w:t>e Carvalho</w:t>
      </w:r>
      <w:r w:rsidR="009A60A2">
        <w:t xml:space="preserve"> </w:t>
      </w:r>
      <w:r w:rsidRPr="00AA0286">
        <w:t>(2017)</w:t>
      </w:r>
      <w:r w:rsidR="00AA0565" w:rsidRPr="00AA0286">
        <w:t xml:space="preserve"> notabilizam o</w:t>
      </w:r>
      <w:r w:rsidR="009F76C2" w:rsidRPr="00AA0286">
        <w:t xml:space="preserve"> Índice de Efetividade da Gestão Municipal (IEGM)</w:t>
      </w:r>
      <w:r w:rsidR="009B6C39" w:rsidRPr="00AA0286">
        <w:t xml:space="preserve">. </w:t>
      </w:r>
      <w:r w:rsidR="00160C2E" w:rsidRPr="00AA0286">
        <w:t>Observam que o indicador é fruto de</w:t>
      </w:r>
      <w:r w:rsidR="009F76C2" w:rsidRPr="00AA0286">
        <w:t xml:space="preserve"> esforço conjunto realizado pelos Tribunais de Contas do Brasil, em parceria com o Instituto Rui Barbosa</w:t>
      </w:r>
      <w:r w:rsidR="007C2CCC" w:rsidRPr="00AA0286">
        <w:t xml:space="preserve">, </w:t>
      </w:r>
      <w:r w:rsidR="00160C2E" w:rsidRPr="00AA0286">
        <w:t>e</w:t>
      </w:r>
      <w:r w:rsidR="007C2CCC" w:rsidRPr="00AA0286">
        <w:t xml:space="preserve"> busca </w:t>
      </w:r>
      <w:r w:rsidR="00605B9D" w:rsidRPr="00AA0286">
        <w:t>mensurar</w:t>
      </w:r>
      <w:r w:rsidR="00BF1462" w:rsidRPr="00AA0286">
        <w:t xml:space="preserve"> a competência de gestão dos governos municipais.</w:t>
      </w:r>
    </w:p>
    <w:p w14:paraId="4DD17A7F" w14:textId="136CA6FF" w:rsidR="00D91B74" w:rsidRPr="00AD6C54" w:rsidRDefault="0090529F" w:rsidP="00DB521C">
      <w:pPr>
        <w:ind w:firstLine="708"/>
      </w:pPr>
      <w:r w:rsidRPr="00AD6C54">
        <w:t xml:space="preserve">Para Melo (2014), o TCU tem exercido, nos últimos anos, papel importante na orientação e instigação de boas práticas de gestão nos órgãos da administração pública. Conforme a autora, a corte de contas tem ocupado posição importante sobre governança ao inovar e extrapolar funções </w:t>
      </w:r>
      <w:r w:rsidR="00AD68B7" w:rsidRPr="00AD6C54">
        <w:t xml:space="preserve">que são tipicamente atribuídas a este órgão de controle, como análises de conformidade ou </w:t>
      </w:r>
      <w:r w:rsidR="00AD68B7" w:rsidRPr="00E61EEA">
        <w:t>legalidade</w:t>
      </w:r>
      <w:r w:rsidR="00C40A08" w:rsidRPr="00E61EEA">
        <w:t>,</w:t>
      </w:r>
      <w:r w:rsidR="0056401F" w:rsidRPr="00E61EEA">
        <w:t xml:space="preserve"> demonstrando um </w:t>
      </w:r>
      <w:r w:rsidR="00DD7953" w:rsidRPr="00E61EEA">
        <w:t xml:space="preserve">novo </w:t>
      </w:r>
      <w:r w:rsidR="0056401F" w:rsidRPr="00E61EEA">
        <w:t>foco</w:t>
      </w:r>
      <w:r w:rsidR="00DD7953" w:rsidRPr="00E61EEA">
        <w:t>, mais</w:t>
      </w:r>
      <w:r w:rsidR="0056401F" w:rsidRPr="00E61EEA">
        <w:t xml:space="preserve"> pedagógico</w:t>
      </w:r>
      <w:r w:rsidR="00885010" w:rsidRPr="00E61EEA">
        <w:t>.</w:t>
      </w:r>
    </w:p>
    <w:p w14:paraId="16E38150" w14:textId="2AC2CEDB" w:rsidR="004B0D75" w:rsidRDefault="00CA3627" w:rsidP="00391E8F">
      <w:pPr>
        <w:ind w:firstLine="0"/>
      </w:pPr>
      <w:r w:rsidRPr="00AD6C54">
        <w:tab/>
      </w:r>
      <w:r w:rsidR="00034877">
        <w:t>P</w:t>
      </w:r>
      <w:r w:rsidR="00034877" w:rsidRPr="00AD6C54">
        <w:t>or meio do acórdão nº 2699/2018</w:t>
      </w:r>
      <w:r w:rsidR="00391E8F" w:rsidRPr="00AD6C54">
        <w:t xml:space="preserve">, o TCU expõe </w:t>
      </w:r>
      <w:r w:rsidR="00391E8F" w:rsidRPr="0063137C">
        <w:t>melhoria nos resultados dos índices</w:t>
      </w:r>
      <w:r w:rsidR="008D038B" w:rsidRPr="0063137C">
        <w:t xml:space="preserve"> de governança medidos</w:t>
      </w:r>
      <w:r w:rsidR="00391E8F" w:rsidRPr="0063137C">
        <w:t xml:space="preserve"> ao</w:t>
      </w:r>
      <w:r w:rsidR="00391E8F" w:rsidRPr="00AD6C54">
        <w:t xml:space="preserve"> longo dos anos de 2017 e 2018. Observou, por exemplo, que de um ano ao outro, a proporção de instituições que foram </w:t>
      </w:r>
      <w:r w:rsidR="00A142C6" w:rsidRPr="00AD6C54">
        <w:t>mais mal</w:t>
      </w:r>
      <w:r w:rsidR="00391E8F" w:rsidRPr="00AD6C54">
        <w:t xml:space="preserve"> avaliadas (estágio inicial de </w:t>
      </w:r>
      <w:r w:rsidR="00391E8F" w:rsidRPr="00AD6C54">
        <w:lastRenderedPageBreak/>
        <w:t>capacidade em governança e gestão) caiu de 58 para 47 pontos percentuais. Nes</w:t>
      </w:r>
      <w:r w:rsidR="00971DA8">
        <w:t>s</w:t>
      </w:r>
      <w:r w:rsidR="00391E8F" w:rsidRPr="00AD6C54">
        <w:t xml:space="preserve">e </w:t>
      </w:r>
      <w:r w:rsidR="00A142C6" w:rsidRPr="00AD6C54">
        <w:t>aspecto, reflete</w:t>
      </w:r>
      <w:r w:rsidR="00391E8F" w:rsidRPr="00AD6C54">
        <w:t xml:space="preserve"> que a atuação do órgão tem sido positiva e contribuído para melhorar o cenário nacional </w:t>
      </w:r>
      <w:r w:rsidR="00FD1FF7">
        <w:t>relativo</w:t>
      </w:r>
      <w:r w:rsidR="00391E8F" w:rsidRPr="00AD6C54">
        <w:t xml:space="preserve"> à eficácia e eficiência no gasto de recursos públicos (BRASIL, 2018).</w:t>
      </w:r>
    </w:p>
    <w:p w14:paraId="7FF8F2F1" w14:textId="0C8D110C" w:rsidR="00986610" w:rsidRPr="00AD6C54" w:rsidRDefault="00986610" w:rsidP="00391E8F">
      <w:pPr>
        <w:ind w:firstLine="0"/>
      </w:pPr>
    </w:p>
    <w:p w14:paraId="47664AB9" w14:textId="69DC1D11" w:rsidR="00986610" w:rsidRPr="00AD6C54" w:rsidRDefault="000D3EFA" w:rsidP="00986610">
      <w:pPr>
        <w:pStyle w:val="Ttulo2"/>
      </w:pPr>
      <w:r>
        <w:t>2.3</w:t>
      </w:r>
      <w:r w:rsidR="00986610" w:rsidRPr="00AD6C54">
        <w:t xml:space="preserve"> </w:t>
      </w:r>
      <w:r w:rsidR="00A76B61" w:rsidRPr="00AD6C54">
        <w:t>Índice Integrado de Governança e Gestão (</w:t>
      </w:r>
      <w:proofErr w:type="spellStart"/>
      <w:r w:rsidR="00A76B61" w:rsidRPr="00AD6C54">
        <w:t>i</w:t>
      </w:r>
      <w:r w:rsidR="00986610" w:rsidRPr="00AD6C54">
        <w:t>GG</w:t>
      </w:r>
      <w:proofErr w:type="spellEnd"/>
      <w:r w:rsidR="00A76B61" w:rsidRPr="00AD6C54">
        <w:t>)</w:t>
      </w:r>
    </w:p>
    <w:p w14:paraId="1AD3B8D4" w14:textId="3A4D6D67" w:rsidR="00986610" w:rsidRPr="00AD6C54" w:rsidRDefault="00986610" w:rsidP="00391E8F">
      <w:pPr>
        <w:ind w:firstLine="0"/>
      </w:pPr>
    </w:p>
    <w:p w14:paraId="28B1F992" w14:textId="77777777" w:rsidR="00EF5943" w:rsidRDefault="00A76B61" w:rsidP="008D03A1">
      <w:pPr>
        <w:ind w:firstLine="0"/>
      </w:pPr>
      <w:r w:rsidRPr="00AD6C54">
        <w:tab/>
      </w:r>
      <w:r w:rsidRPr="00BC1460">
        <w:t xml:space="preserve">Conforme </w:t>
      </w:r>
      <w:r w:rsidR="00F26649" w:rsidRPr="00BC1460">
        <w:t xml:space="preserve">se observa, </w:t>
      </w:r>
      <w:r w:rsidR="006031B0">
        <w:t xml:space="preserve">é recente </w:t>
      </w:r>
      <w:r w:rsidR="0012695A" w:rsidRPr="00BC1460">
        <w:t xml:space="preserve">a criação de indicadores </w:t>
      </w:r>
      <w:r w:rsidR="00F56B06" w:rsidRPr="00BC1460">
        <w:t>apropriados</w:t>
      </w:r>
      <w:r w:rsidR="00DB3387" w:rsidRPr="00BC1460">
        <w:t xml:space="preserve"> a demonstrar à sociedade </w:t>
      </w:r>
      <w:r w:rsidR="005877A8" w:rsidRPr="00BC1460">
        <w:t xml:space="preserve">o resultado dos governos e sua capacidade de gestão dos recursos públicos </w:t>
      </w:r>
      <w:r w:rsidR="0085600A" w:rsidRPr="00BC1460">
        <w:t>e</w:t>
      </w:r>
      <w:r w:rsidR="00912148">
        <w:t xml:space="preserve"> este trabalho</w:t>
      </w:r>
      <w:r w:rsidR="0085600A" w:rsidRPr="00BC1460">
        <w:t xml:space="preserve"> têm sido </w:t>
      </w:r>
      <w:r w:rsidR="00912148">
        <w:t>realizados</w:t>
      </w:r>
      <w:r w:rsidR="0085600A" w:rsidRPr="00BC1460">
        <w:t xml:space="preserve"> principalmente </w:t>
      </w:r>
      <w:r w:rsidR="00912148">
        <w:t>pel</w:t>
      </w:r>
      <w:r w:rsidR="0085600A" w:rsidRPr="00BC1460">
        <w:t>os Tribunais de Con</w:t>
      </w:r>
      <w:r w:rsidR="008D03A1" w:rsidRPr="00BC1460">
        <w:t>t</w:t>
      </w:r>
      <w:r w:rsidR="0085600A" w:rsidRPr="00BC1460">
        <w:t>as.</w:t>
      </w:r>
      <w:r w:rsidR="008D03A1" w:rsidRPr="00BC1460">
        <w:t xml:space="preserve"> </w:t>
      </w:r>
      <w:r w:rsidR="00096989" w:rsidRPr="00D45B50">
        <w:t xml:space="preserve">Nesse sentido, carecem </w:t>
      </w:r>
      <w:r w:rsidR="007D08BB" w:rsidRPr="00D45B50">
        <w:t xml:space="preserve">estudos quanto ao benefício associado </w:t>
      </w:r>
      <w:r w:rsidR="00D3076E" w:rsidRPr="00D45B50">
        <w:t xml:space="preserve">ao </w:t>
      </w:r>
      <w:r w:rsidR="00D93479" w:rsidRPr="00D45B50">
        <w:t>custo de implantação</w:t>
      </w:r>
      <w:r w:rsidR="00D3076E" w:rsidRPr="00D45B50">
        <w:t xml:space="preserve"> d</w:t>
      </w:r>
      <w:r w:rsidR="00D93479" w:rsidRPr="00D45B50">
        <w:t>o</w:t>
      </w:r>
      <w:r w:rsidR="00D3076E" w:rsidRPr="00D45B50">
        <w:t xml:space="preserve">s índices </w:t>
      </w:r>
      <w:r w:rsidR="000F2D1F" w:rsidRPr="00D45B50">
        <w:t xml:space="preserve">de governança </w:t>
      </w:r>
      <w:r w:rsidR="00D3076E" w:rsidRPr="00D45B50">
        <w:t>pelos órgãos públicos</w:t>
      </w:r>
      <w:r w:rsidR="000F2D1F" w:rsidRPr="00D45B50">
        <w:t>,</w:t>
      </w:r>
      <w:r w:rsidR="00096989" w:rsidRPr="00D45B50">
        <w:t xml:space="preserve"> conforme introduzido no presente artigo</w:t>
      </w:r>
      <w:r w:rsidR="00E832EB" w:rsidRPr="00D45B50">
        <w:t>.</w:t>
      </w:r>
      <w:r w:rsidR="00E832EB">
        <w:t xml:space="preserve"> </w:t>
      </w:r>
    </w:p>
    <w:p w14:paraId="6128F2B3" w14:textId="0BFA9EFD" w:rsidR="003455BD" w:rsidRDefault="00E832EB" w:rsidP="00EF5943">
      <w:pPr>
        <w:ind w:firstLine="708"/>
      </w:pPr>
      <w:r>
        <w:t>Assim,</w:t>
      </w:r>
      <w:r w:rsidR="0036488F" w:rsidRPr="00BC1460">
        <w:t xml:space="preserve"> </w:t>
      </w:r>
      <w:r w:rsidR="00A912D5">
        <w:t>será realizada</w:t>
      </w:r>
      <w:r w:rsidR="0036488F" w:rsidRPr="00BC1460">
        <w:t xml:space="preserve"> breve s</w:t>
      </w:r>
      <w:r w:rsidR="00A912D5">
        <w:t>íntese a seguir</w:t>
      </w:r>
      <w:r w:rsidR="0036488F" w:rsidRPr="00BC1460">
        <w:t xml:space="preserve">, conforme relatório de levantamento publicado </w:t>
      </w:r>
      <w:r w:rsidR="003607F2" w:rsidRPr="00BC1460">
        <w:t>pelo TCU</w:t>
      </w:r>
      <w:r w:rsidR="0036488F" w:rsidRPr="00BC1460">
        <w:t xml:space="preserve">, </w:t>
      </w:r>
      <w:r w:rsidR="00A912D5">
        <w:t xml:space="preserve">quanto à </w:t>
      </w:r>
      <w:r w:rsidR="0036488F" w:rsidRPr="00BC1460">
        <w:t>metodologia utilizada para avaliação dos níveis de governança das instituições</w:t>
      </w:r>
      <w:r w:rsidR="00DF3150" w:rsidRPr="00BC1460">
        <w:t xml:space="preserve"> federais, objetos de estudo</w:t>
      </w:r>
      <w:r w:rsidR="001350DF" w:rsidRPr="00BC1460">
        <w:t xml:space="preserve"> do presente artigo</w:t>
      </w:r>
      <w:r w:rsidR="0036488F" w:rsidRPr="00BC1460">
        <w:t>.</w:t>
      </w:r>
    </w:p>
    <w:p w14:paraId="7EA0A001" w14:textId="4FBF191A" w:rsidR="003C22A6" w:rsidRPr="00AD6C54" w:rsidRDefault="000D3A2B" w:rsidP="008363D6">
      <w:pPr>
        <w:ind w:firstLine="0"/>
      </w:pPr>
      <w:r>
        <w:tab/>
      </w:r>
      <w:r w:rsidR="00DA56E5" w:rsidRPr="00AD6C54">
        <w:t xml:space="preserve">Brasil (2017) relata o histórico de ações efetivadas pelo TCU, destacando levantamentos realizados entre os anos de 2013 e 2016, tendo como foco diversos aspectos de governança aplicados ao setor público que </w:t>
      </w:r>
      <w:r w:rsidR="00B35B8E" w:rsidRPr="00AD6C54">
        <w:t>corroboraram</w:t>
      </w:r>
      <w:r w:rsidR="00DA56E5" w:rsidRPr="00AD6C54">
        <w:t xml:space="preserve"> para criação de um mecanismo consolidador de avaliação de gestão. Esclarece que esta metodologia busca abranger avaliações quanto aos seguintes aspectos: tecnologia da informação (TI), pessoas, contratações e governança pública.</w:t>
      </w:r>
    </w:p>
    <w:p w14:paraId="4CCF8FA3" w14:textId="71368356" w:rsidR="00A00CB3" w:rsidRPr="00AD6C54" w:rsidRDefault="00DA56E5" w:rsidP="00A00CB3">
      <w:pPr>
        <w:ind w:firstLine="0"/>
      </w:pPr>
      <w:r w:rsidRPr="00AD6C54">
        <w:tab/>
        <w:t>Segue o autor apontando que</w:t>
      </w:r>
      <w:r w:rsidR="009B271F" w:rsidRPr="00AD6C54">
        <w:t xml:space="preserve"> os dados que compõem o índice são colhidos por meio de autoavaliação das entidades </w:t>
      </w:r>
      <w:r w:rsidR="00A00CB3" w:rsidRPr="00AD6C54">
        <w:t xml:space="preserve">da Administração Pública Federal, </w:t>
      </w:r>
      <w:r w:rsidR="00D978A2" w:rsidRPr="00AD6C54">
        <w:t>jurisdicionadas</w:t>
      </w:r>
      <w:r w:rsidR="00A00CB3" w:rsidRPr="00AD6C54">
        <w:t xml:space="preserve"> ao TCU.</w:t>
      </w:r>
      <w:r w:rsidR="009B271F" w:rsidRPr="00AD6C54">
        <w:t xml:space="preserve"> No estudo de 2017, o resultado contou com a participação </w:t>
      </w:r>
      <w:r w:rsidR="00A00CB3" w:rsidRPr="00AD6C54">
        <w:t xml:space="preserve">efetiva </w:t>
      </w:r>
      <w:r w:rsidR="009B271F" w:rsidRPr="00AD6C54">
        <w:t>de 488 órgãos públicos, de um total de 581 entidades (BRASIL, 2017)</w:t>
      </w:r>
      <w:r w:rsidR="00A00CB3" w:rsidRPr="00AD6C54">
        <w:t xml:space="preserve">. Já no relatório de </w:t>
      </w:r>
      <w:r w:rsidR="000A67F6">
        <w:t>acompanhamento, elaborado n</w:t>
      </w:r>
      <w:r w:rsidR="00A00CB3" w:rsidRPr="00AD6C54">
        <w:t>o estudo de 2018, é evidenciado que a pesquisa foi realizada no âmbito de 526 organizações. Destas, foi obtido pelo TCU um total de 498 resultados aplicáveis. (BRASIL, 2018)</w:t>
      </w:r>
    </w:p>
    <w:p w14:paraId="23E9EA44" w14:textId="71C2A34B" w:rsidR="00CB5BBF" w:rsidRPr="00AD6C54" w:rsidRDefault="00A00CB3" w:rsidP="00CB5BBF">
      <w:pPr>
        <w:ind w:firstLine="0"/>
      </w:pPr>
      <w:r w:rsidRPr="00AD6C54">
        <w:tab/>
        <w:t xml:space="preserve">Quanto à metodologia </w:t>
      </w:r>
      <w:r w:rsidR="00CB5BBF" w:rsidRPr="00AD6C54">
        <w:t>de agregação dos resultados dos índices</w:t>
      </w:r>
      <w:r w:rsidRPr="00AD6C54">
        <w:t>, Brasil (2017</w:t>
      </w:r>
      <w:r w:rsidR="00CB5BBF" w:rsidRPr="00AD6C54">
        <w:t>, p. 24</w:t>
      </w:r>
      <w:r w:rsidRPr="00AD6C54">
        <w:t xml:space="preserve">) explicita que </w:t>
      </w:r>
      <w:r w:rsidR="00CB5BBF" w:rsidRPr="00AD6C54">
        <w:t xml:space="preserve">“O </w:t>
      </w:r>
      <w:proofErr w:type="spellStart"/>
      <w:r w:rsidR="00CB5BBF" w:rsidRPr="00AD6C54">
        <w:t>iGG</w:t>
      </w:r>
      <w:proofErr w:type="spellEnd"/>
      <w:r w:rsidR="00CB5BBF" w:rsidRPr="00AD6C54">
        <w:t xml:space="preserve"> é composto pelo índice de governança pública, de governança e gestão de pessoas, de governança e gestão de TI, de governança e gestão de contratações e pelo índice de resultados”. Desta forma,</w:t>
      </w:r>
      <w:r w:rsidR="000533AE" w:rsidRPr="00AD6C54">
        <w:t xml:space="preserve"> verifica-se que</w:t>
      </w:r>
      <w:r w:rsidR="00CB5BBF" w:rsidRPr="00AD6C54">
        <w:t xml:space="preserve"> </w:t>
      </w:r>
      <w:r w:rsidR="000533AE" w:rsidRPr="00AD6C54">
        <w:t xml:space="preserve">o </w:t>
      </w:r>
      <w:proofErr w:type="spellStart"/>
      <w:r w:rsidR="000533AE" w:rsidRPr="00AD6C54">
        <w:t>iGG</w:t>
      </w:r>
      <w:proofErr w:type="spellEnd"/>
      <w:r w:rsidR="000533AE" w:rsidRPr="00AD6C54">
        <w:t xml:space="preserve"> pode ser </w:t>
      </w:r>
      <w:r w:rsidR="00CB5BBF" w:rsidRPr="00AD6C54">
        <w:t xml:space="preserve">considerado </w:t>
      </w:r>
      <w:r w:rsidR="00133357" w:rsidRPr="00AD6C54">
        <w:t>o</w:t>
      </w:r>
      <w:r w:rsidR="00CB5BBF" w:rsidRPr="00AD6C54">
        <w:t xml:space="preserve"> índice </w:t>
      </w:r>
      <w:r w:rsidR="000533AE" w:rsidRPr="00AD6C54">
        <w:t>consolidador</w:t>
      </w:r>
      <w:r w:rsidR="00CB5BBF" w:rsidRPr="00AD6C54">
        <w:t xml:space="preserve">, </w:t>
      </w:r>
      <w:r w:rsidR="000533AE" w:rsidRPr="00AD6C54">
        <w:t>pois</w:t>
      </w:r>
      <w:r w:rsidR="00CB5BBF" w:rsidRPr="00AD6C54">
        <w:t xml:space="preserve"> envolve as principais esferas de avaliação</w:t>
      </w:r>
      <w:r w:rsidR="000533AE" w:rsidRPr="00AD6C54">
        <w:t>.</w:t>
      </w:r>
      <w:r w:rsidR="009139C7" w:rsidRPr="00AD6C54">
        <w:t xml:space="preserve"> Para cada um dos índices, separa o TCU as instituições em níveis de capacidade de governança, conforme </w:t>
      </w:r>
      <w:r w:rsidR="00FA12BE">
        <w:t>Quadro 1.</w:t>
      </w:r>
    </w:p>
    <w:p w14:paraId="238FBF86" w14:textId="77777777" w:rsidR="007272D3" w:rsidRPr="00AD6C54" w:rsidRDefault="007272D3" w:rsidP="00CB5BBF">
      <w:pPr>
        <w:ind w:firstLine="0"/>
      </w:pPr>
    </w:p>
    <w:p w14:paraId="74D42C6B" w14:textId="461BC18E" w:rsidR="4FAD4B60" w:rsidRDefault="4FAD4B60" w:rsidP="4FAD4B60">
      <w:pPr>
        <w:spacing w:line="240" w:lineRule="auto"/>
        <w:ind w:firstLine="0"/>
        <w:jc w:val="center"/>
        <w:rPr>
          <w:b/>
          <w:bCs/>
          <w:sz w:val="20"/>
          <w:szCs w:val="20"/>
        </w:rPr>
      </w:pPr>
      <w:r w:rsidRPr="4FAD4B60">
        <w:rPr>
          <w:b/>
          <w:bCs/>
          <w:sz w:val="20"/>
          <w:szCs w:val="20"/>
        </w:rPr>
        <w:t xml:space="preserve">Quadro 1 – </w:t>
      </w:r>
      <w:r w:rsidRPr="4FAD4B60">
        <w:rPr>
          <w:sz w:val="20"/>
          <w:szCs w:val="20"/>
        </w:rPr>
        <w:t>Níveis de Capacidade em Governança ou Gestão (TCU)</w:t>
      </w:r>
    </w:p>
    <w:tbl>
      <w:tblPr>
        <w:tblStyle w:val="Tabelacomgrade"/>
        <w:tblW w:w="0" w:type="auto"/>
        <w:jc w:val="center"/>
        <w:tblLayout w:type="fixed"/>
        <w:tblLook w:val="06A0" w:firstRow="1" w:lastRow="0" w:firstColumn="1" w:lastColumn="0" w:noHBand="1" w:noVBand="1"/>
      </w:tblPr>
      <w:tblGrid>
        <w:gridCol w:w="2063"/>
        <w:gridCol w:w="2065"/>
        <w:gridCol w:w="2063"/>
      </w:tblGrid>
      <w:tr w:rsidR="4FAD4B60" w14:paraId="2E958B8E" w14:textId="77777777" w:rsidTr="00903B85">
        <w:trPr>
          <w:trHeight w:val="377"/>
          <w:tblHeader/>
          <w:jc w:val="center"/>
        </w:trPr>
        <w:tc>
          <w:tcPr>
            <w:tcW w:w="4128" w:type="dxa"/>
            <w:gridSpan w:val="2"/>
            <w:vAlign w:val="center"/>
          </w:tcPr>
          <w:p w14:paraId="117C79EE" w14:textId="59C4B1F5" w:rsidR="4FAD4B60" w:rsidRPr="00C961EE" w:rsidRDefault="4FAD4B60" w:rsidP="00AC27D9">
            <w:pPr>
              <w:spacing w:line="240" w:lineRule="auto"/>
              <w:ind w:firstLine="0"/>
              <w:jc w:val="left"/>
              <w:rPr>
                <w:b/>
                <w:bCs/>
                <w:sz w:val="20"/>
                <w:szCs w:val="18"/>
              </w:rPr>
            </w:pPr>
            <w:r w:rsidRPr="00C961EE">
              <w:rPr>
                <w:b/>
                <w:bCs/>
                <w:sz w:val="20"/>
                <w:szCs w:val="18"/>
              </w:rPr>
              <w:lastRenderedPageBreak/>
              <w:t>Estágios de maturidade de governança</w:t>
            </w:r>
          </w:p>
        </w:tc>
        <w:tc>
          <w:tcPr>
            <w:tcW w:w="2063" w:type="dxa"/>
            <w:vAlign w:val="center"/>
          </w:tcPr>
          <w:p w14:paraId="24987BB6" w14:textId="0E11C149" w:rsidR="4FAD4B60" w:rsidRPr="00C961EE" w:rsidRDefault="4FAD4B60" w:rsidP="00AC27D9">
            <w:pPr>
              <w:spacing w:line="240" w:lineRule="auto"/>
              <w:ind w:firstLine="0"/>
              <w:jc w:val="left"/>
              <w:rPr>
                <w:b/>
                <w:bCs/>
                <w:sz w:val="20"/>
                <w:szCs w:val="18"/>
              </w:rPr>
            </w:pPr>
            <w:r w:rsidRPr="00C961EE">
              <w:rPr>
                <w:b/>
                <w:bCs/>
                <w:sz w:val="20"/>
                <w:szCs w:val="18"/>
              </w:rPr>
              <w:t>Intervalos</w:t>
            </w:r>
          </w:p>
        </w:tc>
      </w:tr>
      <w:tr w:rsidR="4FAD4B60" w14:paraId="1C01679E" w14:textId="77777777" w:rsidTr="00903B85">
        <w:trPr>
          <w:trHeight w:val="377"/>
          <w:tblHeader/>
          <w:jc w:val="center"/>
        </w:trPr>
        <w:tc>
          <w:tcPr>
            <w:tcW w:w="2063" w:type="dxa"/>
            <w:vMerge w:val="restart"/>
            <w:vAlign w:val="center"/>
          </w:tcPr>
          <w:p w14:paraId="28A7E1A2" w14:textId="0C51FB76" w:rsidR="4FAD4B60" w:rsidRPr="00C961EE" w:rsidRDefault="4FAD4B60" w:rsidP="00AC27D9">
            <w:pPr>
              <w:spacing w:line="240" w:lineRule="auto"/>
              <w:ind w:firstLine="0"/>
              <w:jc w:val="left"/>
              <w:rPr>
                <w:sz w:val="20"/>
                <w:szCs w:val="18"/>
              </w:rPr>
            </w:pPr>
            <w:r w:rsidRPr="00C961EE">
              <w:rPr>
                <w:sz w:val="20"/>
                <w:szCs w:val="18"/>
              </w:rPr>
              <w:t>Inicial</w:t>
            </w:r>
          </w:p>
        </w:tc>
        <w:tc>
          <w:tcPr>
            <w:tcW w:w="2064" w:type="dxa"/>
            <w:vAlign w:val="center"/>
          </w:tcPr>
          <w:p w14:paraId="5547B6B3" w14:textId="324075BA" w:rsidR="4FAD4B60" w:rsidRPr="00C961EE" w:rsidRDefault="4FAD4B60" w:rsidP="00AC27D9">
            <w:pPr>
              <w:spacing w:line="240" w:lineRule="auto"/>
              <w:ind w:firstLine="0"/>
              <w:jc w:val="left"/>
              <w:rPr>
                <w:sz w:val="20"/>
                <w:szCs w:val="18"/>
              </w:rPr>
            </w:pPr>
            <w:r w:rsidRPr="00C961EE">
              <w:rPr>
                <w:sz w:val="20"/>
                <w:szCs w:val="18"/>
              </w:rPr>
              <w:t>Inexpressivo</w:t>
            </w:r>
          </w:p>
        </w:tc>
        <w:tc>
          <w:tcPr>
            <w:tcW w:w="2063" w:type="dxa"/>
            <w:vAlign w:val="center"/>
          </w:tcPr>
          <w:p w14:paraId="496BC569" w14:textId="7C7CF69C" w:rsidR="4FAD4B60" w:rsidRPr="00C961EE" w:rsidRDefault="4FAD4B60" w:rsidP="00AC27D9">
            <w:pPr>
              <w:spacing w:line="240" w:lineRule="auto"/>
              <w:ind w:firstLine="0"/>
              <w:jc w:val="left"/>
              <w:rPr>
                <w:sz w:val="20"/>
                <w:szCs w:val="18"/>
              </w:rPr>
            </w:pPr>
            <w:r w:rsidRPr="00C961EE">
              <w:rPr>
                <w:sz w:val="20"/>
                <w:szCs w:val="18"/>
              </w:rPr>
              <w:t>0 a 14,99%</w:t>
            </w:r>
          </w:p>
        </w:tc>
      </w:tr>
      <w:tr w:rsidR="4FAD4B60" w14:paraId="366F9F0A" w14:textId="77777777" w:rsidTr="00903B85">
        <w:trPr>
          <w:trHeight w:val="415"/>
          <w:tblHeader/>
          <w:jc w:val="center"/>
        </w:trPr>
        <w:tc>
          <w:tcPr>
            <w:tcW w:w="2063" w:type="dxa"/>
            <w:vMerge/>
            <w:vAlign w:val="center"/>
          </w:tcPr>
          <w:p w14:paraId="5DB854DC" w14:textId="77777777" w:rsidR="002F1ED8" w:rsidRPr="00C961EE" w:rsidRDefault="002F1ED8" w:rsidP="00AC27D9">
            <w:pPr>
              <w:spacing w:line="240" w:lineRule="auto"/>
              <w:ind w:firstLine="0"/>
              <w:jc w:val="left"/>
              <w:rPr>
                <w:sz w:val="20"/>
                <w:szCs w:val="18"/>
              </w:rPr>
            </w:pPr>
          </w:p>
        </w:tc>
        <w:tc>
          <w:tcPr>
            <w:tcW w:w="2064" w:type="dxa"/>
            <w:vAlign w:val="center"/>
          </w:tcPr>
          <w:p w14:paraId="513019B5" w14:textId="28FCF6FF" w:rsidR="4FAD4B60" w:rsidRPr="00C961EE" w:rsidRDefault="4FAD4B60" w:rsidP="00AC27D9">
            <w:pPr>
              <w:spacing w:line="240" w:lineRule="auto"/>
              <w:ind w:firstLine="0"/>
              <w:jc w:val="left"/>
              <w:rPr>
                <w:sz w:val="20"/>
                <w:szCs w:val="18"/>
              </w:rPr>
            </w:pPr>
            <w:r w:rsidRPr="00C961EE">
              <w:rPr>
                <w:sz w:val="20"/>
                <w:szCs w:val="18"/>
              </w:rPr>
              <w:t>Iniciando</w:t>
            </w:r>
          </w:p>
        </w:tc>
        <w:tc>
          <w:tcPr>
            <w:tcW w:w="2063" w:type="dxa"/>
            <w:vAlign w:val="center"/>
          </w:tcPr>
          <w:p w14:paraId="31C2F219" w14:textId="0220D447" w:rsidR="4FAD4B60" w:rsidRPr="00C961EE" w:rsidRDefault="4FAD4B60" w:rsidP="00AC27D9">
            <w:pPr>
              <w:spacing w:line="240" w:lineRule="auto"/>
              <w:ind w:firstLine="0"/>
              <w:jc w:val="left"/>
              <w:rPr>
                <w:sz w:val="20"/>
                <w:szCs w:val="18"/>
              </w:rPr>
            </w:pPr>
            <w:r w:rsidRPr="00C961EE">
              <w:rPr>
                <w:sz w:val="20"/>
                <w:szCs w:val="18"/>
              </w:rPr>
              <w:t>15 a 39,99%</w:t>
            </w:r>
          </w:p>
        </w:tc>
      </w:tr>
      <w:tr w:rsidR="4FAD4B60" w14:paraId="1FE25B6B" w14:textId="77777777" w:rsidTr="00903B85">
        <w:trPr>
          <w:trHeight w:val="377"/>
          <w:tblHeader/>
          <w:jc w:val="center"/>
        </w:trPr>
        <w:tc>
          <w:tcPr>
            <w:tcW w:w="4128" w:type="dxa"/>
            <w:gridSpan w:val="2"/>
            <w:vAlign w:val="center"/>
          </w:tcPr>
          <w:p w14:paraId="09F398C3" w14:textId="5A2128E8" w:rsidR="4FAD4B60" w:rsidRPr="00C961EE" w:rsidRDefault="4FAD4B60" w:rsidP="00AC27D9">
            <w:pPr>
              <w:spacing w:line="240" w:lineRule="auto"/>
              <w:ind w:firstLine="0"/>
              <w:jc w:val="left"/>
              <w:rPr>
                <w:sz w:val="20"/>
                <w:szCs w:val="18"/>
              </w:rPr>
            </w:pPr>
            <w:r w:rsidRPr="00C961EE">
              <w:rPr>
                <w:sz w:val="20"/>
                <w:szCs w:val="18"/>
              </w:rPr>
              <w:t>Intermediário</w:t>
            </w:r>
          </w:p>
        </w:tc>
        <w:tc>
          <w:tcPr>
            <w:tcW w:w="2063" w:type="dxa"/>
            <w:vAlign w:val="center"/>
          </w:tcPr>
          <w:p w14:paraId="19BE7528" w14:textId="197C19B2" w:rsidR="4FAD4B60" w:rsidRPr="00C961EE" w:rsidRDefault="4FAD4B60" w:rsidP="00AC27D9">
            <w:pPr>
              <w:spacing w:line="240" w:lineRule="auto"/>
              <w:ind w:firstLine="0"/>
              <w:jc w:val="left"/>
              <w:rPr>
                <w:sz w:val="20"/>
                <w:szCs w:val="18"/>
              </w:rPr>
            </w:pPr>
            <w:r w:rsidRPr="00C961EE">
              <w:rPr>
                <w:sz w:val="20"/>
                <w:szCs w:val="18"/>
              </w:rPr>
              <w:t>40 a 70%</w:t>
            </w:r>
          </w:p>
        </w:tc>
      </w:tr>
      <w:tr w:rsidR="4FAD4B60" w14:paraId="78798FA3" w14:textId="77777777" w:rsidTr="00903B85">
        <w:trPr>
          <w:trHeight w:val="377"/>
          <w:tblHeader/>
          <w:jc w:val="center"/>
        </w:trPr>
        <w:tc>
          <w:tcPr>
            <w:tcW w:w="4128" w:type="dxa"/>
            <w:gridSpan w:val="2"/>
            <w:vAlign w:val="center"/>
          </w:tcPr>
          <w:p w14:paraId="33551953" w14:textId="0FFDC4AB" w:rsidR="4FAD4B60" w:rsidRPr="00C961EE" w:rsidRDefault="4FAD4B60" w:rsidP="00AC27D9">
            <w:pPr>
              <w:spacing w:line="240" w:lineRule="auto"/>
              <w:ind w:firstLine="0"/>
              <w:jc w:val="left"/>
              <w:rPr>
                <w:sz w:val="20"/>
                <w:szCs w:val="18"/>
              </w:rPr>
            </w:pPr>
            <w:r w:rsidRPr="00C961EE">
              <w:rPr>
                <w:sz w:val="20"/>
                <w:szCs w:val="18"/>
              </w:rPr>
              <w:t>Aprimorado</w:t>
            </w:r>
          </w:p>
        </w:tc>
        <w:tc>
          <w:tcPr>
            <w:tcW w:w="2063" w:type="dxa"/>
            <w:vAlign w:val="center"/>
          </w:tcPr>
          <w:p w14:paraId="69355F7E" w14:textId="3ED6618B" w:rsidR="4FAD4B60" w:rsidRPr="00C961EE" w:rsidRDefault="4FAD4B60" w:rsidP="00AC27D9">
            <w:pPr>
              <w:spacing w:line="240" w:lineRule="auto"/>
              <w:ind w:firstLine="0"/>
              <w:jc w:val="left"/>
              <w:rPr>
                <w:sz w:val="20"/>
                <w:szCs w:val="18"/>
              </w:rPr>
            </w:pPr>
            <w:r w:rsidRPr="00C961EE">
              <w:rPr>
                <w:sz w:val="20"/>
                <w:szCs w:val="18"/>
              </w:rPr>
              <w:t>70,01 a 100%</w:t>
            </w:r>
          </w:p>
        </w:tc>
      </w:tr>
    </w:tbl>
    <w:p w14:paraId="2FE8C05A" w14:textId="548B4AD5" w:rsidR="4FAD4B60" w:rsidRDefault="4FAD4B60" w:rsidP="4FAD4B60">
      <w:pPr>
        <w:spacing w:line="240" w:lineRule="auto"/>
        <w:ind w:firstLine="0"/>
        <w:jc w:val="center"/>
        <w:rPr>
          <w:sz w:val="20"/>
          <w:szCs w:val="20"/>
        </w:rPr>
      </w:pPr>
      <w:r w:rsidRPr="4FAD4B60">
        <w:rPr>
          <w:sz w:val="20"/>
          <w:szCs w:val="20"/>
        </w:rPr>
        <w:t>Fonte: BRASIL (2018, p.6)</w:t>
      </w:r>
    </w:p>
    <w:p w14:paraId="7EC2A39E" w14:textId="1AAE1FBE" w:rsidR="00FB37C9" w:rsidRDefault="00FB37C9" w:rsidP="4FAD4B60">
      <w:pPr>
        <w:spacing w:line="240" w:lineRule="auto"/>
        <w:ind w:firstLine="0"/>
        <w:jc w:val="center"/>
        <w:rPr>
          <w:sz w:val="20"/>
          <w:szCs w:val="20"/>
        </w:rPr>
      </w:pPr>
      <w:r>
        <w:rPr>
          <w:sz w:val="20"/>
          <w:szCs w:val="20"/>
        </w:rPr>
        <w:t xml:space="preserve">Nota: Elaborado </w:t>
      </w:r>
      <w:r w:rsidR="00D161F4">
        <w:rPr>
          <w:sz w:val="20"/>
          <w:szCs w:val="20"/>
        </w:rPr>
        <w:t>conforme</w:t>
      </w:r>
      <w:r w:rsidR="00026A17">
        <w:rPr>
          <w:sz w:val="20"/>
          <w:szCs w:val="20"/>
        </w:rPr>
        <w:t xml:space="preserve"> Tabela 1 – Níveis de Capacidade em Governança ou Gestão</w:t>
      </w:r>
    </w:p>
    <w:p w14:paraId="6B695F77" w14:textId="62B5A2C6" w:rsidR="4FAD4B60" w:rsidRDefault="4FAD4B60" w:rsidP="4FAD4B60">
      <w:pPr>
        <w:ind w:firstLine="708"/>
      </w:pPr>
    </w:p>
    <w:p w14:paraId="17CC4438" w14:textId="58C9CE41" w:rsidR="007272D3" w:rsidRPr="00AD6C54" w:rsidRDefault="00F06978" w:rsidP="00CB5BBF">
      <w:pPr>
        <w:ind w:firstLine="708"/>
      </w:pPr>
      <w:r w:rsidRPr="00AD6C54">
        <w:t xml:space="preserve">Por fim, dada a relevância </w:t>
      </w:r>
      <w:r w:rsidR="00F0539F" w:rsidRPr="00AD6C54">
        <w:t>técnica e contribuição conceitual proporcionada pela</w:t>
      </w:r>
      <w:r w:rsidRPr="00AD6C54">
        <w:t xml:space="preserve"> estrutura de avaliação utilizada pelo TCU, segue, ainda conforme relatório técnico do órgão, </w:t>
      </w:r>
      <w:r w:rsidR="00F0539F" w:rsidRPr="00AD6C54">
        <w:t>visão geral quanto à estrutura do chamado “sistema de Governança e Gestão” (BRASIL, 2018)</w:t>
      </w:r>
      <w:r w:rsidR="00FA12BE">
        <w:t>, conforme Figura 2.</w:t>
      </w:r>
    </w:p>
    <w:p w14:paraId="39EC4C61" w14:textId="77777777" w:rsidR="007272D3" w:rsidRPr="00AD6C54" w:rsidRDefault="007272D3" w:rsidP="00CB5BBF">
      <w:pPr>
        <w:ind w:firstLine="708"/>
      </w:pPr>
    </w:p>
    <w:p w14:paraId="5AE03B94" w14:textId="0CF96E11" w:rsidR="007272D3" w:rsidRPr="00AD6C54" w:rsidRDefault="007272D3" w:rsidP="00795A5D">
      <w:pPr>
        <w:spacing w:line="240" w:lineRule="auto"/>
        <w:ind w:firstLine="0"/>
        <w:jc w:val="center"/>
        <w:rPr>
          <w:b/>
          <w:bCs/>
          <w:sz w:val="20"/>
          <w:szCs w:val="20"/>
        </w:rPr>
      </w:pPr>
      <w:r w:rsidRPr="00AD6C54">
        <w:rPr>
          <w:b/>
          <w:bCs/>
          <w:sz w:val="20"/>
          <w:szCs w:val="20"/>
        </w:rPr>
        <w:t xml:space="preserve">Figura </w:t>
      </w:r>
      <w:r w:rsidR="00974DD8">
        <w:rPr>
          <w:b/>
          <w:bCs/>
          <w:sz w:val="20"/>
          <w:szCs w:val="20"/>
        </w:rPr>
        <w:t>1</w:t>
      </w:r>
      <w:r w:rsidRPr="00AD6C54">
        <w:rPr>
          <w:b/>
          <w:bCs/>
          <w:sz w:val="20"/>
          <w:szCs w:val="20"/>
        </w:rPr>
        <w:t xml:space="preserve"> – </w:t>
      </w:r>
      <w:r w:rsidR="00E66286">
        <w:rPr>
          <w:sz w:val="20"/>
          <w:szCs w:val="20"/>
        </w:rPr>
        <w:t>Sistema de Governança e Gestão</w:t>
      </w:r>
      <w:r w:rsidRPr="00AD6C54">
        <w:rPr>
          <w:sz w:val="20"/>
          <w:szCs w:val="20"/>
        </w:rPr>
        <w:t xml:space="preserve"> (TCU)</w:t>
      </w:r>
    </w:p>
    <w:p w14:paraId="39102544" w14:textId="4758123B" w:rsidR="00F0539F" w:rsidRPr="00AD6C54" w:rsidRDefault="00F0539F" w:rsidP="00795A5D">
      <w:pPr>
        <w:spacing w:line="240" w:lineRule="auto"/>
        <w:ind w:firstLine="0"/>
        <w:jc w:val="center"/>
        <w:rPr>
          <w:sz w:val="20"/>
          <w:szCs w:val="20"/>
        </w:rPr>
      </w:pPr>
      <w:r>
        <w:rPr>
          <w:noProof/>
          <w:lang w:eastAsia="pt-BR"/>
        </w:rPr>
        <w:drawing>
          <wp:inline distT="0" distB="0" distL="0" distR="0" wp14:anchorId="169B408D" wp14:editId="109724A5">
            <wp:extent cx="3799368" cy="2849526"/>
            <wp:effectExtent l="19050" t="19050" r="10795" b="27305"/>
            <wp:docPr id="16815155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rotWithShape="1">
                    <a:blip r:embed="rId10" cstate="print">
                      <a:clrChange>
                        <a:clrFrom>
                          <a:srgbClr val="EDEBE0"/>
                        </a:clrFrom>
                        <a:clrTo>
                          <a:srgbClr val="EDEBE0">
                            <a:alpha val="0"/>
                          </a:srgbClr>
                        </a:clrTo>
                      </a:clrChange>
                      <a:grayscl/>
                      <a:extLst>
                        <a:ext uri="{28A0092B-C50C-407E-A947-70E740481C1C}">
                          <a14:useLocalDpi xmlns:a14="http://schemas.microsoft.com/office/drawing/2010/main" val="0"/>
                        </a:ext>
                      </a:extLst>
                    </a:blip>
                    <a:srcRect/>
                    <a:stretch/>
                  </pic:blipFill>
                  <pic:spPr bwMode="auto">
                    <a:xfrm>
                      <a:off x="0" y="0"/>
                      <a:ext cx="3809918" cy="285743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6EAEB2C" w14:textId="07EF1784" w:rsidR="000533AE" w:rsidRPr="00AD6C54" w:rsidRDefault="000533AE" w:rsidP="00795A5D">
      <w:pPr>
        <w:spacing w:line="240" w:lineRule="auto"/>
        <w:ind w:firstLine="0"/>
        <w:jc w:val="center"/>
        <w:rPr>
          <w:sz w:val="20"/>
          <w:szCs w:val="20"/>
        </w:rPr>
      </w:pPr>
      <w:r w:rsidRPr="00AD6C54">
        <w:rPr>
          <w:sz w:val="20"/>
          <w:szCs w:val="20"/>
        </w:rPr>
        <w:t xml:space="preserve">Fonte: </w:t>
      </w:r>
      <w:r w:rsidR="00E50CE1">
        <w:rPr>
          <w:sz w:val="20"/>
          <w:szCs w:val="20"/>
        </w:rPr>
        <w:t xml:space="preserve">adaptado de </w:t>
      </w:r>
      <w:r w:rsidRPr="00AD6C54">
        <w:rPr>
          <w:sz w:val="20"/>
          <w:szCs w:val="20"/>
        </w:rPr>
        <w:t>BRASIL (2018, p.4)</w:t>
      </w:r>
    </w:p>
    <w:p w14:paraId="2788BFE1" w14:textId="77777777" w:rsidR="001D3B25" w:rsidRPr="00AD6C54" w:rsidRDefault="001D3B25" w:rsidP="00F0539F">
      <w:pPr>
        <w:ind w:left="2268" w:firstLine="0"/>
        <w:rPr>
          <w:sz w:val="20"/>
          <w:szCs w:val="20"/>
        </w:rPr>
      </w:pPr>
    </w:p>
    <w:p w14:paraId="2420466B" w14:textId="5DC35811" w:rsidR="00F0539F" w:rsidRPr="00FA12BE" w:rsidRDefault="00FA12BE" w:rsidP="00FA12BE">
      <w:pPr>
        <w:rPr>
          <w:szCs w:val="24"/>
        </w:rPr>
      </w:pPr>
      <w:r>
        <w:rPr>
          <w:szCs w:val="24"/>
        </w:rPr>
        <w:t xml:space="preserve">Na Figura </w:t>
      </w:r>
      <w:r w:rsidR="00974DD8">
        <w:rPr>
          <w:szCs w:val="24"/>
        </w:rPr>
        <w:t>1</w:t>
      </w:r>
      <w:r>
        <w:rPr>
          <w:szCs w:val="24"/>
        </w:rPr>
        <w:t xml:space="preserve"> são apresentados </w:t>
      </w:r>
      <w:r w:rsidR="00F0539F" w:rsidRPr="00FA12BE">
        <w:rPr>
          <w:szCs w:val="24"/>
        </w:rPr>
        <w:t xml:space="preserve">os elementos </w:t>
      </w:r>
      <w:r>
        <w:rPr>
          <w:szCs w:val="24"/>
        </w:rPr>
        <w:t>centrais</w:t>
      </w:r>
      <w:r w:rsidR="00F0539F" w:rsidRPr="00FA12BE">
        <w:rPr>
          <w:szCs w:val="24"/>
        </w:rPr>
        <w:t xml:space="preserve"> d</w:t>
      </w:r>
      <w:r>
        <w:rPr>
          <w:szCs w:val="24"/>
        </w:rPr>
        <w:t xml:space="preserve">o </w:t>
      </w:r>
      <w:r w:rsidR="00F0539F" w:rsidRPr="00FA12BE">
        <w:rPr>
          <w:szCs w:val="24"/>
        </w:rPr>
        <w:t>sistema de Governança e Gestão</w:t>
      </w:r>
      <w:r>
        <w:rPr>
          <w:szCs w:val="24"/>
        </w:rPr>
        <w:t xml:space="preserve">, em que estão representados na </w:t>
      </w:r>
      <w:r w:rsidR="00F0539F" w:rsidRPr="00FA12BE">
        <w:rPr>
          <w:szCs w:val="24"/>
        </w:rPr>
        <w:t xml:space="preserve">parte </w:t>
      </w:r>
      <w:r>
        <w:rPr>
          <w:szCs w:val="24"/>
        </w:rPr>
        <w:t>de cima da figura as</w:t>
      </w:r>
      <w:r w:rsidR="00F0539F" w:rsidRPr="00FA12BE">
        <w:rPr>
          <w:szCs w:val="24"/>
        </w:rPr>
        <w:t xml:space="preserve"> atividades e estruturas de Governança e, na parte </w:t>
      </w:r>
      <w:r>
        <w:rPr>
          <w:szCs w:val="24"/>
        </w:rPr>
        <w:t>de baixo a estrutura</w:t>
      </w:r>
      <w:r w:rsidR="00F0539F" w:rsidRPr="00FA12BE">
        <w:rPr>
          <w:szCs w:val="24"/>
        </w:rPr>
        <w:t xml:space="preserve"> de Gestão. </w:t>
      </w:r>
      <w:r>
        <w:rPr>
          <w:szCs w:val="24"/>
        </w:rPr>
        <w:t xml:space="preserve">As estruturas de Governança são compostas por </w:t>
      </w:r>
      <w:r w:rsidR="00F0539F" w:rsidRPr="00FA12BE">
        <w:rPr>
          <w:szCs w:val="24"/>
        </w:rPr>
        <w:t>três mecanismos</w:t>
      </w:r>
      <w:r>
        <w:rPr>
          <w:szCs w:val="24"/>
        </w:rPr>
        <w:t xml:space="preserve"> - </w:t>
      </w:r>
      <w:r w:rsidR="00F0539F" w:rsidRPr="00FA12BE">
        <w:rPr>
          <w:szCs w:val="24"/>
        </w:rPr>
        <w:t>Liderança, Estratégia e Accountability</w:t>
      </w:r>
      <w:r>
        <w:rPr>
          <w:szCs w:val="24"/>
        </w:rPr>
        <w:t xml:space="preserve"> - </w:t>
      </w:r>
      <w:r w:rsidRPr="00FA12BE">
        <w:rPr>
          <w:szCs w:val="24"/>
        </w:rPr>
        <w:t>enquanto</w:t>
      </w:r>
      <w:r>
        <w:rPr>
          <w:szCs w:val="24"/>
        </w:rPr>
        <w:t xml:space="preserve"> a estrutura de </w:t>
      </w:r>
      <w:r w:rsidR="00F0539F" w:rsidRPr="00FA12BE">
        <w:rPr>
          <w:szCs w:val="24"/>
        </w:rPr>
        <w:t xml:space="preserve">Gestão, </w:t>
      </w:r>
      <w:r>
        <w:rPr>
          <w:szCs w:val="24"/>
        </w:rPr>
        <w:t>por dois mecanismos:</w:t>
      </w:r>
      <w:r w:rsidR="00F0539F" w:rsidRPr="00FA12BE">
        <w:rPr>
          <w:szCs w:val="24"/>
        </w:rPr>
        <w:t xml:space="preserve"> Operações e Resultados. </w:t>
      </w:r>
    </w:p>
    <w:p w14:paraId="2773DC18" w14:textId="0138BC0F" w:rsidR="00F0539F" w:rsidRPr="00FA12BE" w:rsidRDefault="009A48EB" w:rsidP="00FA12BE">
      <w:pPr>
        <w:rPr>
          <w:szCs w:val="24"/>
        </w:rPr>
      </w:pPr>
      <w:r>
        <w:rPr>
          <w:szCs w:val="24"/>
        </w:rPr>
        <w:t>O</w:t>
      </w:r>
      <w:r w:rsidR="00FA12BE">
        <w:rPr>
          <w:szCs w:val="24"/>
        </w:rPr>
        <w:t xml:space="preserve">s mecanismos de Governança apresentam três atividades essenciais: </w:t>
      </w:r>
      <w:r w:rsidR="00F0539F" w:rsidRPr="00FA12BE">
        <w:rPr>
          <w:szCs w:val="24"/>
        </w:rPr>
        <w:t>avaliar</w:t>
      </w:r>
      <w:r w:rsidR="00FA12BE">
        <w:rPr>
          <w:szCs w:val="24"/>
        </w:rPr>
        <w:t xml:space="preserve">, </w:t>
      </w:r>
      <w:r w:rsidR="00F0539F" w:rsidRPr="00FA12BE">
        <w:rPr>
          <w:szCs w:val="24"/>
        </w:rPr>
        <w:t>dirigir</w:t>
      </w:r>
      <w:r w:rsidR="00FA12BE">
        <w:rPr>
          <w:szCs w:val="24"/>
        </w:rPr>
        <w:t xml:space="preserve"> e </w:t>
      </w:r>
      <w:r w:rsidR="00F0539F" w:rsidRPr="00FA12BE">
        <w:rPr>
          <w:szCs w:val="24"/>
        </w:rPr>
        <w:t xml:space="preserve">monitorar. </w:t>
      </w:r>
      <w:r w:rsidR="00FA12BE">
        <w:rPr>
          <w:szCs w:val="24"/>
        </w:rPr>
        <w:t>Nes</w:t>
      </w:r>
      <w:r w:rsidR="002C61AC">
        <w:rPr>
          <w:szCs w:val="24"/>
        </w:rPr>
        <w:t>s</w:t>
      </w:r>
      <w:r w:rsidR="00FA12BE">
        <w:rPr>
          <w:szCs w:val="24"/>
        </w:rPr>
        <w:t xml:space="preserve">e aspecto a </w:t>
      </w:r>
      <w:r w:rsidR="00F0539F" w:rsidRPr="00FA12BE">
        <w:rPr>
          <w:szCs w:val="24"/>
        </w:rPr>
        <w:t xml:space="preserve">alta </w:t>
      </w:r>
      <w:r w:rsidR="00FA12BE">
        <w:rPr>
          <w:szCs w:val="24"/>
        </w:rPr>
        <w:t>gestão</w:t>
      </w:r>
      <w:r w:rsidR="00F0539F" w:rsidRPr="00FA12BE">
        <w:rPr>
          <w:szCs w:val="24"/>
        </w:rPr>
        <w:t xml:space="preserve"> avalia </w:t>
      </w:r>
      <w:r w:rsidR="00FA12BE">
        <w:rPr>
          <w:szCs w:val="24"/>
        </w:rPr>
        <w:t xml:space="preserve">onde a organização está e para onde ela deve ir. Com diagnóstico e rumo traçado, são elaboradas as </w:t>
      </w:r>
      <w:r w:rsidR="00F0539F" w:rsidRPr="00FA12BE">
        <w:rPr>
          <w:szCs w:val="24"/>
        </w:rPr>
        <w:t xml:space="preserve">diretrizes para a Gestão. </w:t>
      </w:r>
      <w:r w:rsidR="00FA12BE">
        <w:rPr>
          <w:szCs w:val="24"/>
        </w:rPr>
        <w:t xml:space="preserve">Diretrizes essas </w:t>
      </w:r>
      <w:r w:rsidR="00FA12BE">
        <w:rPr>
          <w:szCs w:val="24"/>
        </w:rPr>
        <w:lastRenderedPageBreak/>
        <w:t xml:space="preserve">que são executadas pelos servidores e </w:t>
      </w:r>
      <w:r w:rsidR="00F0539F" w:rsidRPr="00FA12BE">
        <w:rPr>
          <w:szCs w:val="24"/>
        </w:rPr>
        <w:t>monitorad</w:t>
      </w:r>
      <w:r>
        <w:rPr>
          <w:szCs w:val="24"/>
        </w:rPr>
        <w:t>as</w:t>
      </w:r>
      <w:r w:rsidR="00F0539F" w:rsidRPr="00FA12BE">
        <w:rPr>
          <w:szCs w:val="24"/>
        </w:rPr>
        <w:t xml:space="preserve"> pela alta administração</w:t>
      </w:r>
      <w:r>
        <w:rPr>
          <w:szCs w:val="24"/>
        </w:rPr>
        <w:t xml:space="preserve">, fornecendo </w:t>
      </w:r>
      <w:r w:rsidRPr="009A48EB">
        <w:rPr>
          <w:i/>
          <w:iCs/>
          <w:szCs w:val="24"/>
        </w:rPr>
        <w:t>inputs</w:t>
      </w:r>
      <w:r>
        <w:rPr>
          <w:szCs w:val="24"/>
        </w:rPr>
        <w:t xml:space="preserve"> para uma nova</w:t>
      </w:r>
      <w:r w:rsidR="00F0539F" w:rsidRPr="00FA12BE">
        <w:rPr>
          <w:szCs w:val="24"/>
        </w:rPr>
        <w:t xml:space="preserve"> avaliação da Governança. </w:t>
      </w:r>
    </w:p>
    <w:p w14:paraId="0793CF53" w14:textId="5753E138" w:rsidR="00F0539F" w:rsidRPr="00FA12BE" w:rsidRDefault="009A48EB" w:rsidP="00FA12BE">
      <w:pPr>
        <w:rPr>
          <w:szCs w:val="24"/>
        </w:rPr>
      </w:pPr>
      <w:r>
        <w:rPr>
          <w:szCs w:val="24"/>
        </w:rPr>
        <w:t xml:space="preserve">Já os mecanismos de Gestão apresentam outra tríade de atividades essenciais: </w:t>
      </w:r>
      <w:r w:rsidR="00F0539F" w:rsidRPr="00FA12BE">
        <w:rPr>
          <w:szCs w:val="24"/>
        </w:rPr>
        <w:t>planejar, executar e controlar</w:t>
      </w:r>
      <w:r>
        <w:rPr>
          <w:szCs w:val="24"/>
        </w:rPr>
        <w:t xml:space="preserve">, inspiradas no modelo </w:t>
      </w:r>
      <w:r w:rsidR="00F0539F" w:rsidRPr="00FA12BE">
        <w:rPr>
          <w:szCs w:val="24"/>
        </w:rPr>
        <w:t>PDCA (</w:t>
      </w:r>
      <w:proofErr w:type="spellStart"/>
      <w:r w:rsidR="00F0539F" w:rsidRPr="00FA12BE">
        <w:rPr>
          <w:szCs w:val="24"/>
        </w:rPr>
        <w:t>Plan</w:t>
      </w:r>
      <w:proofErr w:type="spellEnd"/>
      <w:r w:rsidR="00F0539F" w:rsidRPr="00FA12BE">
        <w:rPr>
          <w:szCs w:val="24"/>
        </w:rPr>
        <w:t xml:space="preserve">, Do, </w:t>
      </w:r>
      <w:proofErr w:type="spellStart"/>
      <w:r w:rsidR="00F0539F" w:rsidRPr="00FA12BE">
        <w:rPr>
          <w:szCs w:val="24"/>
        </w:rPr>
        <w:t>Check</w:t>
      </w:r>
      <w:proofErr w:type="spellEnd"/>
      <w:r w:rsidR="00F0539F" w:rsidRPr="00FA12BE">
        <w:rPr>
          <w:szCs w:val="24"/>
        </w:rPr>
        <w:t xml:space="preserve"> </w:t>
      </w:r>
      <w:proofErr w:type="spellStart"/>
      <w:r w:rsidR="00F0539F" w:rsidRPr="00FA12BE">
        <w:rPr>
          <w:szCs w:val="24"/>
        </w:rPr>
        <w:t>and</w:t>
      </w:r>
      <w:proofErr w:type="spellEnd"/>
      <w:r w:rsidR="00F0539F" w:rsidRPr="00FA12BE">
        <w:rPr>
          <w:szCs w:val="24"/>
        </w:rPr>
        <w:t xml:space="preserve"> </w:t>
      </w:r>
      <w:proofErr w:type="spellStart"/>
      <w:r w:rsidR="00F0539F" w:rsidRPr="00FA12BE">
        <w:rPr>
          <w:szCs w:val="24"/>
        </w:rPr>
        <w:t>Act</w:t>
      </w:r>
      <w:proofErr w:type="spellEnd"/>
      <w:r w:rsidR="00F0539F" w:rsidRPr="00FA12BE">
        <w:rPr>
          <w:szCs w:val="24"/>
        </w:rPr>
        <w:t xml:space="preserve">). </w:t>
      </w:r>
      <w:r>
        <w:rPr>
          <w:szCs w:val="24"/>
        </w:rPr>
        <w:t xml:space="preserve">Sob a égide das diretrizes pensadas para a organização cabe aos gestores planejarem e executarem, colocando o plano em prática. Na implementação do plano surgirão divergências e não conformidades com o que foi planejado, onde entra a função do controle para identificar os desvios e gerar aprendizado com o processo. </w:t>
      </w:r>
      <w:r w:rsidR="00F0539F" w:rsidRPr="00FA12BE">
        <w:rPr>
          <w:szCs w:val="24"/>
        </w:rPr>
        <w:t xml:space="preserve">As informações geradas pelo controle subsidiarão tanto o novo planejamento da Gestão, quanto o monitoramento da Governança. </w:t>
      </w:r>
    </w:p>
    <w:p w14:paraId="640966E7" w14:textId="785BA943" w:rsidR="00F0539F" w:rsidRPr="00FA12BE" w:rsidRDefault="4FAD4B60" w:rsidP="00FA12BE">
      <w:r>
        <w:t xml:space="preserve">Por fim, a </w:t>
      </w:r>
      <w:r w:rsidRPr="4FAD4B60">
        <w:rPr>
          <w:i/>
          <w:iCs/>
        </w:rPr>
        <w:t xml:space="preserve">Accountability </w:t>
      </w:r>
      <w:r>
        <w:t>fornece a transparência e presta contas tanto dos resultados alcançados quanto do bom uso dos recursos, selecionando, organizando e disponibilizando essas informações às partes interessadas (BRASIL, 2018).</w:t>
      </w:r>
    </w:p>
    <w:p w14:paraId="6B369C6F" w14:textId="77777777" w:rsidR="00DA56E5" w:rsidRPr="00AD6C54" w:rsidRDefault="00DA56E5" w:rsidP="008363D6">
      <w:pPr>
        <w:ind w:firstLine="0"/>
      </w:pPr>
    </w:p>
    <w:p w14:paraId="595D0B8B" w14:textId="25CB60BC" w:rsidR="003C22A6" w:rsidRPr="00AD6C54" w:rsidRDefault="008D26B2" w:rsidP="003C22A6">
      <w:pPr>
        <w:pStyle w:val="Ttulo2"/>
      </w:pPr>
      <w:r>
        <w:t>2.4</w:t>
      </w:r>
      <w:r w:rsidR="003C22A6" w:rsidRPr="00AD6C54">
        <w:t xml:space="preserve"> </w:t>
      </w:r>
      <w:r w:rsidR="00AE1CEE" w:rsidRPr="00AD6C54">
        <w:t>Índice Geral de Cursos (</w:t>
      </w:r>
      <w:r w:rsidR="00986610" w:rsidRPr="00AD6C54">
        <w:t>IGC</w:t>
      </w:r>
      <w:r w:rsidR="00AE1CEE" w:rsidRPr="00AD6C54">
        <w:t>)</w:t>
      </w:r>
    </w:p>
    <w:p w14:paraId="456BF32E" w14:textId="77777777" w:rsidR="003C22A6" w:rsidRPr="00AD6C54" w:rsidRDefault="003C22A6" w:rsidP="008363D6">
      <w:pPr>
        <w:ind w:firstLine="0"/>
      </w:pPr>
    </w:p>
    <w:p w14:paraId="710C1F51" w14:textId="6AB5B1F9" w:rsidR="00DA2491" w:rsidRPr="00AD6C54" w:rsidRDefault="00CA3627" w:rsidP="00A74092">
      <w:pPr>
        <w:ind w:firstLine="0"/>
      </w:pPr>
      <w:r w:rsidRPr="00AD6C54">
        <w:tab/>
      </w:r>
      <w:r w:rsidR="00DA2491" w:rsidRPr="00AD6C54">
        <w:t>Verificam-se estudos diversificados relativos a</w:t>
      </w:r>
      <w:r w:rsidR="00DA2491" w:rsidRPr="00AD6C54">
        <w:rPr>
          <w:rFonts w:cs="Times New Roman"/>
          <w:szCs w:val="24"/>
          <w:shd w:val="clear" w:color="auto" w:fill="FFFFFF"/>
        </w:rPr>
        <w:t xml:space="preserve"> indicadores capazes de medir objetivamente o resultado do ensino superior no Brasil. Façanha e Marinho (2001) buscam avaliar a eficiência d</w:t>
      </w:r>
      <w:r w:rsidR="00100F8A">
        <w:rPr>
          <w:rFonts w:cs="Times New Roman"/>
          <w:szCs w:val="24"/>
          <w:shd w:val="clear" w:color="auto" w:fill="FFFFFF"/>
        </w:rPr>
        <w:t>e instituições brasileiras de ensino superior</w:t>
      </w:r>
      <w:r w:rsidR="00DA2491" w:rsidRPr="00AD6C54">
        <w:rPr>
          <w:rFonts w:cs="Times New Roman"/>
          <w:szCs w:val="24"/>
          <w:shd w:val="clear" w:color="auto" w:fill="FFFFFF"/>
        </w:rPr>
        <w:t xml:space="preserve"> na capacidade de transformação de recursos em insumos de resultado. Para tanto, es</w:t>
      </w:r>
      <w:r w:rsidR="00194284">
        <w:rPr>
          <w:rFonts w:cs="Times New Roman"/>
          <w:szCs w:val="24"/>
          <w:shd w:val="clear" w:color="auto" w:fill="FFFFFF"/>
        </w:rPr>
        <w:t>s</w:t>
      </w:r>
      <w:r w:rsidR="00DA2491" w:rsidRPr="00AD6C54">
        <w:rPr>
          <w:rFonts w:cs="Times New Roman"/>
          <w:szCs w:val="24"/>
          <w:shd w:val="clear" w:color="auto" w:fill="FFFFFF"/>
        </w:rPr>
        <w:t xml:space="preserve">e resultado </w:t>
      </w:r>
      <w:r w:rsidR="000A7B8A">
        <w:rPr>
          <w:rFonts w:cs="Times New Roman"/>
          <w:szCs w:val="24"/>
          <w:shd w:val="clear" w:color="auto" w:fill="FFFFFF"/>
        </w:rPr>
        <w:t>foi</w:t>
      </w:r>
      <w:r w:rsidR="00DA2491" w:rsidRPr="00AD6C54">
        <w:rPr>
          <w:rFonts w:cs="Times New Roman"/>
          <w:szCs w:val="24"/>
          <w:shd w:val="clear" w:color="auto" w:fill="FFFFFF"/>
        </w:rPr>
        <w:t xml:space="preserve"> medido por meio de censos escolares, disponíveis à época.</w:t>
      </w:r>
    </w:p>
    <w:p w14:paraId="25238326" w14:textId="4A52B183" w:rsidR="00331C5F" w:rsidRPr="00AD6C54" w:rsidRDefault="00DA2491" w:rsidP="00DA2491">
      <w:pPr>
        <w:ind w:firstLine="708"/>
        <w:rPr>
          <w:rFonts w:cs="Times New Roman"/>
          <w:szCs w:val="24"/>
          <w:shd w:val="clear" w:color="auto" w:fill="FFFFFF"/>
        </w:rPr>
      </w:pPr>
      <w:r w:rsidRPr="00AD6C54">
        <w:t xml:space="preserve">Como </w:t>
      </w:r>
      <w:r w:rsidR="000E1044" w:rsidRPr="00AD6C54">
        <w:t>indicador</w:t>
      </w:r>
      <w:r w:rsidRPr="00AD6C54">
        <w:t xml:space="preserve"> </w:t>
      </w:r>
      <w:r w:rsidR="000E1044" w:rsidRPr="00AD6C54">
        <w:t>vigente</w:t>
      </w:r>
      <w:r w:rsidRPr="00AD6C54">
        <w:t xml:space="preserve"> de avaliação de resultado d</w:t>
      </w:r>
      <w:r w:rsidR="00260E22">
        <w:t>o</w:t>
      </w:r>
      <w:r w:rsidRPr="00AD6C54">
        <w:t>s I</w:t>
      </w:r>
      <w:r w:rsidR="00AF6E1E">
        <w:t>F</w:t>
      </w:r>
      <w:r w:rsidRPr="00AD6C54">
        <w:t>ES, expõe-se o</w:t>
      </w:r>
      <w:r w:rsidR="00331C5F" w:rsidRPr="00AD6C54">
        <w:t xml:space="preserve"> IGC</w:t>
      </w:r>
      <w:r w:rsidRPr="00AD6C54">
        <w:t>.</w:t>
      </w:r>
      <w:r w:rsidR="00A74092" w:rsidRPr="00AD6C54">
        <w:t xml:space="preserve"> Es</w:t>
      </w:r>
      <w:r w:rsidR="000D4B92">
        <w:t>s</w:t>
      </w:r>
      <w:r w:rsidR="00A74092" w:rsidRPr="00AD6C54">
        <w:t xml:space="preserve">e índice iniciou-se no ano de 2008, mediante Portaria Normativa nº 12, de 5 de setembro de 2008. </w:t>
      </w:r>
      <w:r w:rsidR="007D649E" w:rsidRPr="00AD6C54">
        <w:t xml:space="preserve">No sítio eletrônico oficial do MEC, o cálculo do índice é apresentado como </w:t>
      </w:r>
      <w:r w:rsidR="000E1044" w:rsidRPr="00AD6C54">
        <w:t xml:space="preserve">a </w:t>
      </w:r>
      <w:r w:rsidR="007D649E" w:rsidRPr="00AD6C54">
        <w:t>“</w:t>
      </w:r>
      <w:r w:rsidR="00A74092" w:rsidRPr="00AD6C54">
        <w:rPr>
          <w:rFonts w:cs="Times New Roman"/>
          <w:szCs w:val="24"/>
          <w:shd w:val="clear" w:color="auto" w:fill="FFFFFF"/>
        </w:rPr>
        <w:t>média ponderada das notas dos cursos de graduação e pós-graduação de cada instituição. Assim, sintetiza num único indicador a qualidade de todos os cursos de graduação, mestrado e doutorado da mesma instituição de ensino</w:t>
      </w:r>
      <w:r w:rsidR="007D649E" w:rsidRPr="00AD6C54">
        <w:rPr>
          <w:rFonts w:cs="Times New Roman"/>
          <w:szCs w:val="24"/>
          <w:shd w:val="clear" w:color="auto" w:fill="FFFFFF"/>
        </w:rPr>
        <w:t xml:space="preserve">” </w:t>
      </w:r>
      <w:r w:rsidR="00133357" w:rsidRPr="00AD6C54">
        <w:rPr>
          <w:rFonts w:cs="Times New Roman"/>
          <w:szCs w:val="24"/>
          <w:shd w:val="clear" w:color="auto" w:fill="FFFFFF"/>
        </w:rPr>
        <w:t>(</w:t>
      </w:r>
      <w:r w:rsidR="007D649E" w:rsidRPr="00AD6C54">
        <w:rPr>
          <w:rFonts w:cs="Times New Roman"/>
          <w:szCs w:val="24"/>
          <w:shd w:val="clear" w:color="auto" w:fill="FFFFFF"/>
        </w:rPr>
        <w:t>BRASIL</w:t>
      </w:r>
      <w:r w:rsidR="00133357" w:rsidRPr="00AD6C54">
        <w:rPr>
          <w:rFonts w:cs="Times New Roman"/>
          <w:szCs w:val="24"/>
          <w:shd w:val="clear" w:color="auto" w:fill="FFFFFF"/>
        </w:rPr>
        <w:t>,</w:t>
      </w:r>
      <w:r w:rsidR="007D649E" w:rsidRPr="00AD6C54">
        <w:rPr>
          <w:rFonts w:cs="Times New Roman"/>
          <w:szCs w:val="24"/>
          <w:shd w:val="clear" w:color="auto" w:fill="FFFFFF"/>
        </w:rPr>
        <w:t xml:space="preserve"> 2019)</w:t>
      </w:r>
      <w:r w:rsidR="000F4CBA">
        <w:rPr>
          <w:rFonts w:cs="Times New Roman"/>
          <w:szCs w:val="24"/>
          <w:shd w:val="clear" w:color="auto" w:fill="FFFFFF"/>
        </w:rPr>
        <w:t>.</w:t>
      </w:r>
    </w:p>
    <w:p w14:paraId="14DF5DB1" w14:textId="656AC62D" w:rsidR="000E1044" w:rsidRPr="00AD6C54" w:rsidRDefault="000E1044" w:rsidP="00DA2491">
      <w:pPr>
        <w:ind w:firstLine="708"/>
        <w:rPr>
          <w:rFonts w:cs="Times New Roman"/>
          <w:szCs w:val="24"/>
          <w:shd w:val="clear" w:color="auto" w:fill="FFFFFF"/>
        </w:rPr>
      </w:pPr>
      <w:r w:rsidRPr="00AD6C54">
        <w:rPr>
          <w:rFonts w:cs="Times New Roman"/>
          <w:szCs w:val="24"/>
          <w:shd w:val="clear" w:color="auto" w:fill="FFFFFF"/>
        </w:rPr>
        <w:t xml:space="preserve">Em crítica à metodologia de cálculo do IGC, </w:t>
      </w:r>
      <w:proofErr w:type="spellStart"/>
      <w:r w:rsidRPr="00AD6C54">
        <w:rPr>
          <w:rFonts w:cs="Times New Roman"/>
          <w:szCs w:val="24"/>
          <w:shd w:val="clear" w:color="auto" w:fill="FFFFFF"/>
        </w:rPr>
        <w:t>Scaglione</w:t>
      </w:r>
      <w:proofErr w:type="spellEnd"/>
      <w:r w:rsidRPr="00AD6C54">
        <w:rPr>
          <w:rFonts w:cs="Times New Roman"/>
          <w:szCs w:val="24"/>
          <w:shd w:val="clear" w:color="auto" w:fill="FFFFFF"/>
        </w:rPr>
        <w:t xml:space="preserve"> e Da Costa (2011) evidenciam a grande dependência des</w:t>
      </w:r>
      <w:r w:rsidR="009A4EE4">
        <w:rPr>
          <w:rFonts w:cs="Times New Roman"/>
          <w:szCs w:val="24"/>
          <w:shd w:val="clear" w:color="auto" w:fill="FFFFFF"/>
        </w:rPr>
        <w:t>s</w:t>
      </w:r>
      <w:r w:rsidRPr="00AD6C54">
        <w:rPr>
          <w:rFonts w:cs="Times New Roman"/>
          <w:szCs w:val="24"/>
          <w:shd w:val="clear" w:color="auto" w:fill="FFFFFF"/>
        </w:rPr>
        <w:t>e indicador à prova do Exame Nacional de Desempenho dos Estudantes (ENADE). Os autores demonstram, como principais preocupações, a possibilidade de enviesamento do resultado des</w:t>
      </w:r>
      <w:r w:rsidR="009A4EE4">
        <w:rPr>
          <w:rFonts w:cs="Times New Roman"/>
          <w:szCs w:val="24"/>
          <w:shd w:val="clear" w:color="auto" w:fill="FFFFFF"/>
        </w:rPr>
        <w:t>s</w:t>
      </w:r>
      <w:r w:rsidRPr="00AD6C54">
        <w:rPr>
          <w:rFonts w:cs="Times New Roman"/>
          <w:szCs w:val="24"/>
          <w:shd w:val="clear" w:color="auto" w:fill="FFFFFF"/>
        </w:rPr>
        <w:t xml:space="preserve">e teste, dado não comprometimento dos alunos em sua realização e ainda a possibilidade </w:t>
      </w:r>
      <w:r w:rsidR="00BC549D" w:rsidRPr="00AD6C54">
        <w:rPr>
          <w:rFonts w:cs="Times New Roman"/>
          <w:szCs w:val="24"/>
          <w:shd w:val="clear" w:color="auto" w:fill="FFFFFF"/>
        </w:rPr>
        <w:t>de as</w:t>
      </w:r>
      <w:r w:rsidRPr="00AD6C54">
        <w:rPr>
          <w:rFonts w:cs="Times New Roman"/>
          <w:szCs w:val="24"/>
          <w:shd w:val="clear" w:color="auto" w:fill="FFFFFF"/>
        </w:rPr>
        <w:t xml:space="preserve"> instituições direcionarem seus </w:t>
      </w:r>
      <w:r w:rsidR="00B57588" w:rsidRPr="00AD6C54">
        <w:rPr>
          <w:rFonts w:cs="Times New Roman"/>
          <w:szCs w:val="24"/>
          <w:shd w:val="clear" w:color="auto" w:fill="FFFFFF"/>
        </w:rPr>
        <w:t xml:space="preserve">recursos </w:t>
      </w:r>
      <w:r w:rsidR="00610E23" w:rsidRPr="00AD6C54">
        <w:rPr>
          <w:rFonts w:cs="Times New Roman"/>
          <w:szCs w:val="24"/>
          <w:shd w:val="clear" w:color="auto" w:fill="FFFFFF"/>
        </w:rPr>
        <w:t>preponderantemente</w:t>
      </w:r>
      <w:r w:rsidRPr="00AD6C54">
        <w:rPr>
          <w:rFonts w:cs="Times New Roman"/>
          <w:szCs w:val="24"/>
          <w:shd w:val="clear" w:color="auto" w:fill="FFFFFF"/>
        </w:rPr>
        <w:t xml:space="preserve"> </w:t>
      </w:r>
      <w:r w:rsidR="0061491F">
        <w:rPr>
          <w:rFonts w:cs="Times New Roman"/>
          <w:szCs w:val="24"/>
          <w:shd w:val="clear" w:color="auto" w:fill="FFFFFF"/>
        </w:rPr>
        <w:t>à melhoria</w:t>
      </w:r>
      <w:r w:rsidRPr="00AD6C54">
        <w:rPr>
          <w:rFonts w:cs="Times New Roman"/>
          <w:szCs w:val="24"/>
          <w:shd w:val="clear" w:color="auto" w:fill="FFFFFF"/>
        </w:rPr>
        <w:t xml:space="preserve"> </w:t>
      </w:r>
      <w:r w:rsidR="00610E23">
        <w:rPr>
          <w:rFonts w:cs="Times New Roman"/>
          <w:szCs w:val="24"/>
          <w:shd w:val="clear" w:color="auto" w:fill="FFFFFF"/>
        </w:rPr>
        <w:t xml:space="preserve">de </w:t>
      </w:r>
      <w:r w:rsidRPr="00AD6C54">
        <w:rPr>
          <w:rFonts w:cs="Times New Roman"/>
          <w:szCs w:val="24"/>
          <w:shd w:val="clear" w:color="auto" w:fill="FFFFFF"/>
        </w:rPr>
        <w:t xml:space="preserve">tais índices, </w:t>
      </w:r>
      <w:r w:rsidR="00F34FC1">
        <w:rPr>
          <w:rFonts w:cs="Times New Roman"/>
          <w:szCs w:val="24"/>
          <w:shd w:val="clear" w:color="auto" w:fill="FFFFFF"/>
        </w:rPr>
        <w:t>no lugar</w:t>
      </w:r>
      <w:r w:rsidR="00B57588" w:rsidRPr="00AD6C54">
        <w:rPr>
          <w:rFonts w:cs="Times New Roman"/>
          <w:szCs w:val="24"/>
          <w:shd w:val="clear" w:color="auto" w:fill="FFFFFF"/>
        </w:rPr>
        <w:t xml:space="preserve"> </w:t>
      </w:r>
      <w:r w:rsidR="00F34FC1">
        <w:rPr>
          <w:rFonts w:cs="Times New Roman"/>
          <w:szCs w:val="24"/>
          <w:shd w:val="clear" w:color="auto" w:fill="FFFFFF"/>
        </w:rPr>
        <w:t xml:space="preserve">de focarem em melhorar </w:t>
      </w:r>
      <w:r w:rsidR="00B57588" w:rsidRPr="00AD6C54">
        <w:rPr>
          <w:rFonts w:cs="Times New Roman"/>
          <w:szCs w:val="24"/>
          <w:shd w:val="clear" w:color="auto" w:fill="FFFFFF"/>
        </w:rPr>
        <w:t>o ensino.</w:t>
      </w:r>
    </w:p>
    <w:p w14:paraId="31A7D28A" w14:textId="4806B3A2" w:rsidR="00B57588" w:rsidRPr="00AD6C54" w:rsidRDefault="00B57588" w:rsidP="00B57588">
      <w:pPr>
        <w:ind w:firstLine="708"/>
        <w:rPr>
          <w:rFonts w:cs="Times New Roman"/>
          <w:szCs w:val="24"/>
          <w:shd w:val="clear" w:color="auto" w:fill="FFFFFF"/>
        </w:rPr>
      </w:pPr>
      <w:r w:rsidRPr="00AD6C54">
        <w:rPr>
          <w:rFonts w:cs="Times New Roman"/>
          <w:szCs w:val="24"/>
          <w:shd w:val="clear" w:color="auto" w:fill="FFFFFF"/>
        </w:rPr>
        <w:t xml:space="preserve">Em conclusão de </w:t>
      </w:r>
      <w:proofErr w:type="spellStart"/>
      <w:r w:rsidRPr="00AD6C54">
        <w:rPr>
          <w:rFonts w:cs="Times New Roman"/>
          <w:szCs w:val="24"/>
          <w:shd w:val="clear" w:color="auto" w:fill="FFFFFF"/>
        </w:rPr>
        <w:t>Scaglione</w:t>
      </w:r>
      <w:proofErr w:type="spellEnd"/>
      <w:r w:rsidRPr="00AD6C54">
        <w:rPr>
          <w:rFonts w:cs="Times New Roman"/>
          <w:szCs w:val="24"/>
          <w:shd w:val="clear" w:color="auto" w:fill="FFFFFF"/>
        </w:rPr>
        <w:t xml:space="preserve"> e Da Costa (2011), é sugerido que as instituições de ensino se aperfeiçoem na busca das melhores práticas de gestão, com vistas a bem valer de seus </w:t>
      </w:r>
      <w:r w:rsidRPr="00AD6C54">
        <w:rPr>
          <w:rFonts w:cs="Times New Roman"/>
          <w:szCs w:val="24"/>
          <w:shd w:val="clear" w:color="auto" w:fill="FFFFFF"/>
        </w:rPr>
        <w:lastRenderedPageBreak/>
        <w:t>recursos para proporcionarem ensino de qualidade. Prestigiam ainda os autores as ideias de prestação de contas e responsabilização dos agentes tomadores de decisão no direcionamento das instituições de ensino.</w:t>
      </w:r>
    </w:p>
    <w:p w14:paraId="14D0A476" w14:textId="032EA3CB" w:rsidR="003C22A6" w:rsidRPr="00AD6C54" w:rsidRDefault="00B57588" w:rsidP="00B57588">
      <w:pPr>
        <w:ind w:firstLine="708"/>
      </w:pPr>
      <w:r w:rsidRPr="00AD6C54">
        <w:rPr>
          <w:rFonts w:cs="Times New Roman"/>
          <w:szCs w:val="24"/>
          <w:shd w:val="clear" w:color="auto" w:fill="FFFFFF"/>
        </w:rPr>
        <w:t xml:space="preserve">Rolim (2017) investiga, por meio da Análise Envoltória de Dados (DEA), a eficiência </w:t>
      </w:r>
      <w:r w:rsidR="00255013" w:rsidRPr="00AD6C54">
        <w:rPr>
          <w:rFonts w:cs="Times New Roman"/>
          <w:szCs w:val="24"/>
          <w:shd w:val="clear" w:color="auto" w:fill="FFFFFF"/>
        </w:rPr>
        <w:t>d</w:t>
      </w:r>
      <w:r w:rsidR="00160DF5">
        <w:rPr>
          <w:rFonts w:cs="Times New Roman"/>
          <w:szCs w:val="24"/>
          <w:shd w:val="clear" w:color="auto" w:fill="FFFFFF"/>
        </w:rPr>
        <w:t>o</w:t>
      </w:r>
      <w:r w:rsidR="00255013" w:rsidRPr="00AD6C54">
        <w:rPr>
          <w:rFonts w:cs="Times New Roman"/>
          <w:szCs w:val="24"/>
          <w:shd w:val="clear" w:color="auto" w:fill="FFFFFF"/>
        </w:rPr>
        <w:t>s IFES brasileir</w:t>
      </w:r>
      <w:r w:rsidR="00160DF5">
        <w:rPr>
          <w:rFonts w:cs="Times New Roman"/>
          <w:szCs w:val="24"/>
          <w:shd w:val="clear" w:color="auto" w:fill="FFFFFF"/>
        </w:rPr>
        <w:t>os</w:t>
      </w:r>
      <w:r w:rsidR="00255013" w:rsidRPr="00AD6C54">
        <w:rPr>
          <w:rFonts w:cs="Times New Roman"/>
          <w:szCs w:val="24"/>
          <w:shd w:val="clear" w:color="auto" w:fill="FFFFFF"/>
        </w:rPr>
        <w:t>. Em tal estudo, procur</w:t>
      </w:r>
      <w:r w:rsidR="007416C5">
        <w:rPr>
          <w:rFonts w:cs="Times New Roman"/>
          <w:szCs w:val="24"/>
          <w:shd w:val="clear" w:color="auto" w:fill="FFFFFF"/>
        </w:rPr>
        <w:t>ou</w:t>
      </w:r>
      <w:r w:rsidR="00255013" w:rsidRPr="00AD6C54">
        <w:rPr>
          <w:rFonts w:cs="Times New Roman"/>
          <w:szCs w:val="24"/>
          <w:shd w:val="clear" w:color="auto" w:fill="FFFFFF"/>
        </w:rPr>
        <w:t xml:space="preserve"> o autor identificar instituições com estruturas otimizadas. Para tanto, vale-se do IGC como medida de identificação do resultado das instituições, em </w:t>
      </w:r>
      <w:r w:rsidR="00E24937" w:rsidRPr="00AD6C54">
        <w:rPr>
          <w:rFonts w:cs="Times New Roman"/>
          <w:szCs w:val="24"/>
          <w:shd w:val="clear" w:color="auto" w:fill="FFFFFF"/>
        </w:rPr>
        <w:t>contrapartida</w:t>
      </w:r>
      <w:r w:rsidR="00255013" w:rsidRPr="00AD6C54">
        <w:rPr>
          <w:rFonts w:cs="Times New Roman"/>
          <w:szCs w:val="24"/>
          <w:shd w:val="clear" w:color="auto" w:fill="FFFFFF"/>
        </w:rPr>
        <w:t xml:space="preserve"> aos recursos humanos e financeiros necessários à </w:t>
      </w:r>
      <w:r w:rsidR="00642174" w:rsidRPr="00AD6C54">
        <w:rPr>
          <w:rFonts w:cs="Times New Roman"/>
          <w:szCs w:val="24"/>
          <w:shd w:val="clear" w:color="auto" w:fill="FFFFFF"/>
        </w:rPr>
        <w:t>aferição</w:t>
      </w:r>
      <w:r w:rsidR="00255013" w:rsidRPr="00AD6C54">
        <w:rPr>
          <w:rFonts w:cs="Times New Roman"/>
          <w:szCs w:val="24"/>
          <w:shd w:val="clear" w:color="auto" w:fill="FFFFFF"/>
        </w:rPr>
        <w:t xml:space="preserve"> daqueles escores.</w:t>
      </w:r>
    </w:p>
    <w:p w14:paraId="71538340" w14:textId="77777777" w:rsidR="008363D6" w:rsidRPr="00AD6C54" w:rsidRDefault="008363D6" w:rsidP="008363D6">
      <w:pPr>
        <w:ind w:firstLine="0"/>
      </w:pPr>
    </w:p>
    <w:p w14:paraId="2BDF14FA" w14:textId="017FE8FF" w:rsidR="005D4B78" w:rsidRPr="00AD6C54" w:rsidRDefault="008D26B2" w:rsidP="00570BCE">
      <w:pPr>
        <w:pStyle w:val="Ttulo1"/>
        <w:rPr>
          <w:rFonts w:cs="Times New Roman"/>
          <w:sz w:val="24"/>
          <w:szCs w:val="24"/>
        </w:rPr>
      </w:pPr>
      <w:r>
        <w:rPr>
          <w:rFonts w:cs="Times New Roman"/>
          <w:sz w:val="24"/>
          <w:szCs w:val="24"/>
        </w:rPr>
        <w:t>3</w:t>
      </w:r>
      <w:r w:rsidR="005D4B78" w:rsidRPr="00AD6C54">
        <w:rPr>
          <w:rFonts w:cs="Times New Roman"/>
          <w:sz w:val="24"/>
          <w:szCs w:val="24"/>
        </w:rPr>
        <w:t xml:space="preserve"> </w:t>
      </w:r>
      <w:r w:rsidR="002C33C1" w:rsidRPr="00AD6C54">
        <w:rPr>
          <w:rFonts w:cs="Times New Roman"/>
          <w:sz w:val="24"/>
          <w:szCs w:val="24"/>
        </w:rPr>
        <w:t>M</w:t>
      </w:r>
      <w:r w:rsidR="000F6285" w:rsidRPr="00AD6C54">
        <w:rPr>
          <w:rFonts w:cs="Times New Roman"/>
          <w:sz w:val="24"/>
          <w:szCs w:val="24"/>
        </w:rPr>
        <w:t>ETODOLOGIA</w:t>
      </w:r>
    </w:p>
    <w:p w14:paraId="0465E700" w14:textId="77777777" w:rsidR="00CA3627" w:rsidRPr="00AD6C54" w:rsidRDefault="00CA3627" w:rsidP="00570BCE">
      <w:pPr>
        <w:spacing w:after="168" w:line="240" w:lineRule="auto"/>
      </w:pPr>
    </w:p>
    <w:p w14:paraId="2EA10C66" w14:textId="77777777" w:rsidR="008D26B2" w:rsidRDefault="004F0689" w:rsidP="008D26B2">
      <w:pPr>
        <w:rPr>
          <w:rFonts w:cs="Times New Roman"/>
          <w:szCs w:val="24"/>
        </w:rPr>
      </w:pPr>
      <w:r w:rsidRPr="00AD6C54">
        <w:rPr>
          <w:rFonts w:cs="Times New Roman"/>
          <w:szCs w:val="24"/>
        </w:rPr>
        <w:t xml:space="preserve">Considerando os tipos de dados tratados, em que </w:t>
      </w:r>
      <w:r w:rsidR="00322F9C" w:rsidRPr="00AD6C54">
        <w:rPr>
          <w:rFonts w:cs="Times New Roman"/>
          <w:szCs w:val="24"/>
        </w:rPr>
        <w:t xml:space="preserve">é buscada a evidência estatística para comprovação </w:t>
      </w:r>
      <w:r w:rsidR="008D26B2">
        <w:rPr>
          <w:rFonts w:cs="Times New Roman"/>
          <w:szCs w:val="24"/>
        </w:rPr>
        <w:t>da existência de uma relação</w:t>
      </w:r>
      <w:r w:rsidR="00322F9C" w:rsidRPr="00AD6C54">
        <w:rPr>
          <w:rFonts w:cs="Times New Roman"/>
          <w:szCs w:val="24"/>
        </w:rPr>
        <w:t xml:space="preserve"> entre duas variáveis, a pesquisa classifica-se como quantitativa</w:t>
      </w:r>
      <w:r w:rsidRPr="00AD6C54">
        <w:rPr>
          <w:rFonts w:cs="Times New Roman"/>
          <w:szCs w:val="24"/>
        </w:rPr>
        <w:t xml:space="preserve">, conforme </w:t>
      </w:r>
      <w:r w:rsidR="00322F9C" w:rsidRPr="00AD6C54">
        <w:rPr>
          <w:rFonts w:cs="Times New Roman"/>
          <w:szCs w:val="24"/>
        </w:rPr>
        <w:t xml:space="preserve">definição adotada por </w:t>
      </w:r>
      <w:proofErr w:type="spellStart"/>
      <w:r w:rsidRPr="00AD6C54">
        <w:rPr>
          <w:rFonts w:cs="Times New Roman"/>
          <w:szCs w:val="24"/>
        </w:rPr>
        <w:t>Pessôa</w:t>
      </w:r>
      <w:proofErr w:type="spellEnd"/>
      <w:r w:rsidRPr="00AD6C54">
        <w:rPr>
          <w:rFonts w:cs="Times New Roman"/>
          <w:szCs w:val="24"/>
        </w:rPr>
        <w:t xml:space="preserve"> (2007)</w:t>
      </w:r>
      <w:r w:rsidR="00322F9C" w:rsidRPr="00AD6C54">
        <w:rPr>
          <w:rFonts w:cs="Times New Roman"/>
          <w:szCs w:val="24"/>
        </w:rPr>
        <w:t>.</w:t>
      </w:r>
    </w:p>
    <w:p w14:paraId="577C6788" w14:textId="31ED6A93" w:rsidR="00BA333A" w:rsidRPr="00AD6C54" w:rsidRDefault="4FAD4B60" w:rsidP="4FAD4B60">
      <w:pPr>
        <w:rPr>
          <w:rFonts w:cs="Times New Roman"/>
        </w:rPr>
      </w:pPr>
      <w:r w:rsidRPr="4FAD4B60">
        <w:rPr>
          <w:rFonts w:cs="Times New Roman"/>
        </w:rPr>
        <w:t xml:space="preserve">Com relação </w:t>
      </w:r>
      <w:r w:rsidR="000B75E3">
        <w:rPr>
          <w:rFonts w:cs="Times New Roman"/>
        </w:rPr>
        <w:t>à</w:t>
      </w:r>
      <w:r w:rsidRPr="4FAD4B60">
        <w:rPr>
          <w:rFonts w:cs="Times New Roman"/>
        </w:rPr>
        <w:t xml:space="preserve"> fonte dos dados, a pesquisa pode ser caracterizada pelo uso de dados secundários</w:t>
      </w:r>
      <w:r w:rsidR="00ED41DD">
        <w:rPr>
          <w:rFonts w:cs="Times New Roman"/>
        </w:rPr>
        <w:t xml:space="preserve"> </w:t>
      </w:r>
      <w:r w:rsidR="00ED41DD" w:rsidRPr="4FAD4B60">
        <w:rPr>
          <w:rFonts w:cs="Times New Roman"/>
        </w:rPr>
        <w:t>(PESSÔA, 2007)</w:t>
      </w:r>
      <w:r w:rsidRPr="4FAD4B60">
        <w:rPr>
          <w:rFonts w:cs="Times New Roman"/>
        </w:rPr>
        <w:t xml:space="preserve">. Foram utilizados dados já coletados e tabulados pelo TCU, no que diz respeito ao </w:t>
      </w:r>
      <w:proofErr w:type="spellStart"/>
      <w:r w:rsidRPr="4FAD4B60">
        <w:rPr>
          <w:rFonts w:cs="Times New Roman"/>
        </w:rPr>
        <w:t>iGG</w:t>
      </w:r>
      <w:proofErr w:type="spellEnd"/>
      <w:r w:rsidRPr="4FAD4B60">
        <w:rPr>
          <w:rFonts w:cs="Times New Roman"/>
        </w:rPr>
        <w:t>, e dados do ME</w:t>
      </w:r>
      <w:r w:rsidR="00490A4A">
        <w:rPr>
          <w:rFonts w:cs="Times New Roman"/>
        </w:rPr>
        <w:t>C</w:t>
      </w:r>
      <w:r w:rsidRPr="4FAD4B60">
        <w:rPr>
          <w:rFonts w:cs="Times New Roman"/>
        </w:rPr>
        <w:t>, no que diz respeito ao IGC</w:t>
      </w:r>
      <w:r w:rsidR="00ED41DD">
        <w:rPr>
          <w:rFonts w:cs="Times New Roman"/>
        </w:rPr>
        <w:t>.</w:t>
      </w:r>
    </w:p>
    <w:p w14:paraId="48F02A37" w14:textId="77777777" w:rsidR="00896726" w:rsidRPr="00AD6C54" w:rsidRDefault="00382A53" w:rsidP="00382A53">
      <w:pPr>
        <w:rPr>
          <w:rFonts w:cs="Times New Roman"/>
          <w:szCs w:val="24"/>
        </w:rPr>
      </w:pPr>
      <w:r w:rsidRPr="00AD6C54">
        <w:t>A</w:t>
      </w:r>
      <w:r w:rsidR="0018055E" w:rsidRPr="00AD6C54">
        <w:t xml:space="preserve"> coleta </w:t>
      </w:r>
      <w:r w:rsidRPr="00AD6C54">
        <w:t xml:space="preserve">dos </w:t>
      </w:r>
      <w:r w:rsidR="0018055E" w:rsidRPr="00AD6C54">
        <w:t xml:space="preserve">dados </w:t>
      </w:r>
      <w:r w:rsidRPr="00AD6C54">
        <w:t xml:space="preserve">analisados </w:t>
      </w:r>
      <w:r w:rsidRPr="00AD6C54">
        <w:rPr>
          <w:rFonts w:cs="Times New Roman"/>
          <w:szCs w:val="24"/>
        </w:rPr>
        <w:t>foi realizada</w:t>
      </w:r>
      <w:r w:rsidR="0018055E" w:rsidRPr="00AD6C54">
        <w:rPr>
          <w:rFonts w:cs="Times New Roman"/>
          <w:szCs w:val="24"/>
        </w:rPr>
        <w:t xml:space="preserve"> diretamente dos portais </w:t>
      </w:r>
      <w:r w:rsidRPr="00AD6C54">
        <w:rPr>
          <w:rFonts w:cs="Times New Roman"/>
          <w:szCs w:val="24"/>
        </w:rPr>
        <w:t>oficiais</w:t>
      </w:r>
      <w:r w:rsidR="0018055E" w:rsidRPr="00AD6C54">
        <w:rPr>
          <w:rFonts w:cs="Times New Roman"/>
          <w:szCs w:val="24"/>
        </w:rPr>
        <w:t xml:space="preserve"> das instituições </w:t>
      </w:r>
      <w:r w:rsidRPr="00AD6C54">
        <w:rPr>
          <w:rFonts w:cs="Times New Roman"/>
          <w:szCs w:val="24"/>
        </w:rPr>
        <w:t>detentoras dos índices anali</w:t>
      </w:r>
      <w:r w:rsidR="00C85B14" w:rsidRPr="00AD6C54">
        <w:rPr>
          <w:rFonts w:cs="Times New Roman"/>
          <w:szCs w:val="24"/>
        </w:rPr>
        <w:t xml:space="preserve">sados. </w:t>
      </w:r>
      <w:r w:rsidR="00FB5384" w:rsidRPr="00AD6C54">
        <w:rPr>
          <w:rFonts w:cs="Times New Roman"/>
          <w:szCs w:val="24"/>
        </w:rPr>
        <w:t>Conforme</w:t>
      </w:r>
      <w:r w:rsidR="00EA4264" w:rsidRPr="00AD6C54">
        <w:rPr>
          <w:rFonts w:cs="Times New Roman"/>
          <w:szCs w:val="24"/>
        </w:rPr>
        <w:t xml:space="preserve"> mais recente</w:t>
      </w:r>
      <w:r w:rsidR="00FB5384" w:rsidRPr="00AD6C54">
        <w:rPr>
          <w:rFonts w:cs="Times New Roman"/>
          <w:szCs w:val="24"/>
        </w:rPr>
        <w:t xml:space="preserve"> disponibilização dos dados, foram utilizados os períodos de 2017 e 2018 para o índice de governança, emitido pelo TCU. </w:t>
      </w:r>
    </w:p>
    <w:p w14:paraId="110A2C7D" w14:textId="3CA63C78" w:rsidR="00EA4264" w:rsidRPr="00AD6C54" w:rsidRDefault="00C906AE" w:rsidP="00382A53">
      <w:pPr>
        <w:rPr>
          <w:rFonts w:cs="Times New Roman"/>
          <w:szCs w:val="24"/>
        </w:rPr>
      </w:pPr>
      <w:r w:rsidRPr="00AD6C54">
        <w:rPr>
          <w:rFonts w:cs="Times New Roman"/>
          <w:szCs w:val="24"/>
        </w:rPr>
        <w:t xml:space="preserve">Do total de instituições analisadas, foi observado que </w:t>
      </w:r>
      <w:r w:rsidR="00896726" w:rsidRPr="00AD6C54">
        <w:rPr>
          <w:rFonts w:cs="Times New Roman"/>
          <w:szCs w:val="24"/>
        </w:rPr>
        <w:t>as seguintes instituições</w:t>
      </w:r>
      <w:r w:rsidRPr="00AD6C54">
        <w:rPr>
          <w:rFonts w:cs="Times New Roman"/>
          <w:szCs w:val="24"/>
        </w:rPr>
        <w:t xml:space="preserve"> participaram apenas do estudo de 2018</w:t>
      </w:r>
      <w:r w:rsidR="00896726" w:rsidRPr="00AD6C54">
        <w:rPr>
          <w:rFonts w:cs="Times New Roman"/>
          <w:szCs w:val="24"/>
        </w:rPr>
        <w:t>: Universidade Federal do Espírito Santo (UFES), Universidade Federal Fluminense (UFF) e Universidade Federal do Acre (UFAC)</w:t>
      </w:r>
      <w:r w:rsidRPr="00AD6C54">
        <w:rPr>
          <w:rFonts w:cs="Times New Roman"/>
          <w:szCs w:val="24"/>
        </w:rPr>
        <w:t>. Des</w:t>
      </w:r>
      <w:r w:rsidR="00D71DC0">
        <w:rPr>
          <w:rFonts w:cs="Times New Roman"/>
          <w:szCs w:val="24"/>
        </w:rPr>
        <w:t>s</w:t>
      </w:r>
      <w:r w:rsidRPr="00AD6C54">
        <w:rPr>
          <w:rFonts w:cs="Times New Roman"/>
          <w:szCs w:val="24"/>
        </w:rPr>
        <w:t xml:space="preserve">a forma, </w:t>
      </w:r>
      <w:r w:rsidR="006A545E">
        <w:rPr>
          <w:rFonts w:cs="Times New Roman"/>
          <w:szCs w:val="24"/>
        </w:rPr>
        <w:t xml:space="preserve">para o período de 2017 </w:t>
      </w:r>
      <w:r w:rsidRPr="00AD6C54">
        <w:rPr>
          <w:rFonts w:cs="Times New Roman"/>
          <w:szCs w:val="24"/>
        </w:rPr>
        <w:t xml:space="preserve">foram utilizados os escores das mesmas em 2018, com o intuito de manter as análises para o total da amostra selecionada.  </w:t>
      </w:r>
    </w:p>
    <w:p w14:paraId="5AE0366F" w14:textId="2F9C113E" w:rsidR="00853255" w:rsidRPr="00AD6C54" w:rsidRDefault="00EA4264" w:rsidP="00382A53">
      <w:pPr>
        <w:rPr>
          <w:rFonts w:cs="Times New Roman"/>
          <w:szCs w:val="24"/>
        </w:rPr>
      </w:pPr>
      <w:r w:rsidRPr="00AD6C54">
        <w:rPr>
          <w:rFonts w:cs="Times New Roman"/>
          <w:szCs w:val="24"/>
        </w:rPr>
        <w:t xml:space="preserve">Já para os resultados do </w:t>
      </w:r>
      <w:proofErr w:type="spellStart"/>
      <w:r w:rsidRPr="00AD6C54">
        <w:rPr>
          <w:rFonts w:cs="Times New Roman"/>
          <w:szCs w:val="24"/>
        </w:rPr>
        <w:t>iGC</w:t>
      </w:r>
      <w:proofErr w:type="spellEnd"/>
      <w:r w:rsidRPr="00AD6C54">
        <w:rPr>
          <w:rFonts w:cs="Times New Roman"/>
          <w:szCs w:val="24"/>
        </w:rPr>
        <w:t xml:space="preserve">, utilizou-se os períodos de 2016 e 2017, por serem os últimos disponibilizados. </w:t>
      </w:r>
      <w:r w:rsidR="008D4D44" w:rsidRPr="00AD6C54">
        <w:rPr>
          <w:rFonts w:cs="Times New Roman"/>
          <w:szCs w:val="24"/>
        </w:rPr>
        <w:t xml:space="preserve">Ao se comparar os órgãos públicos que igualmente responderam às avaliações realizadas pelo TCU e pelo MEC, chegou-se ao </w:t>
      </w:r>
      <w:r w:rsidR="00896726" w:rsidRPr="00AD6C54">
        <w:rPr>
          <w:rFonts w:cs="Times New Roman"/>
          <w:szCs w:val="24"/>
        </w:rPr>
        <w:t>total</w:t>
      </w:r>
      <w:r w:rsidR="008D4D44" w:rsidRPr="00AD6C54">
        <w:rPr>
          <w:rFonts w:cs="Times New Roman"/>
          <w:szCs w:val="24"/>
        </w:rPr>
        <w:t xml:space="preserve"> de 100 I</w:t>
      </w:r>
      <w:r w:rsidRPr="00AD6C54">
        <w:rPr>
          <w:rFonts w:cs="Times New Roman"/>
          <w:szCs w:val="24"/>
        </w:rPr>
        <w:t>F</w:t>
      </w:r>
      <w:r w:rsidR="008D4D44" w:rsidRPr="00AD6C54">
        <w:rPr>
          <w:rFonts w:cs="Times New Roman"/>
          <w:szCs w:val="24"/>
        </w:rPr>
        <w:t>ES participantes de ambos estudos.</w:t>
      </w:r>
      <w:r w:rsidRPr="00AD6C54">
        <w:rPr>
          <w:rFonts w:cs="Times New Roman"/>
          <w:szCs w:val="24"/>
        </w:rPr>
        <w:t xml:space="preserve"> Então, os dados foram organizados, de modo a evidenciar, por instituição, os escores obtidos em ambos índices avaliados.</w:t>
      </w:r>
    </w:p>
    <w:p w14:paraId="2D06EFD1" w14:textId="35CA181E" w:rsidR="005E09ED" w:rsidRPr="00AD6C54" w:rsidRDefault="00FD1FF7" w:rsidP="00382A53">
      <w:pPr>
        <w:rPr>
          <w:rFonts w:cs="Times New Roman"/>
          <w:szCs w:val="24"/>
        </w:rPr>
      </w:pPr>
      <w:r>
        <w:rPr>
          <w:rFonts w:cs="Times New Roman"/>
          <w:szCs w:val="24"/>
        </w:rPr>
        <w:t>Relativamente</w:t>
      </w:r>
      <w:r w:rsidR="008D4D44" w:rsidRPr="00AD6C54">
        <w:rPr>
          <w:rFonts w:cs="Times New Roman"/>
          <w:szCs w:val="24"/>
        </w:rPr>
        <w:t xml:space="preserve"> aos dados d</w:t>
      </w:r>
      <w:r w:rsidR="00260E22">
        <w:rPr>
          <w:rFonts w:cs="Times New Roman"/>
          <w:szCs w:val="24"/>
        </w:rPr>
        <w:t>o</w:t>
      </w:r>
      <w:r w:rsidR="008D4D44" w:rsidRPr="00AD6C54">
        <w:rPr>
          <w:rFonts w:cs="Times New Roman"/>
          <w:szCs w:val="24"/>
        </w:rPr>
        <w:t>s I</w:t>
      </w:r>
      <w:r w:rsidR="00EA4264" w:rsidRPr="00AD6C54">
        <w:rPr>
          <w:rFonts w:cs="Times New Roman"/>
          <w:szCs w:val="24"/>
        </w:rPr>
        <w:t>F</w:t>
      </w:r>
      <w:r w:rsidR="008D4D44" w:rsidRPr="00AD6C54">
        <w:rPr>
          <w:rFonts w:cs="Times New Roman"/>
          <w:szCs w:val="24"/>
        </w:rPr>
        <w:t xml:space="preserve">ES, foram colhidas </w:t>
      </w:r>
      <w:r w:rsidR="00C906AE" w:rsidRPr="00AD6C54">
        <w:rPr>
          <w:rFonts w:cs="Times New Roman"/>
          <w:szCs w:val="24"/>
        </w:rPr>
        <w:t xml:space="preserve">também </w:t>
      </w:r>
      <w:r w:rsidR="008D4D44" w:rsidRPr="00AD6C54">
        <w:rPr>
          <w:rFonts w:cs="Times New Roman"/>
          <w:szCs w:val="24"/>
        </w:rPr>
        <w:t>as seguintes informações</w:t>
      </w:r>
      <w:r w:rsidR="00FB5384" w:rsidRPr="00AD6C54">
        <w:rPr>
          <w:rFonts w:cs="Times New Roman"/>
          <w:szCs w:val="24"/>
        </w:rPr>
        <w:t xml:space="preserve"> utilizadas nas análise</w:t>
      </w:r>
      <w:r w:rsidR="008D4D44" w:rsidRPr="00AD6C54">
        <w:rPr>
          <w:rFonts w:cs="Times New Roman"/>
          <w:szCs w:val="24"/>
        </w:rPr>
        <w:t>s:</w:t>
      </w:r>
      <w:r w:rsidR="00FB5384" w:rsidRPr="00AD6C54">
        <w:rPr>
          <w:rFonts w:cs="Times New Roman"/>
          <w:szCs w:val="24"/>
        </w:rPr>
        <w:t xml:space="preserve"> </w:t>
      </w:r>
      <w:r w:rsidR="008D4D44" w:rsidRPr="00AD6C54">
        <w:rPr>
          <w:rFonts w:cs="Times New Roman"/>
          <w:szCs w:val="24"/>
        </w:rPr>
        <w:t xml:space="preserve">resultado no IGC, </w:t>
      </w:r>
      <w:r w:rsidR="00FB5384" w:rsidRPr="00AD6C54">
        <w:rPr>
          <w:rFonts w:cs="Times New Roman"/>
          <w:szCs w:val="24"/>
        </w:rPr>
        <w:t>receita bruta</w:t>
      </w:r>
      <w:r w:rsidR="00255013" w:rsidRPr="00AD6C54">
        <w:rPr>
          <w:rFonts w:cs="Times New Roman"/>
          <w:szCs w:val="24"/>
        </w:rPr>
        <w:t xml:space="preserve"> e</w:t>
      </w:r>
      <w:r w:rsidR="00F91D2C" w:rsidRPr="00AD6C54">
        <w:rPr>
          <w:rFonts w:cs="Times New Roman"/>
          <w:szCs w:val="24"/>
        </w:rPr>
        <w:t xml:space="preserve"> despesa com pessoal</w:t>
      </w:r>
      <w:r w:rsidR="00FB5384" w:rsidRPr="00AD6C54">
        <w:rPr>
          <w:rFonts w:cs="Times New Roman"/>
          <w:szCs w:val="24"/>
        </w:rPr>
        <w:t>, utiliza</w:t>
      </w:r>
      <w:r w:rsidR="008D4D44" w:rsidRPr="00AD6C54">
        <w:rPr>
          <w:rFonts w:cs="Times New Roman"/>
          <w:szCs w:val="24"/>
        </w:rPr>
        <w:t>n</w:t>
      </w:r>
      <w:r w:rsidR="00FB5384" w:rsidRPr="00AD6C54">
        <w:rPr>
          <w:rFonts w:cs="Times New Roman"/>
          <w:szCs w:val="24"/>
        </w:rPr>
        <w:t>do os anos de 2016 e 2017, conforme última disponibilização oficial fornecida pelo MEC.</w:t>
      </w:r>
    </w:p>
    <w:p w14:paraId="668167E6" w14:textId="5EB4FB00" w:rsidR="00FB5384" w:rsidRPr="00156B1C" w:rsidRDefault="4FAD4B60" w:rsidP="00156B1C">
      <w:r w:rsidRPr="4FAD4B60">
        <w:rPr>
          <w:rFonts w:cs="Times New Roman"/>
        </w:rPr>
        <w:lastRenderedPageBreak/>
        <w:t xml:space="preserve">Inicialmente, optou-se pela análise descritiva dos dados, buscando medidas de tendência central, variância dos dados, valores máximos e mínimos e separação da população em amostras que se adequassem à busca dos resultados propostos. </w:t>
      </w:r>
      <w:proofErr w:type="spellStart"/>
      <w:r w:rsidRPr="4FAD4B60">
        <w:rPr>
          <w:rFonts w:cs="Times New Roman"/>
        </w:rPr>
        <w:t>Medri</w:t>
      </w:r>
      <w:proofErr w:type="spellEnd"/>
      <w:r w:rsidRPr="4FAD4B60">
        <w:rPr>
          <w:rFonts w:cs="Times New Roman"/>
        </w:rPr>
        <w:t xml:space="preserve"> (2011, p. 2) esclarece que a este tipo de análise </w:t>
      </w:r>
      <w:r>
        <w:t>“a finalidade é obter dos dados a maior quantidade possível de informação, que indique modelos plausíveis a serem utilizados numa fase posterior, a análise confirmatória de dados ou inferência estatística”.</w:t>
      </w:r>
    </w:p>
    <w:p w14:paraId="714E93CC" w14:textId="013237DA" w:rsidR="00FB5384" w:rsidRPr="00AD6C54" w:rsidRDefault="00011531" w:rsidP="00382A53">
      <w:r w:rsidRPr="00AD6C54">
        <w:t xml:space="preserve">Após análise do comportamento dos dados, definiu-se o coeficiente de correlação de </w:t>
      </w:r>
      <w:r w:rsidRPr="00AD6C54">
        <w:rPr>
          <w:i/>
          <w:iCs/>
        </w:rPr>
        <w:t>Pearson</w:t>
      </w:r>
      <w:r w:rsidRPr="00AD6C54">
        <w:t xml:space="preserve"> como adequado para </w:t>
      </w:r>
      <w:r w:rsidR="00414F42" w:rsidRPr="00AD6C54">
        <w:t>aferição</w:t>
      </w:r>
      <w:r w:rsidRPr="00AD6C54">
        <w:t xml:space="preserve"> </w:t>
      </w:r>
      <w:r w:rsidR="00156B1C">
        <w:t xml:space="preserve">da relação </w:t>
      </w:r>
      <w:r w:rsidRPr="00AD6C54">
        <w:t xml:space="preserve">entre as variáveis analisadas. Ainda conforme </w:t>
      </w:r>
      <w:proofErr w:type="spellStart"/>
      <w:r w:rsidRPr="00AD6C54">
        <w:t>Medri</w:t>
      </w:r>
      <w:proofErr w:type="spellEnd"/>
      <w:r w:rsidRPr="00AD6C54">
        <w:t xml:space="preserve"> (2011</w:t>
      </w:r>
      <w:r w:rsidR="00B43769" w:rsidRPr="00AD6C54">
        <w:t>, p. 67</w:t>
      </w:r>
      <w:r w:rsidRPr="00AD6C54">
        <w:t>):</w:t>
      </w:r>
    </w:p>
    <w:p w14:paraId="2988B759" w14:textId="77777777" w:rsidR="00011531" w:rsidRPr="00AD6C54" w:rsidRDefault="00011531" w:rsidP="00795A5D">
      <w:pPr>
        <w:spacing w:line="240" w:lineRule="auto"/>
        <w:ind w:left="2268" w:firstLine="0"/>
        <w:rPr>
          <w:rFonts w:cs="Times New Roman"/>
          <w:sz w:val="20"/>
          <w:szCs w:val="20"/>
        </w:rPr>
      </w:pPr>
      <w:r w:rsidRPr="00AD6C54">
        <w:rPr>
          <w:rFonts w:cs="Times New Roman"/>
          <w:sz w:val="20"/>
          <w:szCs w:val="20"/>
        </w:rPr>
        <w:t xml:space="preserve">A análise de correlação é uma técnica matemática utilizada para medir a força de associação entre duas variáveis. Essa medição leva em consideração a dispersão entre os valores dados. Quanto menos dispersos estiverem os dados, mais forte será a dependência, isto é, a associação entre as variáveis. </w:t>
      </w:r>
    </w:p>
    <w:p w14:paraId="1D3A8EE1" w14:textId="6281B2AE" w:rsidR="00011531" w:rsidRPr="00AD6C54" w:rsidRDefault="00011531" w:rsidP="00795A5D">
      <w:pPr>
        <w:spacing w:line="240" w:lineRule="auto"/>
        <w:ind w:left="2268" w:firstLine="0"/>
        <w:rPr>
          <w:rFonts w:cs="Times New Roman"/>
          <w:sz w:val="20"/>
          <w:szCs w:val="20"/>
        </w:rPr>
      </w:pPr>
      <w:r w:rsidRPr="00AD6C54">
        <w:rPr>
          <w:rFonts w:cs="Times New Roman"/>
          <w:sz w:val="20"/>
          <w:szCs w:val="20"/>
        </w:rPr>
        <w:t>O coeficiente de correlação “R” assume um valor entre [– 1 e + 1], isto é:</w:t>
      </w:r>
    </w:p>
    <w:p w14:paraId="6A8810A6" w14:textId="77777777" w:rsidR="00011531" w:rsidRPr="00AD6C54" w:rsidRDefault="00011531" w:rsidP="00795A5D">
      <w:pPr>
        <w:spacing w:line="240" w:lineRule="auto"/>
        <w:ind w:left="2268" w:firstLine="0"/>
        <w:rPr>
          <w:rFonts w:cs="Times New Roman"/>
          <w:sz w:val="20"/>
          <w:szCs w:val="20"/>
        </w:rPr>
      </w:pPr>
      <w:r w:rsidRPr="00AD6C54">
        <w:rPr>
          <w:rFonts w:cs="Times New Roman"/>
          <w:sz w:val="20"/>
          <w:szCs w:val="20"/>
        </w:rPr>
        <w:t>Se r = 1, a correlação é positiva perfeita;</w:t>
      </w:r>
    </w:p>
    <w:p w14:paraId="00F39204" w14:textId="690D20F8" w:rsidR="00011531" w:rsidRPr="00AD6C54" w:rsidRDefault="00011531" w:rsidP="00795A5D">
      <w:pPr>
        <w:spacing w:line="240" w:lineRule="auto"/>
        <w:ind w:left="2268" w:firstLine="0"/>
        <w:rPr>
          <w:rFonts w:cs="Times New Roman"/>
          <w:sz w:val="20"/>
          <w:szCs w:val="20"/>
        </w:rPr>
      </w:pPr>
      <w:r w:rsidRPr="00AD6C54">
        <w:rPr>
          <w:rFonts w:cs="Times New Roman"/>
          <w:sz w:val="20"/>
          <w:szCs w:val="20"/>
        </w:rPr>
        <w:t>Se r = -1, a correlação é negativa perfeita;</w:t>
      </w:r>
    </w:p>
    <w:p w14:paraId="3111CAFB" w14:textId="6A0F798D" w:rsidR="00011531" w:rsidRDefault="00011531" w:rsidP="00795A5D">
      <w:pPr>
        <w:spacing w:line="240" w:lineRule="auto"/>
        <w:ind w:left="2268" w:firstLine="0"/>
        <w:rPr>
          <w:rFonts w:cs="Times New Roman"/>
          <w:sz w:val="20"/>
          <w:szCs w:val="20"/>
        </w:rPr>
      </w:pPr>
      <w:r w:rsidRPr="00AD6C54">
        <w:rPr>
          <w:rFonts w:cs="Times New Roman"/>
          <w:sz w:val="20"/>
          <w:szCs w:val="20"/>
        </w:rPr>
        <w:t>Se r = 0, a correlação é nula.</w:t>
      </w:r>
    </w:p>
    <w:p w14:paraId="6EB71825" w14:textId="77777777" w:rsidR="00156B1C" w:rsidRPr="00AD6C54" w:rsidRDefault="00156B1C" w:rsidP="00795A5D">
      <w:pPr>
        <w:spacing w:line="240" w:lineRule="auto"/>
        <w:ind w:left="2268" w:firstLine="0"/>
        <w:rPr>
          <w:rFonts w:cs="Times New Roman"/>
          <w:sz w:val="20"/>
          <w:szCs w:val="20"/>
        </w:rPr>
      </w:pPr>
    </w:p>
    <w:p w14:paraId="49B09E46" w14:textId="2B9DBAE9" w:rsidR="00FB5384" w:rsidRDefault="00156B1C" w:rsidP="00382A53">
      <w:pPr>
        <w:rPr>
          <w:rFonts w:cs="Times New Roman"/>
          <w:szCs w:val="24"/>
        </w:rPr>
      </w:pPr>
      <w:r>
        <w:rPr>
          <w:rFonts w:cs="Times New Roman"/>
          <w:szCs w:val="24"/>
        </w:rPr>
        <w:t xml:space="preserve">A análise de correlação foi utilizada para </w:t>
      </w:r>
      <w:r w:rsidRPr="00156B1C">
        <w:rPr>
          <w:rFonts w:cs="Times New Roman"/>
          <w:szCs w:val="24"/>
        </w:rPr>
        <w:t>identificar quais conjuntos de práticas de gestão mais se relacionaram com os resultados obtidos no IGC</w:t>
      </w:r>
      <w:r>
        <w:rPr>
          <w:rFonts w:cs="Times New Roman"/>
          <w:szCs w:val="24"/>
        </w:rPr>
        <w:t>.</w:t>
      </w:r>
    </w:p>
    <w:p w14:paraId="39600F9F" w14:textId="77777777" w:rsidR="00156B1C" w:rsidRPr="00AD6C54" w:rsidRDefault="00156B1C" w:rsidP="00382A53">
      <w:pPr>
        <w:rPr>
          <w:rFonts w:cs="Times New Roman"/>
          <w:szCs w:val="24"/>
        </w:rPr>
      </w:pPr>
    </w:p>
    <w:p w14:paraId="0EB466CC" w14:textId="4F7107BF" w:rsidR="00FB5384" w:rsidRPr="00AD6C54" w:rsidRDefault="00FB5384" w:rsidP="00FB5384">
      <w:pPr>
        <w:pStyle w:val="Ttulo1"/>
        <w:rPr>
          <w:rFonts w:cs="Times New Roman"/>
          <w:sz w:val="24"/>
          <w:szCs w:val="24"/>
        </w:rPr>
      </w:pPr>
      <w:r w:rsidRPr="00AD6C54">
        <w:rPr>
          <w:rFonts w:cs="Times New Roman"/>
          <w:sz w:val="24"/>
          <w:szCs w:val="24"/>
        </w:rPr>
        <w:t>6 ANÁLISE DOS DADOS</w:t>
      </w:r>
    </w:p>
    <w:p w14:paraId="2D763FCA" w14:textId="77777777" w:rsidR="00C85B14" w:rsidRPr="00AD6C54" w:rsidRDefault="00C85B14" w:rsidP="00382A53">
      <w:pPr>
        <w:rPr>
          <w:rFonts w:cs="Times New Roman"/>
          <w:szCs w:val="24"/>
        </w:rPr>
      </w:pPr>
    </w:p>
    <w:p w14:paraId="036A207E" w14:textId="77777777" w:rsidR="00156B1C" w:rsidRDefault="00F720BF" w:rsidP="00382A53">
      <w:pPr>
        <w:rPr>
          <w:rFonts w:cs="Times New Roman"/>
          <w:szCs w:val="24"/>
        </w:rPr>
      </w:pPr>
      <w:r w:rsidRPr="00AD6C54">
        <w:rPr>
          <w:rFonts w:cs="Times New Roman"/>
          <w:szCs w:val="24"/>
        </w:rPr>
        <w:t>Inicialmente, foram avaliadas medidas de tendência central para os dados de ambos os índices analisados</w:t>
      </w:r>
      <w:r w:rsidR="00156B1C">
        <w:rPr>
          <w:rFonts w:cs="Times New Roman"/>
          <w:szCs w:val="24"/>
        </w:rPr>
        <w:t>.</w:t>
      </w:r>
    </w:p>
    <w:p w14:paraId="4B501B6C" w14:textId="7E09AB6C" w:rsidR="00F720BF" w:rsidRPr="00AD6C54" w:rsidRDefault="00156B1C" w:rsidP="00382A53">
      <w:pPr>
        <w:rPr>
          <w:rFonts w:cs="Times New Roman"/>
          <w:szCs w:val="24"/>
        </w:rPr>
      </w:pPr>
      <w:r>
        <w:rPr>
          <w:rFonts w:cs="Times New Roman"/>
          <w:szCs w:val="24"/>
        </w:rPr>
        <w:t xml:space="preserve">Na Tabela 1 são apresentadas a quantidade de instituições </w:t>
      </w:r>
      <w:r w:rsidR="00084349">
        <w:rPr>
          <w:rFonts w:cs="Times New Roman"/>
          <w:szCs w:val="24"/>
        </w:rPr>
        <w:t>com conceitos 3, 4 e 5 para os anos de 2016 e 2017.</w:t>
      </w:r>
    </w:p>
    <w:p w14:paraId="0D1BAC0D" w14:textId="2EB4DA6D" w:rsidR="00DB37BC" w:rsidRPr="00AD6C54" w:rsidRDefault="00DB37BC" w:rsidP="00382A53">
      <w:pPr>
        <w:rPr>
          <w:rFonts w:cs="Times New Roman"/>
          <w:szCs w:val="24"/>
        </w:rPr>
      </w:pPr>
    </w:p>
    <w:p w14:paraId="6B4FD803" w14:textId="014F7424" w:rsidR="00F720BF" w:rsidRPr="00AD6C54" w:rsidRDefault="00DB37BC" w:rsidP="00795A5D">
      <w:pPr>
        <w:spacing w:line="240" w:lineRule="auto"/>
        <w:ind w:firstLine="0"/>
        <w:jc w:val="center"/>
        <w:rPr>
          <w:rFonts w:cs="Times New Roman"/>
          <w:sz w:val="20"/>
          <w:szCs w:val="20"/>
        </w:rPr>
      </w:pPr>
      <w:r w:rsidRPr="00AD6C54">
        <w:rPr>
          <w:rFonts w:cs="Times New Roman"/>
          <w:b/>
          <w:bCs/>
          <w:sz w:val="20"/>
          <w:szCs w:val="20"/>
        </w:rPr>
        <w:t>Tabela 1</w:t>
      </w:r>
      <w:r w:rsidRPr="00AD6C54">
        <w:rPr>
          <w:rFonts w:cs="Times New Roman"/>
          <w:sz w:val="20"/>
          <w:szCs w:val="20"/>
        </w:rPr>
        <w:t xml:space="preserve"> – Conceitos IGC 2016 e 2017</w:t>
      </w:r>
    </w:p>
    <w:tbl>
      <w:tblPr>
        <w:tblStyle w:val="TabelaSimples2"/>
        <w:tblW w:w="5103" w:type="dxa"/>
        <w:jc w:val="center"/>
        <w:tblLook w:val="06A0" w:firstRow="1" w:lastRow="0" w:firstColumn="1" w:lastColumn="0" w:noHBand="1" w:noVBand="1"/>
      </w:tblPr>
      <w:tblGrid>
        <w:gridCol w:w="1418"/>
        <w:gridCol w:w="1843"/>
        <w:gridCol w:w="1842"/>
      </w:tblGrid>
      <w:tr w:rsidR="0078270E" w:rsidRPr="00AD6C54" w14:paraId="579F9A5E" w14:textId="77777777" w:rsidTr="00B12A3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hideMark/>
          </w:tcPr>
          <w:p w14:paraId="600657BC" w14:textId="77777777" w:rsidR="00F720BF" w:rsidRPr="00AD6C54" w:rsidRDefault="00F720B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Conceito IGC</w:t>
            </w:r>
          </w:p>
        </w:tc>
        <w:tc>
          <w:tcPr>
            <w:tcW w:w="1843" w:type="dxa"/>
            <w:shd w:val="clear" w:color="auto" w:fill="auto"/>
            <w:noWrap/>
            <w:hideMark/>
          </w:tcPr>
          <w:p w14:paraId="6E60BF54" w14:textId="77777777" w:rsidR="00F720BF" w:rsidRPr="00AD6C54" w:rsidRDefault="00F720B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Quantidade 2016</w:t>
            </w:r>
          </w:p>
        </w:tc>
        <w:tc>
          <w:tcPr>
            <w:tcW w:w="1842" w:type="dxa"/>
            <w:shd w:val="clear" w:color="auto" w:fill="auto"/>
            <w:noWrap/>
            <w:hideMark/>
          </w:tcPr>
          <w:p w14:paraId="1098F946" w14:textId="77777777" w:rsidR="00F720BF" w:rsidRPr="00AD6C54" w:rsidRDefault="00F720B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Quantidade 2017</w:t>
            </w:r>
          </w:p>
        </w:tc>
      </w:tr>
      <w:tr w:rsidR="0078270E" w:rsidRPr="00AD6C54" w14:paraId="59A98A6D" w14:textId="77777777" w:rsidTr="00B12A31">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hideMark/>
          </w:tcPr>
          <w:p w14:paraId="20F1DADF" w14:textId="77777777" w:rsidR="00F720BF" w:rsidRPr="00AD6C54" w:rsidRDefault="00F720B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3</w:t>
            </w:r>
          </w:p>
        </w:tc>
        <w:tc>
          <w:tcPr>
            <w:tcW w:w="1843" w:type="dxa"/>
            <w:shd w:val="clear" w:color="auto" w:fill="auto"/>
            <w:noWrap/>
            <w:hideMark/>
          </w:tcPr>
          <w:p w14:paraId="796664DD" w14:textId="77777777" w:rsidR="00F720BF" w:rsidRPr="00AD6C54" w:rsidRDefault="00F720BF"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36</w:t>
            </w:r>
          </w:p>
        </w:tc>
        <w:tc>
          <w:tcPr>
            <w:tcW w:w="1842" w:type="dxa"/>
            <w:shd w:val="clear" w:color="auto" w:fill="auto"/>
            <w:noWrap/>
            <w:hideMark/>
          </w:tcPr>
          <w:p w14:paraId="683879E7" w14:textId="77777777" w:rsidR="00F720BF" w:rsidRPr="00AD6C54" w:rsidRDefault="00F720BF"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37</w:t>
            </w:r>
          </w:p>
        </w:tc>
      </w:tr>
      <w:tr w:rsidR="0078270E" w:rsidRPr="00AD6C54" w14:paraId="68754D33" w14:textId="77777777" w:rsidTr="00B12A31">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hideMark/>
          </w:tcPr>
          <w:p w14:paraId="58306CEF" w14:textId="77777777" w:rsidR="00F720BF" w:rsidRPr="00AD6C54" w:rsidRDefault="00F720B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w:t>
            </w:r>
          </w:p>
        </w:tc>
        <w:tc>
          <w:tcPr>
            <w:tcW w:w="1843" w:type="dxa"/>
            <w:shd w:val="clear" w:color="auto" w:fill="auto"/>
            <w:noWrap/>
            <w:hideMark/>
          </w:tcPr>
          <w:p w14:paraId="54CFF7E5" w14:textId="77777777" w:rsidR="00F720BF" w:rsidRPr="00AD6C54" w:rsidRDefault="00F720BF"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55</w:t>
            </w:r>
          </w:p>
        </w:tc>
        <w:tc>
          <w:tcPr>
            <w:tcW w:w="1842" w:type="dxa"/>
            <w:shd w:val="clear" w:color="auto" w:fill="auto"/>
            <w:noWrap/>
            <w:hideMark/>
          </w:tcPr>
          <w:p w14:paraId="4965FBAF" w14:textId="77777777" w:rsidR="00F720BF" w:rsidRPr="00AD6C54" w:rsidRDefault="00F720BF"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52</w:t>
            </w:r>
          </w:p>
        </w:tc>
      </w:tr>
      <w:tr w:rsidR="0078270E" w:rsidRPr="00AD6C54" w14:paraId="4284323E" w14:textId="77777777" w:rsidTr="00B12A31">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hideMark/>
          </w:tcPr>
          <w:p w14:paraId="771F9B8E" w14:textId="77777777" w:rsidR="00F720BF" w:rsidRPr="00AD6C54" w:rsidRDefault="00F720B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5</w:t>
            </w:r>
          </w:p>
        </w:tc>
        <w:tc>
          <w:tcPr>
            <w:tcW w:w="1843" w:type="dxa"/>
            <w:shd w:val="clear" w:color="auto" w:fill="auto"/>
            <w:noWrap/>
            <w:hideMark/>
          </w:tcPr>
          <w:p w14:paraId="129F845C" w14:textId="77777777" w:rsidR="00F720BF" w:rsidRPr="00AD6C54" w:rsidRDefault="00F720BF"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9</w:t>
            </w:r>
          </w:p>
        </w:tc>
        <w:tc>
          <w:tcPr>
            <w:tcW w:w="1842" w:type="dxa"/>
            <w:shd w:val="clear" w:color="auto" w:fill="auto"/>
            <w:noWrap/>
            <w:hideMark/>
          </w:tcPr>
          <w:p w14:paraId="0CA574F2" w14:textId="5304D4C3" w:rsidR="00F720BF" w:rsidRPr="00AD6C54" w:rsidRDefault="00F720BF" w:rsidP="00795A5D">
            <w:pPr>
              <w:tabs>
                <w:tab w:val="left" w:pos="927"/>
              </w:tabs>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11</w:t>
            </w:r>
          </w:p>
        </w:tc>
      </w:tr>
      <w:tr w:rsidR="0078270E" w:rsidRPr="00AD6C54" w14:paraId="2D5F65CE" w14:textId="77777777" w:rsidTr="00B12A31">
        <w:trPr>
          <w:trHeight w:val="30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noWrap/>
          </w:tcPr>
          <w:p w14:paraId="1F33EFC0" w14:textId="392B638C" w:rsidR="00B6530A" w:rsidRPr="00AD6C54" w:rsidRDefault="00B6530A"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Total</w:t>
            </w:r>
          </w:p>
        </w:tc>
        <w:tc>
          <w:tcPr>
            <w:tcW w:w="1843" w:type="dxa"/>
            <w:shd w:val="clear" w:color="auto" w:fill="auto"/>
            <w:noWrap/>
          </w:tcPr>
          <w:p w14:paraId="268149E8" w14:textId="5C3ED56F"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100</w:t>
            </w:r>
          </w:p>
        </w:tc>
        <w:tc>
          <w:tcPr>
            <w:tcW w:w="1842" w:type="dxa"/>
            <w:shd w:val="clear" w:color="auto" w:fill="auto"/>
            <w:noWrap/>
          </w:tcPr>
          <w:p w14:paraId="48FD02C0" w14:textId="426111E4" w:rsidR="00B6530A" w:rsidRPr="00AD6C54" w:rsidRDefault="00B6530A" w:rsidP="00795A5D">
            <w:pPr>
              <w:tabs>
                <w:tab w:val="left" w:pos="927"/>
              </w:tabs>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100</w:t>
            </w:r>
          </w:p>
        </w:tc>
      </w:tr>
    </w:tbl>
    <w:p w14:paraId="52E9AA6F" w14:textId="77406A2B" w:rsidR="00F720BF" w:rsidRPr="00AD6C54" w:rsidRDefault="00DB37BC" w:rsidP="00795A5D">
      <w:pPr>
        <w:spacing w:line="240" w:lineRule="auto"/>
        <w:ind w:firstLine="0"/>
        <w:jc w:val="center"/>
        <w:rPr>
          <w:rFonts w:cs="Times New Roman"/>
          <w:sz w:val="20"/>
          <w:szCs w:val="20"/>
        </w:rPr>
      </w:pPr>
      <w:r w:rsidRPr="00AD6C54">
        <w:rPr>
          <w:rFonts w:cs="Times New Roman"/>
          <w:sz w:val="20"/>
          <w:szCs w:val="20"/>
        </w:rPr>
        <w:t>Fonte: Elaborad</w:t>
      </w:r>
      <w:r w:rsidR="00E82D42">
        <w:rPr>
          <w:rFonts w:cs="Times New Roman"/>
          <w:sz w:val="20"/>
          <w:szCs w:val="20"/>
        </w:rPr>
        <w:t>a</w:t>
      </w:r>
      <w:r w:rsidRPr="00AD6C54">
        <w:rPr>
          <w:rFonts w:cs="Times New Roman"/>
          <w:sz w:val="20"/>
          <w:szCs w:val="20"/>
        </w:rPr>
        <w:t xml:space="preserve"> pelo autor com base em </w:t>
      </w:r>
      <w:r w:rsidR="00084349" w:rsidRPr="00AD6C54">
        <w:rPr>
          <w:rFonts w:cs="Times New Roman"/>
          <w:sz w:val="20"/>
          <w:szCs w:val="20"/>
        </w:rPr>
        <w:t>MEC</w:t>
      </w:r>
      <w:r w:rsidR="00084349">
        <w:rPr>
          <w:rFonts w:cs="Times New Roman"/>
          <w:sz w:val="20"/>
          <w:szCs w:val="20"/>
        </w:rPr>
        <w:t xml:space="preserve"> (</w:t>
      </w:r>
      <w:r w:rsidR="00084349" w:rsidRPr="00AD6C54">
        <w:rPr>
          <w:rFonts w:cs="Times New Roman"/>
          <w:sz w:val="20"/>
          <w:szCs w:val="20"/>
        </w:rPr>
        <w:t>2016</w:t>
      </w:r>
      <w:r w:rsidR="00084349">
        <w:rPr>
          <w:rFonts w:cs="Times New Roman"/>
          <w:sz w:val="20"/>
          <w:szCs w:val="20"/>
        </w:rPr>
        <w:t>)</w:t>
      </w:r>
      <w:r w:rsidR="00084349" w:rsidRPr="00AD6C54">
        <w:rPr>
          <w:rFonts w:cs="Times New Roman"/>
          <w:sz w:val="20"/>
          <w:szCs w:val="20"/>
        </w:rPr>
        <w:t xml:space="preserve"> e MEC</w:t>
      </w:r>
      <w:r w:rsidR="00084349">
        <w:rPr>
          <w:rFonts w:cs="Times New Roman"/>
          <w:sz w:val="20"/>
          <w:szCs w:val="20"/>
        </w:rPr>
        <w:t xml:space="preserve"> (</w:t>
      </w:r>
      <w:r w:rsidR="00084349" w:rsidRPr="00AD6C54">
        <w:rPr>
          <w:rFonts w:cs="Times New Roman"/>
          <w:sz w:val="20"/>
          <w:szCs w:val="20"/>
        </w:rPr>
        <w:t>2017</w:t>
      </w:r>
      <w:r w:rsidR="00084349">
        <w:rPr>
          <w:rFonts w:cs="Times New Roman"/>
          <w:sz w:val="20"/>
          <w:szCs w:val="20"/>
        </w:rPr>
        <w:t>)</w:t>
      </w:r>
    </w:p>
    <w:p w14:paraId="4CE9125B" w14:textId="54024D76" w:rsidR="00DB37BC" w:rsidRDefault="00DB37BC" w:rsidP="00DB37BC">
      <w:pPr>
        <w:ind w:firstLine="0"/>
        <w:jc w:val="center"/>
        <w:rPr>
          <w:rFonts w:cs="Times New Roman"/>
          <w:b/>
          <w:bCs/>
          <w:sz w:val="20"/>
          <w:szCs w:val="20"/>
        </w:rPr>
      </w:pPr>
    </w:p>
    <w:p w14:paraId="77629230" w14:textId="0C44E821" w:rsidR="00084349" w:rsidRDefault="00084349" w:rsidP="00084349">
      <w:pPr>
        <w:rPr>
          <w:rFonts w:cs="Times New Roman"/>
          <w:szCs w:val="24"/>
        </w:rPr>
      </w:pPr>
      <w:r w:rsidRPr="00084349">
        <w:rPr>
          <w:rFonts w:cs="Times New Roman"/>
          <w:szCs w:val="24"/>
        </w:rPr>
        <w:t xml:space="preserve">Na </w:t>
      </w:r>
      <w:r>
        <w:rPr>
          <w:rFonts w:cs="Times New Roman"/>
          <w:szCs w:val="24"/>
        </w:rPr>
        <w:t>T</w:t>
      </w:r>
      <w:r w:rsidRPr="00084349">
        <w:rPr>
          <w:rFonts w:cs="Times New Roman"/>
          <w:szCs w:val="24"/>
        </w:rPr>
        <w:t xml:space="preserve">abela </w:t>
      </w:r>
      <w:r>
        <w:rPr>
          <w:rFonts w:cs="Times New Roman"/>
          <w:szCs w:val="24"/>
        </w:rPr>
        <w:t>2 são apresentadas a frequência das IFES categorizadas de acordo com o grau de maturidade do IGC (inexpressivo, iniciando, intermediário, aprimorado) para os anos de 2017 e 2018.</w:t>
      </w:r>
    </w:p>
    <w:p w14:paraId="4A89F75B" w14:textId="77777777" w:rsidR="00084349" w:rsidRPr="00084349" w:rsidRDefault="00084349" w:rsidP="00084349">
      <w:pPr>
        <w:rPr>
          <w:rFonts w:cs="Times New Roman"/>
          <w:szCs w:val="24"/>
        </w:rPr>
      </w:pPr>
    </w:p>
    <w:p w14:paraId="2ABD994F" w14:textId="46D37041" w:rsidR="00DB37BC" w:rsidRPr="00AD6C54" w:rsidRDefault="00DB37BC" w:rsidP="00795A5D">
      <w:pPr>
        <w:spacing w:line="240" w:lineRule="auto"/>
        <w:ind w:firstLine="0"/>
        <w:jc w:val="center"/>
        <w:rPr>
          <w:rFonts w:cs="Times New Roman"/>
          <w:sz w:val="20"/>
          <w:szCs w:val="20"/>
        </w:rPr>
      </w:pPr>
      <w:r w:rsidRPr="00AD6C54">
        <w:rPr>
          <w:rFonts w:cs="Times New Roman"/>
          <w:b/>
          <w:bCs/>
          <w:sz w:val="20"/>
          <w:szCs w:val="20"/>
        </w:rPr>
        <w:lastRenderedPageBreak/>
        <w:t xml:space="preserve">Tabela </w:t>
      </w:r>
      <w:r w:rsidR="0050063E" w:rsidRPr="00AD6C54">
        <w:rPr>
          <w:rFonts w:cs="Times New Roman"/>
          <w:b/>
          <w:bCs/>
          <w:sz w:val="20"/>
          <w:szCs w:val="20"/>
        </w:rPr>
        <w:t>2</w:t>
      </w:r>
      <w:r w:rsidRPr="00AD6C54">
        <w:rPr>
          <w:rFonts w:cs="Times New Roman"/>
          <w:sz w:val="20"/>
          <w:szCs w:val="20"/>
        </w:rPr>
        <w:t xml:space="preserve"> – </w:t>
      </w:r>
      <w:r w:rsidR="0050063E" w:rsidRPr="00AD6C54">
        <w:rPr>
          <w:rFonts w:cs="Times New Roman"/>
          <w:sz w:val="20"/>
          <w:szCs w:val="20"/>
        </w:rPr>
        <w:t>Grau de maturidade do IGC 2017 e 2018 d</w:t>
      </w:r>
      <w:r w:rsidR="00260E22">
        <w:rPr>
          <w:rFonts w:cs="Times New Roman"/>
          <w:sz w:val="20"/>
          <w:szCs w:val="20"/>
        </w:rPr>
        <w:t>o</w:t>
      </w:r>
      <w:r w:rsidR="0050063E" w:rsidRPr="00AD6C54">
        <w:rPr>
          <w:rFonts w:cs="Times New Roman"/>
          <w:sz w:val="20"/>
          <w:szCs w:val="20"/>
        </w:rPr>
        <w:t>s IFES</w:t>
      </w:r>
    </w:p>
    <w:tbl>
      <w:tblPr>
        <w:tblStyle w:val="TabelaSimples2"/>
        <w:tblW w:w="0" w:type="auto"/>
        <w:jc w:val="center"/>
        <w:tblLook w:val="06A0" w:firstRow="1" w:lastRow="0" w:firstColumn="1" w:lastColumn="0" w:noHBand="1" w:noVBand="1"/>
      </w:tblPr>
      <w:tblGrid>
        <w:gridCol w:w="616"/>
        <w:gridCol w:w="1294"/>
        <w:gridCol w:w="1028"/>
        <w:gridCol w:w="1416"/>
        <w:gridCol w:w="1283"/>
        <w:gridCol w:w="1167"/>
      </w:tblGrid>
      <w:tr w:rsidR="0078270E" w:rsidRPr="00AD6C54" w14:paraId="27521C4E" w14:textId="77777777" w:rsidTr="00B12A3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8D5F9D4" w14:textId="0ACB43BB" w:rsidR="00B6530A" w:rsidRPr="00AD6C54" w:rsidRDefault="00DB37BC" w:rsidP="00795A5D">
            <w:pPr>
              <w:spacing w:line="240" w:lineRule="auto"/>
              <w:ind w:firstLine="0"/>
              <w:jc w:val="center"/>
              <w:rPr>
                <w:rFonts w:eastAsia="Times New Roman" w:cs="Times New Roman"/>
                <w:sz w:val="20"/>
                <w:szCs w:val="20"/>
                <w:lang w:eastAsia="pt-BR"/>
              </w:rPr>
            </w:pPr>
            <w:proofErr w:type="spellStart"/>
            <w:r w:rsidRPr="00AD6C54">
              <w:rPr>
                <w:rFonts w:eastAsia="Times New Roman" w:cs="Times New Roman"/>
                <w:sz w:val="20"/>
                <w:szCs w:val="20"/>
                <w:lang w:eastAsia="pt-BR"/>
              </w:rPr>
              <w:t>iGG</w:t>
            </w:r>
            <w:proofErr w:type="spellEnd"/>
          </w:p>
        </w:tc>
        <w:tc>
          <w:tcPr>
            <w:tcW w:w="0" w:type="auto"/>
            <w:shd w:val="clear" w:color="auto" w:fill="auto"/>
            <w:noWrap/>
            <w:hideMark/>
          </w:tcPr>
          <w:p w14:paraId="73DE1C8B" w14:textId="07123E3A" w:rsidR="00B6530A" w:rsidRPr="00AD6C54" w:rsidRDefault="00B6530A"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Inexpressivo</w:t>
            </w:r>
          </w:p>
        </w:tc>
        <w:tc>
          <w:tcPr>
            <w:tcW w:w="0" w:type="auto"/>
            <w:shd w:val="clear" w:color="auto" w:fill="auto"/>
            <w:noWrap/>
            <w:hideMark/>
          </w:tcPr>
          <w:p w14:paraId="2AF9FB3B" w14:textId="49C4342B" w:rsidR="00B6530A" w:rsidRPr="00AD6C54" w:rsidRDefault="00B6530A"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Iniciando</w:t>
            </w:r>
          </w:p>
        </w:tc>
        <w:tc>
          <w:tcPr>
            <w:tcW w:w="0" w:type="auto"/>
            <w:shd w:val="clear" w:color="auto" w:fill="auto"/>
            <w:noWrap/>
            <w:hideMark/>
          </w:tcPr>
          <w:p w14:paraId="5327CE4A" w14:textId="2669F40C" w:rsidR="00B6530A" w:rsidRPr="00AD6C54" w:rsidRDefault="00B6530A"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Intermediário</w:t>
            </w:r>
          </w:p>
        </w:tc>
        <w:tc>
          <w:tcPr>
            <w:tcW w:w="0" w:type="auto"/>
            <w:shd w:val="clear" w:color="auto" w:fill="auto"/>
            <w:noWrap/>
            <w:hideMark/>
          </w:tcPr>
          <w:p w14:paraId="3921CE24" w14:textId="6AD5C816" w:rsidR="00B6530A" w:rsidRPr="00AD6C54" w:rsidRDefault="00B6530A"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Aprimorado</w:t>
            </w:r>
          </w:p>
        </w:tc>
        <w:tc>
          <w:tcPr>
            <w:tcW w:w="0" w:type="auto"/>
            <w:shd w:val="clear" w:color="auto" w:fill="auto"/>
            <w:noWrap/>
            <w:hideMark/>
          </w:tcPr>
          <w:p w14:paraId="60EE0C13" w14:textId="77777777" w:rsidR="00B6530A" w:rsidRPr="00AD6C54" w:rsidRDefault="00B6530A"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Total IFES</w:t>
            </w:r>
          </w:p>
        </w:tc>
      </w:tr>
      <w:tr w:rsidR="0078270E" w:rsidRPr="00AD6C54" w14:paraId="4899985A" w14:textId="77777777" w:rsidTr="00B12A31">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414A94A" w14:textId="77777777" w:rsidR="00B6530A" w:rsidRPr="00AD6C54" w:rsidRDefault="00B6530A"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2017</w:t>
            </w:r>
          </w:p>
        </w:tc>
        <w:tc>
          <w:tcPr>
            <w:tcW w:w="0" w:type="auto"/>
            <w:shd w:val="clear" w:color="auto" w:fill="auto"/>
            <w:noWrap/>
            <w:hideMark/>
          </w:tcPr>
          <w:p w14:paraId="77AF4443"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5</w:t>
            </w:r>
          </w:p>
        </w:tc>
        <w:tc>
          <w:tcPr>
            <w:tcW w:w="0" w:type="auto"/>
            <w:shd w:val="clear" w:color="auto" w:fill="auto"/>
            <w:noWrap/>
            <w:hideMark/>
          </w:tcPr>
          <w:p w14:paraId="19DAAA04"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70</w:t>
            </w:r>
          </w:p>
        </w:tc>
        <w:tc>
          <w:tcPr>
            <w:tcW w:w="0" w:type="auto"/>
            <w:shd w:val="clear" w:color="auto" w:fill="auto"/>
            <w:noWrap/>
            <w:hideMark/>
          </w:tcPr>
          <w:p w14:paraId="74B90FAD"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21</w:t>
            </w:r>
          </w:p>
        </w:tc>
        <w:tc>
          <w:tcPr>
            <w:tcW w:w="0" w:type="auto"/>
            <w:shd w:val="clear" w:color="auto" w:fill="auto"/>
            <w:noWrap/>
            <w:hideMark/>
          </w:tcPr>
          <w:p w14:paraId="7A9B50D6"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w:t>
            </w:r>
          </w:p>
        </w:tc>
        <w:tc>
          <w:tcPr>
            <w:tcW w:w="0" w:type="auto"/>
            <w:shd w:val="clear" w:color="auto" w:fill="auto"/>
            <w:noWrap/>
            <w:hideMark/>
          </w:tcPr>
          <w:p w14:paraId="33791EA6"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97</w:t>
            </w:r>
          </w:p>
        </w:tc>
      </w:tr>
      <w:tr w:rsidR="0078270E" w:rsidRPr="00AD6C54" w14:paraId="38177B70" w14:textId="77777777" w:rsidTr="00B12A31">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7768A90" w14:textId="77777777" w:rsidR="00B6530A" w:rsidRPr="00AD6C54" w:rsidRDefault="00B6530A"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2018</w:t>
            </w:r>
          </w:p>
        </w:tc>
        <w:tc>
          <w:tcPr>
            <w:tcW w:w="0" w:type="auto"/>
            <w:shd w:val="clear" w:color="auto" w:fill="auto"/>
            <w:noWrap/>
            <w:hideMark/>
          </w:tcPr>
          <w:p w14:paraId="29AE964C"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3</w:t>
            </w:r>
          </w:p>
        </w:tc>
        <w:tc>
          <w:tcPr>
            <w:tcW w:w="0" w:type="auto"/>
            <w:shd w:val="clear" w:color="auto" w:fill="auto"/>
            <w:noWrap/>
            <w:hideMark/>
          </w:tcPr>
          <w:p w14:paraId="29C8AF3D"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72</w:t>
            </w:r>
          </w:p>
        </w:tc>
        <w:tc>
          <w:tcPr>
            <w:tcW w:w="0" w:type="auto"/>
            <w:shd w:val="clear" w:color="auto" w:fill="auto"/>
            <w:noWrap/>
            <w:hideMark/>
          </w:tcPr>
          <w:p w14:paraId="12F77188"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21</w:t>
            </w:r>
          </w:p>
        </w:tc>
        <w:tc>
          <w:tcPr>
            <w:tcW w:w="0" w:type="auto"/>
            <w:shd w:val="clear" w:color="auto" w:fill="auto"/>
            <w:noWrap/>
            <w:hideMark/>
          </w:tcPr>
          <w:p w14:paraId="39CB34FD"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4</w:t>
            </w:r>
          </w:p>
        </w:tc>
        <w:tc>
          <w:tcPr>
            <w:tcW w:w="0" w:type="auto"/>
            <w:shd w:val="clear" w:color="auto" w:fill="auto"/>
            <w:noWrap/>
            <w:hideMark/>
          </w:tcPr>
          <w:p w14:paraId="43BCABCC" w14:textId="77777777" w:rsidR="00B6530A" w:rsidRPr="00AD6C54" w:rsidRDefault="00B6530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100</w:t>
            </w:r>
          </w:p>
        </w:tc>
      </w:tr>
    </w:tbl>
    <w:p w14:paraId="26D62E0B" w14:textId="1AFA2158" w:rsidR="0050063E" w:rsidRPr="00AD6C54" w:rsidRDefault="0050063E" w:rsidP="00795A5D">
      <w:pPr>
        <w:spacing w:line="240" w:lineRule="auto"/>
        <w:ind w:firstLine="0"/>
        <w:jc w:val="center"/>
        <w:rPr>
          <w:rFonts w:cs="Times New Roman"/>
          <w:sz w:val="20"/>
          <w:szCs w:val="20"/>
        </w:rPr>
      </w:pPr>
      <w:r w:rsidRPr="00AD6C54">
        <w:rPr>
          <w:rFonts w:cs="Times New Roman"/>
          <w:sz w:val="20"/>
          <w:szCs w:val="20"/>
        </w:rPr>
        <w:t>Fonte: Elaborad</w:t>
      </w:r>
      <w:r w:rsidR="00E82D42">
        <w:rPr>
          <w:rFonts w:cs="Times New Roman"/>
          <w:sz w:val="20"/>
          <w:szCs w:val="20"/>
        </w:rPr>
        <w:t>a</w:t>
      </w:r>
      <w:r w:rsidRPr="00AD6C54">
        <w:rPr>
          <w:rFonts w:cs="Times New Roman"/>
          <w:sz w:val="20"/>
          <w:szCs w:val="20"/>
        </w:rPr>
        <w:t xml:space="preserve"> pelo autor com base em </w:t>
      </w:r>
      <w:r w:rsidR="00084349" w:rsidRPr="00AD6C54">
        <w:rPr>
          <w:rFonts w:cs="Times New Roman"/>
          <w:sz w:val="20"/>
          <w:szCs w:val="20"/>
        </w:rPr>
        <w:t>TCU</w:t>
      </w:r>
      <w:r w:rsidR="00084349">
        <w:rPr>
          <w:rFonts w:cs="Times New Roman"/>
          <w:sz w:val="20"/>
          <w:szCs w:val="20"/>
        </w:rPr>
        <w:t xml:space="preserve"> (</w:t>
      </w:r>
      <w:r w:rsidR="00084349" w:rsidRPr="00AD6C54">
        <w:rPr>
          <w:rFonts w:cs="Times New Roman"/>
          <w:sz w:val="20"/>
          <w:szCs w:val="20"/>
        </w:rPr>
        <w:t>2017</w:t>
      </w:r>
      <w:r w:rsidR="00084349">
        <w:rPr>
          <w:rFonts w:cs="Times New Roman"/>
          <w:sz w:val="20"/>
          <w:szCs w:val="20"/>
        </w:rPr>
        <w:t>)</w:t>
      </w:r>
      <w:r w:rsidR="00084349" w:rsidRPr="00AD6C54">
        <w:rPr>
          <w:rFonts w:cs="Times New Roman"/>
          <w:sz w:val="20"/>
          <w:szCs w:val="20"/>
        </w:rPr>
        <w:t xml:space="preserve"> e TCU</w:t>
      </w:r>
      <w:r w:rsidR="00084349">
        <w:rPr>
          <w:rFonts w:cs="Times New Roman"/>
          <w:sz w:val="20"/>
          <w:szCs w:val="20"/>
        </w:rPr>
        <w:t xml:space="preserve"> (</w:t>
      </w:r>
      <w:r w:rsidR="00084349" w:rsidRPr="00AD6C54">
        <w:rPr>
          <w:rFonts w:cs="Times New Roman"/>
          <w:sz w:val="20"/>
          <w:szCs w:val="20"/>
        </w:rPr>
        <w:t>2018</w:t>
      </w:r>
      <w:r w:rsidR="00084349">
        <w:rPr>
          <w:rFonts w:cs="Times New Roman"/>
          <w:sz w:val="20"/>
          <w:szCs w:val="20"/>
        </w:rPr>
        <w:t>)</w:t>
      </w:r>
    </w:p>
    <w:p w14:paraId="129F81D8" w14:textId="77777777" w:rsidR="00084349" w:rsidRDefault="00084349" w:rsidP="00B6530A">
      <w:pPr>
        <w:tabs>
          <w:tab w:val="left" w:pos="6173"/>
        </w:tabs>
        <w:rPr>
          <w:rFonts w:cs="Times New Roman"/>
          <w:szCs w:val="24"/>
        </w:rPr>
      </w:pPr>
    </w:p>
    <w:p w14:paraId="4717A4DD" w14:textId="450AC523" w:rsidR="00DB37BC" w:rsidRDefault="00084349" w:rsidP="00B6530A">
      <w:pPr>
        <w:tabs>
          <w:tab w:val="left" w:pos="6173"/>
        </w:tabs>
        <w:rPr>
          <w:rFonts w:cs="Times New Roman"/>
          <w:szCs w:val="24"/>
        </w:rPr>
      </w:pPr>
      <w:r>
        <w:rPr>
          <w:rFonts w:cs="Times New Roman"/>
          <w:szCs w:val="24"/>
        </w:rPr>
        <w:t xml:space="preserve">A Tabela 3 apresenta </w:t>
      </w:r>
      <w:r w:rsidR="00840B67">
        <w:rPr>
          <w:rFonts w:cs="Times New Roman"/>
          <w:szCs w:val="24"/>
        </w:rPr>
        <w:t>o</w:t>
      </w:r>
      <w:bookmarkStart w:id="3" w:name="_GoBack"/>
      <w:bookmarkEnd w:id="3"/>
      <w:r>
        <w:rPr>
          <w:rFonts w:cs="Times New Roman"/>
          <w:szCs w:val="24"/>
        </w:rPr>
        <w:t xml:space="preserve">s </w:t>
      </w:r>
      <w:r w:rsidRPr="00084349">
        <w:rPr>
          <w:rFonts w:cs="Times New Roman"/>
          <w:szCs w:val="24"/>
        </w:rPr>
        <w:t xml:space="preserve">IFES com </w:t>
      </w:r>
      <w:proofErr w:type="spellStart"/>
      <w:r w:rsidRPr="00084349">
        <w:rPr>
          <w:rFonts w:cs="Times New Roman"/>
          <w:szCs w:val="24"/>
        </w:rPr>
        <w:t>iGG</w:t>
      </w:r>
      <w:proofErr w:type="spellEnd"/>
      <w:r w:rsidRPr="00084349">
        <w:rPr>
          <w:rFonts w:cs="Times New Roman"/>
          <w:szCs w:val="24"/>
        </w:rPr>
        <w:t xml:space="preserve"> aprimorado em 2018 e respectivos desempenhos no IGC</w:t>
      </w:r>
      <w:r>
        <w:rPr>
          <w:rFonts w:cs="Times New Roman"/>
          <w:szCs w:val="24"/>
        </w:rPr>
        <w:t xml:space="preserve"> para os anos de 2017 e 2017, mostrando uma primeira relação entre </w:t>
      </w:r>
      <w:proofErr w:type="spellStart"/>
      <w:r>
        <w:rPr>
          <w:rFonts w:cs="Times New Roman"/>
          <w:szCs w:val="24"/>
        </w:rPr>
        <w:t>iGG</w:t>
      </w:r>
      <w:proofErr w:type="spellEnd"/>
      <w:r>
        <w:rPr>
          <w:rFonts w:cs="Times New Roman"/>
          <w:szCs w:val="24"/>
        </w:rPr>
        <w:t xml:space="preserve"> e IGC.</w:t>
      </w:r>
    </w:p>
    <w:p w14:paraId="7840DAD9" w14:textId="77777777" w:rsidR="00084349" w:rsidRPr="00AD6C54" w:rsidRDefault="00084349" w:rsidP="00B6530A">
      <w:pPr>
        <w:tabs>
          <w:tab w:val="left" w:pos="6173"/>
        </w:tabs>
        <w:rPr>
          <w:rFonts w:cs="Times New Roman"/>
          <w:szCs w:val="24"/>
        </w:rPr>
      </w:pPr>
    </w:p>
    <w:p w14:paraId="4F29F105" w14:textId="7DFFDDA5" w:rsidR="00DB37BC" w:rsidRPr="00AD6C54" w:rsidRDefault="00DB37BC" w:rsidP="00795A5D">
      <w:pPr>
        <w:spacing w:line="240" w:lineRule="auto"/>
        <w:ind w:firstLine="0"/>
        <w:jc w:val="center"/>
        <w:rPr>
          <w:rFonts w:cs="Times New Roman"/>
          <w:sz w:val="20"/>
          <w:szCs w:val="20"/>
        </w:rPr>
      </w:pPr>
      <w:r w:rsidRPr="00AD6C54">
        <w:rPr>
          <w:rFonts w:cs="Times New Roman"/>
          <w:b/>
          <w:bCs/>
          <w:sz w:val="20"/>
          <w:szCs w:val="20"/>
        </w:rPr>
        <w:t xml:space="preserve">Tabela </w:t>
      </w:r>
      <w:r w:rsidR="0050063E" w:rsidRPr="00AD6C54">
        <w:rPr>
          <w:rFonts w:cs="Times New Roman"/>
          <w:b/>
          <w:bCs/>
          <w:sz w:val="20"/>
          <w:szCs w:val="20"/>
        </w:rPr>
        <w:t>3</w:t>
      </w:r>
      <w:r w:rsidRPr="00AD6C54">
        <w:rPr>
          <w:rFonts w:cs="Times New Roman"/>
          <w:sz w:val="20"/>
          <w:szCs w:val="20"/>
        </w:rPr>
        <w:t xml:space="preserve"> – </w:t>
      </w:r>
      <w:r w:rsidR="0050063E" w:rsidRPr="00AD6C54">
        <w:rPr>
          <w:rFonts w:cs="Times New Roman"/>
          <w:sz w:val="20"/>
          <w:szCs w:val="20"/>
        </w:rPr>
        <w:t xml:space="preserve">IFES com </w:t>
      </w:r>
      <w:proofErr w:type="spellStart"/>
      <w:r w:rsidR="0050063E" w:rsidRPr="00AD6C54">
        <w:rPr>
          <w:rFonts w:cs="Times New Roman"/>
          <w:sz w:val="20"/>
          <w:szCs w:val="20"/>
        </w:rPr>
        <w:t>iGG</w:t>
      </w:r>
      <w:proofErr w:type="spellEnd"/>
      <w:r w:rsidR="0050063E" w:rsidRPr="00AD6C54">
        <w:rPr>
          <w:rFonts w:cs="Times New Roman"/>
          <w:sz w:val="20"/>
          <w:szCs w:val="20"/>
        </w:rPr>
        <w:t xml:space="preserve"> aprimorado em 2018 e respectivos desempenhos no IGC</w:t>
      </w:r>
    </w:p>
    <w:tbl>
      <w:tblPr>
        <w:tblStyle w:val="TabelaSimples2"/>
        <w:tblW w:w="0" w:type="auto"/>
        <w:tblLayout w:type="fixed"/>
        <w:tblLook w:val="06A0" w:firstRow="1" w:lastRow="0" w:firstColumn="1" w:lastColumn="0" w:noHBand="1" w:noVBand="1"/>
      </w:tblPr>
      <w:tblGrid>
        <w:gridCol w:w="5240"/>
        <w:gridCol w:w="957"/>
        <w:gridCol w:w="958"/>
        <w:gridCol w:w="958"/>
        <w:gridCol w:w="958"/>
      </w:tblGrid>
      <w:tr w:rsidR="0078270E" w:rsidRPr="00AD6C54" w14:paraId="7865DDDC" w14:textId="77777777" w:rsidTr="00B12A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noWrap/>
            <w:vAlign w:val="center"/>
            <w:hideMark/>
          </w:tcPr>
          <w:p w14:paraId="52113C4E" w14:textId="1164F62D" w:rsidR="009314E6" w:rsidRPr="00AD6C54" w:rsidRDefault="009314E6"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 xml:space="preserve">IFES com </w:t>
            </w:r>
            <w:proofErr w:type="spellStart"/>
            <w:r w:rsidRPr="00AD6C54">
              <w:rPr>
                <w:rFonts w:eastAsia="Times New Roman" w:cs="Times New Roman"/>
                <w:sz w:val="20"/>
                <w:szCs w:val="20"/>
                <w:lang w:eastAsia="pt-BR"/>
              </w:rPr>
              <w:t>iGG</w:t>
            </w:r>
            <w:proofErr w:type="spellEnd"/>
            <w:r w:rsidRPr="00AD6C54">
              <w:rPr>
                <w:rFonts w:eastAsia="Times New Roman" w:cs="Times New Roman"/>
                <w:sz w:val="20"/>
                <w:szCs w:val="20"/>
                <w:lang w:eastAsia="pt-BR"/>
              </w:rPr>
              <w:t xml:space="preserve"> Aprimorado (2018)</w:t>
            </w:r>
          </w:p>
        </w:tc>
        <w:tc>
          <w:tcPr>
            <w:tcW w:w="957" w:type="dxa"/>
            <w:shd w:val="clear" w:color="auto" w:fill="auto"/>
            <w:noWrap/>
            <w:vAlign w:val="center"/>
            <w:hideMark/>
          </w:tcPr>
          <w:p w14:paraId="7A436BC0" w14:textId="77777777" w:rsidR="009314E6" w:rsidRPr="00AD6C54" w:rsidRDefault="009314E6"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roofErr w:type="spellStart"/>
            <w:r w:rsidRPr="00AD6C54">
              <w:rPr>
                <w:rFonts w:eastAsia="Times New Roman" w:cs="Times New Roman"/>
                <w:sz w:val="20"/>
                <w:szCs w:val="20"/>
                <w:lang w:eastAsia="pt-BR"/>
              </w:rPr>
              <w:t>iGG</w:t>
            </w:r>
            <w:proofErr w:type="spellEnd"/>
            <w:r w:rsidRPr="00AD6C54">
              <w:rPr>
                <w:rFonts w:eastAsia="Times New Roman" w:cs="Times New Roman"/>
                <w:sz w:val="20"/>
                <w:szCs w:val="20"/>
                <w:lang w:eastAsia="pt-BR"/>
              </w:rPr>
              <w:t xml:space="preserve"> 2017</w:t>
            </w:r>
          </w:p>
        </w:tc>
        <w:tc>
          <w:tcPr>
            <w:tcW w:w="958" w:type="dxa"/>
            <w:shd w:val="clear" w:color="auto" w:fill="auto"/>
            <w:noWrap/>
            <w:vAlign w:val="center"/>
            <w:hideMark/>
          </w:tcPr>
          <w:p w14:paraId="0789A8C7" w14:textId="77777777" w:rsidR="009314E6" w:rsidRPr="00AD6C54" w:rsidRDefault="009314E6"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roofErr w:type="spellStart"/>
            <w:r w:rsidRPr="00AD6C54">
              <w:rPr>
                <w:rFonts w:eastAsia="Times New Roman" w:cs="Times New Roman"/>
                <w:sz w:val="20"/>
                <w:szCs w:val="20"/>
                <w:lang w:eastAsia="pt-BR"/>
              </w:rPr>
              <w:t>iGG</w:t>
            </w:r>
            <w:proofErr w:type="spellEnd"/>
            <w:r w:rsidRPr="00AD6C54">
              <w:rPr>
                <w:rFonts w:eastAsia="Times New Roman" w:cs="Times New Roman"/>
                <w:sz w:val="20"/>
                <w:szCs w:val="20"/>
                <w:lang w:eastAsia="pt-BR"/>
              </w:rPr>
              <w:t xml:space="preserve"> 2018</w:t>
            </w:r>
          </w:p>
        </w:tc>
        <w:tc>
          <w:tcPr>
            <w:tcW w:w="958" w:type="dxa"/>
            <w:shd w:val="clear" w:color="auto" w:fill="auto"/>
            <w:noWrap/>
            <w:vAlign w:val="center"/>
            <w:hideMark/>
          </w:tcPr>
          <w:p w14:paraId="6E98E27C" w14:textId="1FCC9AC5" w:rsidR="009314E6" w:rsidRPr="00AD6C54" w:rsidRDefault="009314E6"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IGC 2016</w:t>
            </w:r>
          </w:p>
        </w:tc>
        <w:tc>
          <w:tcPr>
            <w:tcW w:w="958" w:type="dxa"/>
            <w:shd w:val="clear" w:color="auto" w:fill="auto"/>
            <w:noWrap/>
            <w:vAlign w:val="center"/>
            <w:hideMark/>
          </w:tcPr>
          <w:p w14:paraId="7A35AE1F" w14:textId="292C56EE" w:rsidR="009314E6" w:rsidRPr="00AD6C54" w:rsidRDefault="009314E6"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IGC 2017</w:t>
            </w:r>
          </w:p>
        </w:tc>
      </w:tr>
      <w:tr w:rsidR="0078270E" w:rsidRPr="00AD6C54" w14:paraId="55CD5812"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noWrap/>
            <w:vAlign w:val="center"/>
            <w:hideMark/>
          </w:tcPr>
          <w:p w14:paraId="76FD31D6" w14:textId="4A829C58" w:rsidR="009314E6" w:rsidRPr="00AD6C54" w:rsidRDefault="009314E6"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Universidade Federal do Rio Grande do Norte</w:t>
            </w:r>
          </w:p>
        </w:tc>
        <w:tc>
          <w:tcPr>
            <w:tcW w:w="957" w:type="dxa"/>
            <w:shd w:val="clear" w:color="auto" w:fill="auto"/>
            <w:noWrap/>
            <w:vAlign w:val="center"/>
            <w:hideMark/>
          </w:tcPr>
          <w:p w14:paraId="6A6DD4C1" w14:textId="3D0EA9BE"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52 %</w:t>
            </w:r>
          </w:p>
        </w:tc>
        <w:tc>
          <w:tcPr>
            <w:tcW w:w="958" w:type="dxa"/>
            <w:shd w:val="clear" w:color="auto" w:fill="auto"/>
            <w:noWrap/>
            <w:vAlign w:val="center"/>
            <w:hideMark/>
          </w:tcPr>
          <w:p w14:paraId="1287CD41" w14:textId="4F5229A1"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75%</w:t>
            </w:r>
          </w:p>
        </w:tc>
        <w:tc>
          <w:tcPr>
            <w:tcW w:w="958" w:type="dxa"/>
            <w:shd w:val="clear" w:color="auto" w:fill="auto"/>
            <w:noWrap/>
            <w:vAlign w:val="center"/>
            <w:hideMark/>
          </w:tcPr>
          <w:p w14:paraId="1F993F02" w14:textId="58CC6F82"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4</w:t>
            </w:r>
          </w:p>
        </w:tc>
        <w:tc>
          <w:tcPr>
            <w:tcW w:w="958" w:type="dxa"/>
            <w:shd w:val="clear" w:color="auto" w:fill="auto"/>
            <w:vAlign w:val="center"/>
            <w:hideMark/>
          </w:tcPr>
          <w:p w14:paraId="551305AB" w14:textId="42D72850"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4</w:t>
            </w:r>
          </w:p>
        </w:tc>
      </w:tr>
      <w:tr w:rsidR="0078270E" w:rsidRPr="00AD6C54" w14:paraId="1C022862"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noWrap/>
            <w:vAlign w:val="center"/>
            <w:hideMark/>
          </w:tcPr>
          <w:p w14:paraId="41B89A68" w14:textId="54CB8C08" w:rsidR="009314E6" w:rsidRPr="00AD6C54" w:rsidRDefault="009314E6"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Universidade Federal de Lavras</w:t>
            </w:r>
          </w:p>
        </w:tc>
        <w:tc>
          <w:tcPr>
            <w:tcW w:w="957" w:type="dxa"/>
            <w:shd w:val="clear" w:color="auto" w:fill="auto"/>
            <w:noWrap/>
            <w:vAlign w:val="center"/>
            <w:hideMark/>
          </w:tcPr>
          <w:p w14:paraId="620868E3" w14:textId="13FFF90D"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72%</w:t>
            </w:r>
          </w:p>
        </w:tc>
        <w:tc>
          <w:tcPr>
            <w:tcW w:w="958" w:type="dxa"/>
            <w:shd w:val="clear" w:color="auto" w:fill="auto"/>
            <w:noWrap/>
            <w:vAlign w:val="center"/>
            <w:hideMark/>
          </w:tcPr>
          <w:p w14:paraId="77ACB5E3" w14:textId="63E124EB"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81%</w:t>
            </w:r>
          </w:p>
        </w:tc>
        <w:tc>
          <w:tcPr>
            <w:tcW w:w="958" w:type="dxa"/>
            <w:shd w:val="clear" w:color="auto" w:fill="auto"/>
            <w:noWrap/>
            <w:vAlign w:val="center"/>
            <w:hideMark/>
          </w:tcPr>
          <w:p w14:paraId="4B2D470F" w14:textId="3C4F49EA"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5</w:t>
            </w:r>
          </w:p>
        </w:tc>
        <w:tc>
          <w:tcPr>
            <w:tcW w:w="958" w:type="dxa"/>
            <w:shd w:val="clear" w:color="auto" w:fill="auto"/>
            <w:vAlign w:val="center"/>
            <w:hideMark/>
          </w:tcPr>
          <w:p w14:paraId="230BEFFB" w14:textId="533257B5"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5</w:t>
            </w:r>
          </w:p>
        </w:tc>
      </w:tr>
      <w:tr w:rsidR="0078270E" w:rsidRPr="00AD6C54" w14:paraId="23D6AB0E"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noWrap/>
            <w:vAlign w:val="center"/>
            <w:hideMark/>
          </w:tcPr>
          <w:p w14:paraId="19D3F3EC" w14:textId="2D4A9E4A" w:rsidR="009314E6" w:rsidRPr="00AD6C54" w:rsidRDefault="009314E6"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Fundação Universidade Federal de Mato Grosso do Sul</w:t>
            </w:r>
          </w:p>
        </w:tc>
        <w:tc>
          <w:tcPr>
            <w:tcW w:w="957" w:type="dxa"/>
            <w:shd w:val="clear" w:color="auto" w:fill="auto"/>
            <w:noWrap/>
            <w:vAlign w:val="center"/>
            <w:hideMark/>
          </w:tcPr>
          <w:p w14:paraId="734160AD" w14:textId="1A302CBD"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68%</w:t>
            </w:r>
          </w:p>
        </w:tc>
        <w:tc>
          <w:tcPr>
            <w:tcW w:w="958" w:type="dxa"/>
            <w:shd w:val="clear" w:color="auto" w:fill="auto"/>
            <w:noWrap/>
            <w:vAlign w:val="center"/>
            <w:hideMark/>
          </w:tcPr>
          <w:p w14:paraId="2E26B2AD" w14:textId="482F0CA1"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79%</w:t>
            </w:r>
          </w:p>
        </w:tc>
        <w:tc>
          <w:tcPr>
            <w:tcW w:w="958" w:type="dxa"/>
            <w:shd w:val="clear" w:color="auto" w:fill="auto"/>
            <w:noWrap/>
            <w:vAlign w:val="center"/>
            <w:hideMark/>
          </w:tcPr>
          <w:p w14:paraId="30C61FA1" w14:textId="713A77BA"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4</w:t>
            </w:r>
          </w:p>
        </w:tc>
        <w:tc>
          <w:tcPr>
            <w:tcW w:w="958" w:type="dxa"/>
            <w:shd w:val="clear" w:color="auto" w:fill="auto"/>
            <w:vAlign w:val="center"/>
            <w:hideMark/>
          </w:tcPr>
          <w:p w14:paraId="3BB82E58" w14:textId="4D5BA201"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4</w:t>
            </w:r>
          </w:p>
        </w:tc>
      </w:tr>
      <w:tr w:rsidR="0078270E" w:rsidRPr="00AD6C54" w14:paraId="132DA510"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noWrap/>
            <w:vAlign w:val="center"/>
            <w:hideMark/>
          </w:tcPr>
          <w:p w14:paraId="7D6CFDB1" w14:textId="5BB44C6E" w:rsidR="009314E6" w:rsidRPr="00AD6C54" w:rsidRDefault="009314E6"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Instituto Federal do Mato Grosso do Sul</w:t>
            </w:r>
          </w:p>
        </w:tc>
        <w:tc>
          <w:tcPr>
            <w:tcW w:w="957" w:type="dxa"/>
            <w:shd w:val="clear" w:color="auto" w:fill="auto"/>
            <w:noWrap/>
            <w:vAlign w:val="center"/>
            <w:hideMark/>
          </w:tcPr>
          <w:p w14:paraId="594D65B0" w14:textId="04097026"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56%</w:t>
            </w:r>
          </w:p>
        </w:tc>
        <w:tc>
          <w:tcPr>
            <w:tcW w:w="958" w:type="dxa"/>
            <w:shd w:val="clear" w:color="auto" w:fill="auto"/>
            <w:noWrap/>
            <w:vAlign w:val="center"/>
            <w:hideMark/>
          </w:tcPr>
          <w:p w14:paraId="0942EA7B" w14:textId="3DE988D4"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71%</w:t>
            </w:r>
          </w:p>
        </w:tc>
        <w:tc>
          <w:tcPr>
            <w:tcW w:w="958" w:type="dxa"/>
            <w:shd w:val="clear" w:color="auto" w:fill="auto"/>
            <w:noWrap/>
            <w:vAlign w:val="center"/>
            <w:hideMark/>
          </w:tcPr>
          <w:p w14:paraId="6648AEAF" w14:textId="62C07C9B"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4</w:t>
            </w:r>
          </w:p>
        </w:tc>
        <w:tc>
          <w:tcPr>
            <w:tcW w:w="958" w:type="dxa"/>
            <w:shd w:val="clear" w:color="auto" w:fill="auto"/>
            <w:vAlign w:val="center"/>
            <w:hideMark/>
          </w:tcPr>
          <w:p w14:paraId="0D62679D" w14:textId="4F62E5BE" w:rsidR="009314E6" w:rsidRPr="00AD6C54" w:rsidRDefault="009314E6"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cs="Times New Roman"/>
                <w:sz w:val="20"/>
                <w:szCs w:val="20"/>
              </w:rPr>
              <w:t>3</w:t>
            </w:r>
          </w:p>
        </w:tc>
      </w:tr>
    </w:tbl>
    <w:p w14:paraId="01B131CB" w14:textId="4376C165" w:rsidR="0050063E" w:rsidRPr="00AD6C54" w:rsidRDefault="0050063E" w:rsidP="00795A5D">
      <w:pPr>
        <w:spacing w:line="240" w:lineRule="auto"/>
        <w:ind w:firstLine="0"/>
        <w:jc w:val="center"/>
        <w:rPr>
          <w:rFonts w:cs="Times New Roman"/>
          <w:sz w:val="20"/>
          <w:szCs w:val="20"/>
        </w:rPr>
      </w:pPr>
      <w:r w:rsidRPr="00AD6C54">
        <w:rPr>
          <w:rFonts w:cs="Times New Roman"/>
          <w:sz w:val="20"/>
          <w:szCs w:val="20"/>
        </w:rPr>
        <w:t xml:space="preserve">Fonte: </w:t>
      </w:r>
      <w:r w:rsidR="00084349" w:rsidRPr="00AD6C54">
        <w:rPr>
          <w:rFonts w:cs="Times New Roman"/>
          <w:sz w:val="20"/>
          <w:szCs w:val="20"/>
        </w:rPr>
        <w:t>Elaborad</w:t>
      </w:r>
      <w:r w:rsidR="00E82D42">
        <w:rPr>
          <w:rFonts w:cs="Times New Roman"/>
          <w:sz w:val="20"/>
          <w:szCs w:val="20"/>
        </w:rPr>
        <w:t>a</w:t>
      </w:r>
      <w:r w:rsidR="00084349" w:rsidRPr="00AD6C54">
        <w:rPr>
          <w:rFonts w:cs="Times New Roman"/>
          <w:sz w:val="20"/>
          <w:szCs w:val="20"/>
        </w:rPr>
        <w:t xml:space="preserve"> pelo autor com base em MEC</w:t>
      </w:r>
      <w:r w:rsidR="00084349">
        <w:rPr>
          <w:rFonts w:cs="Times New Roman"/>
          <w:sz w:val="20"/>
          <w:szCs w:val="20"/>
        </w:rPr>
        <w:t xml:space="preserve"> (</w:t>
      </w:r>
      <w:r w:rsidR="00084349" w:rsidRPr="00AD6C54">
        <w:rPr>
          <w:rFonts w:cs="Times New Roman"/>
          <w:sz w:val="20"/>
          <w:szCs w:val="20"/>
        </w:rPr>
        <w:t>2016</w:t>
      </w:r>
      <w:r w:rsidR="00084349">
        <w:rPr>
          <w:rFonts w:cs="Times New Roman"/>
          <w:sz w:val="20"/>
          <w:szCs w:val="20"/>
        </w:rPr>
        <w:t>)</w:t>
      </w:r>
      <w:r w:rsidR="00084349" w:rsidRPr="00AD6C54">
        <w:rPr>
          <w:rFonts w:cs="Times New Roman"/>
          <w:sz w:val="20"/>
          <w:szCs w:val="20"/>
        </w:rPr>
        <w:t xml:space="preserve"> e MEC</w:t>
      </w:r>
      <w:r w:rsidR="00084349">
        <w:rPr>
          <w:rFonts w:cs="Times New Roman"/>
          <w:sz w:val="20"/>
          <w:szCs w:val="20"/>
        </w:rPr>
        <w:t xml:space="preserve"> (</w:t>
      </w:r>
      <w:r w:rsidR="00084349" w:rsidRPr="00AD6C54">
        <w:rPr>
          <w:rFonts w:cs="Times New Roman"/>
          <w:sz w:val="20"/>
          <w:szCs w:val="20"/>
        </w:rPr>
        <w:t>2017</w:t>
      </w:r>
      <w:r w:rsidR="00084349">
        <w:rPr>
          <w:rFonts w:cs="Times New Roman"/>
          <w:sz w:val="20"/>
          <w:szCs w:val="20"/>
        </w:rPr>
        <w:t>)</w:t>
      </w:r>
      <w:r w:rsidR="00084349" w:rsidRPr="00AD6C54">
        <w:rPr>
          <w:rFonts w:cs="Times New Roman"/>
          <w:sz w:val="20"/>
          <w:szCs w:val="20"/>
        </w:rPr>
        <w:t>, TCU</w:t>
      </w:r>
      <w:r w:rsidR="00084349">
        <w:rPr>
          <w:rFonts w:cs="Times New Roman"/>
          <w:sz w:val="20"/>
          <w:szCs w:val="20"/>
        </w:rPr>
        <w:t xml:space="preserve"> (</w:t>
      </w:r>
      <w:r w:rsidR="00084349" w:rsidRPr="00AD6C54">
        <w:rPr>
          <w:rFonts w:cs="Times New Roman"/>
          <w:sz w:val="20"/>
          <w:szCs w:val="20"/>
        </w:rPr>
        <w:t>2017</w:t>
      </w:r>
      <w:r w:rsidR="00084349">
        <w:rPr>
          <w:rFonts w:cs="Times New Roman"/>
          <w:sz w:val="20"/>
          <w:szCs w:val="20"/>
        </w:rPr>
        <w:t>)</w:t>
      </w:r>
      <w:r w:rsidR="00084349" w:rsidRPr="00AD6C54">
        <w:rPr>
          <w:rFonts w:cs="Times New Roman"/>
          <w:sz w:val="20"/>
          <w:szCs w:val="20"/>
        </w:rPr>
        <w:t xml:space="preserve"> e TCU</w:t>
      </w:r>
      <w:r w:rsidR="00084349">
        <w:rPr>
          <w:rFonts w:cs="Times New Roman"/>
          <w:sz w:val="20"/>
          <w:szCs w:val="20"/>
        </w:rPr>
        <w:t xml:space="preserve"> (</w:t>
      </w:r>
      <w:r w:rsidR="00084349" w:rsidRPr="00AD6C54">
        <w:rPr>
          <w:rFonts w:cs="Times New Roman"/>
          <w:sz w:val="20"/>
          <w:szCs w:val="20"/>
        </w:rPr>
        <w:t>2018</w:t>
      </w:r>
      <w:r w:rsidR="00084349">
        <w:rPr>
          <w:rFonts w:cs="Times New Roman"/>
          <w:sz w:val="20"/>
          <w:szCs w:val="20"/>
        </w:rPr>
        <w:t>)</w:t>
      </w:r>
    </w:p>
    <w:p w14:paraId="6020DE4A" w14:textId="6B18BD1A" w:rsidR="00DB37BC" w:rsidRDefault="00DB37BC" w:rsidP="00B6530A">
      <w:pPr>
        <w:tabs>
          <w:tab w:val="left" w:pos="6173"/>
        </w:tabs>
        <w:rPr>
          <w:rFonts w:cs="Times New Roman"/>
          <w:szCs w:val="24"/>
        </w:rPr>
      </w:pPr>
    </w:p>
    <w:p w14:paraId="2F1B7B78" w14:textId="5C9D48A9" w:rsidR="00084349" w:rsidRDefault="00084349" w:rsidP="00B6530A">
      <w:pPr>
        <w:tabs>
          <w:tab w:val="left" w:pos="6173"/>
        </w:tabs>
        <w:rPr>
          <w:rFonts w:cs="Times New Roman"/>
          <w:szCs w:val="24"/>
        </w:rPr>
      </w:pPr>
      <w:r>
        <w:rPr>
          <w:rFonts w:cs="Times New Roman"/>
          <w:szCs w:val="24"/>
        </w:rPr>
        <w:t xml:space="preserve">A Tabela 4 faz uma relação cruzada entre o </w:t>
      </w:r>
      <w:proofErr w:type="spellStart"/>
      <w:r>
        <w:rPr>
          <w:rFonts w:cs="Times New Roman"/>
          <w:szCs w:val="24"/>
        </w:rPr>
        <w:t>iGG</w:t>
      </w:r>
      <w:proofErr w:type="spellEnd"/>
      <w:r>
        <w:rPr>
          <w:rFonts w:cs="Times New Roman"/>
          <w:szCs w:val="24"/>
        </w:rPr>
        <w:t xml:space="preserve"> e o IGC de 2017 e 2018</w:t>
      </w:r>
      <w:r w:rsidR="00470AF4">
        <w:rPr>
          <w:rFonts w:cs="Times New Roman"/>
          <w:szCs w:val="24"/>
        </w:rPr>
        <w:t>.</w:t>
      </w:r>
    </w:p>
    <w:p w14:paraId="103B1713" w14:textId="77777777" w:rsidR="00084349" w:rsidRPr="00AD6C54" w:rsidRDefault="00084349" w:rsidP="00B6530A">
      <w:pPr>
        <w:tabs>
          <w:tab w:val="left" w:pos="6173"/>
        </w:tabs>
        <w:rPr>
          <w:rFonts w:cs="Times New Roman"/>
          <w:szCs w:val="24"/>
        </w:rPr>
      </w:pPr>
    </w:p>
    <w:p w14:paraId="579F0BAB" w14:textId="5ED64D56" w:rsidR="00DB37BC" w:rsidRPr="00AD6C54" w:rsidRDefault="00DB37BC" w:rsidP="00795A5D">
      <w:pPr>
        <w:spacing w:line="240" w:lineRule="auto"/>
        <w:ind w:firstLine="0"/>
        <w:jc w:val="center"/>
        <w:rPr>
          <w:rFonts w:cs="Times New Roman"/>
          <w:sz w:val="20"/>
          <w:szCs w:val="20"/>
        </w:rPr>
      </w:pPr>
      <w:r w:rsidRPr="00AD6C54">
        <w:rPr>
          <w:rFonts w:cs="Times New Roman"/>
          <w:b/>
          <w:bCs/>
          <w:sz w:val="20"/>
          <w:szCs w:val="20"/>
        </w:rPr>
        <w:t xml:space="preserve">Tabela </w:t>
      </w:r>
      <w:r w:rsidR="0050063E" w:rsidRPr="00AD6C54">
        <w:rPr>
          <w:rFonts w:cs="Times New Roman"/>
          <w:b/>
          <w:bCs/>
          <w:sz w:val="20"/>
          <w:szCs w:val="20"/>
        </w:rPr>
        <w:t>4</w:t>
      </w:r>
      <w:r w:rsidRPr="00AD6C54">
        <w:rPr>
          <w:rFonts w:cs="Times New Roman"/>
          <w:sz w:val="20"/>
          <w:szCs w:val="20"/>
        </w:rPr>
        <w:t xml:space="preserve"> – </w:t>
      </w:r>
      <w:r w:rsidR="0050063E" w:rsidRPr="00AD6C54">
        <w:rPr>
          <w:rFonts w:cs="Times New Roman"/>
          <w:sz w:val="20"/>
          <w:szCs w:val="20"/>
        </w:rPr>
        <w:t xml:space="preserve">Medidas de tendência central e dispersão do </w:t>
      </w:r>
      <w:proofErr w:type="spellStart"/>
      <w:r w:rsidR="0050063E" w:rsidRPr="00AD6C54">
        <w:rPr>
          <w:rFonts w:cs="Times New Roman"/>
          <w:sz w:val="20"/>
          <w:szCs w:val="20"/>
        </w:rPr>
        <w:t>iGG</w:t>
      </w:r>
      <w:proofErr w:type="spellEnd"/>
      <w:r w:rsidR="0050063E" w:rsidRPr="00AD6C54">
        <w:rPr>
          <w:rFonts w:cs="Times New Roman"/>
          <w:sz w:val="20"/>
          <w:szCs w:val="20"/>
        </w:rPr>
        <w:t>, com separação das instituições conforme IGC</w:t>
      </w:r>
    </w:p>
    <w:tbl>
      <w:tblPr>
        <w:tblStyle w:val="TabelaSimples2"/>
        <w:tblW w:w="9071" w:type="dxa"/>
        <w:tblLook w:val="06A0" w:firstRow="1" w:lastRow="0" w:firstColumn="1" w:lastColumn="0" w:noHBand="1" w:noVBand="1"/>
      </w:tblPr>
      <w:tblGrid>
        <w:gridCol w:w="1583"/>
        <w:gridCol w:w="717"/>
        <w:gridCol w:w="144"/>
        <w:gridCol w:w="962"/>
        <w:gridCol w:w="88"/>
        <w:gridCol w:w="1818"/>
        <w:gridCol w:w="862"/>
        <w:gridCol w:w="1056"/>
        <w:gridCol w:w="1841"/>
      </w:tblGrid>
      <w:tr w:rsidR="0078270E" w:rsidRPr="00AD6C54" w14:paraId="78568F9C" w14:textId="77777777" w:rsidTr="00B12A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3" w:type="dxa"/>
            <w:shd w:val="clear" w:color="auto" w:fill="auto"/>
            <w:noWrap/>
            <w:vAlign w:val="center"/>
            <w:hideMark/>
          </w:tcPr>
          <w:p w14:paraId="13A4DFD5" w14:textId="77777777" w:rsidR="00241CAA" w:rsidRPr="00AD6C54" w:rsidRDefault="00241CAA" w:rsidP="00795A5D">
            <w:pPr>
              <w:spacing w:line="240" w:lineRule="auto"/>
              <w:ind w:firstLine="0"/>
              <w:jc w:val="center"/>
              <w:rPr>
                <w:rFonts w:eastAsia="Times New Roman" w:cs="Times New Roman"/>
                <w:sz w:val="20"/>
                <w:szCs w:val="20"/>
                <w:lang w:eastAsia="pt-BR"/>
              </w:rPr>
            </w:pPr>
          </w:p>
        </w:tc>
        <w:tc>
          <w:tcPr>
            <w:tcW w:w="3729" w:type="dxa"/>
            <w:gridSpan w:val="5"/>
            <w:shd w:val="clear" w:color="auto" w:fill="auto"/>
            <w:noWrap/>
            <w:vAlign w:val="center"/>
            <w:hideMark/>
          </w:tcPr>
          <w:p w14:paraId="372BB064" w14:textId="2CC0D2AC" w:rsidR="00241CAA" w:rsidRPr="00AD6C54" w:rsidRDefault="00241CAA"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roofErr w:type="spellStart"/>
            <w:r w:rsidRPr="00AD6C54">
              <w:rPr>
                <w:rFonts w:eastAsia="Times New Roman" w:cs="Times New Roman"/>
                <w:sz w:val="20"/>
                <w:szCs w:val="20"/>
                <w:lang w:eastAsia="pt-BR"/>
              </w:rPr>
              <w:t>iGG</w:t>
            </w:r>
            <w:proofErr w:type="spellEnd"/>
            <w:r w:rsidRPr="00AD6C54">
              <w:rPr>
                <w:rFonts w:eastAsia="Times New Roman" w:cs="Times New Roman"/>
                <w:sz w:val="20"/>
                <w:szCs w:val="20"/>
                <w:lang w:eastAsia="pt-BR"/>
              </w:rPr>
              <w:t xml:space="preserve"> 2017 (TCU)</w:t>
            </w:r>
          </w:p>
        </w:tc>
        <w:tc>
          <w:tcPr>
            <w:tcW w:w="3759" w:type="dxa"/>
            <w:gridSpan w:val="3"/>
            <w:shd w:val="clear" w:color="auto" w:fill="auto"/>
            <w:noWrap/>
            <w:vAlign w:val="center"/>
            <w:hideMark/>
          </w:tcPr>
          <w:p w14:paraId="221AC725" w14:textId="60B874E8" w:rsidR="00241CAA" w:rsidRPr="00AD6C54" w:rsidRDefault="00241CAA"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roofErr w:type="spellStart"/>
            <w:r w:rsidRPr="00AD6C54">
              <w:rPr>
                <w:rFonts w:eastAsia="Times New Roman" w:cs="Times New Roman"/>
                <w:sz w:val="20"/>
                <w:szCs w:val="20"/>
                <w:lang w:eastAsia="pt-BR"/>
              </w:rPr>
              <w:t>iGG</w:t>
            </w:r>
            <w:proofErr w:type="spellEnd"/>
            <w:r w:rsidRPr="00AD6C54">
              <w:rPr>
                <w:rFonts w:eastAsia="Times New Roman" w:cs="Times New Roman"/>
                <w:sz w:val="20"/>
                <w:szCs w:val="20"/>
                <w:lang w:eastAsia="pt-BR"/>
              </w:rPr>
              <w:t xml:space="preserve"> 2018 (TCU)</w:t>
            </w:r>
          </w:p>
        </w:tc>
      </w:tr>
      <w:tr w:rsidR="0078270E" w:rsidRPr="00AD6C54" w14:paraId="4AD4811A"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1583" w:type="dxa"/>
            <w:shd w:val="clear" w:color="auto" w:fill="auto"/>
            <w:noWrap/>
            <w:vAlign w:val="center"/>
            <w:hideMark/>
          </w:tcPr>
          <w:p w14:paraId="2BD04437" w14:textId="6A729035" w:rsidR="00241CAA" w:rsidRPr="00AD6C54" w:rsidRDefault="0050063E"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IGC 2017</w:t>
            </w:r>
          </w:p>
        </w:tc>
        <w:tc>
          <w:tcPr>
            <w:tcW w:w="861" w:type="dxa"/>
            <w:gridSpan w:val="2"/>
            <w:shd w:val="clear" w:color="auto" w:fill="auto"/>
            <w:noWrap/>
            <w:vAlign w:val="center"/>
            <w:hideMark/>
          </w:tcPr>
          <w:p w14:paraId="6FD5C539"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Média</w:t>
            </w:r>
          </w:p>
        </w:tc>
        <w:tc>
          <w:tcPr>
            <w:tcW w:w="1050" w:type="dxa"/>
            <w:gridSpan w:val="2"/>
            <w:shd w:val="clear" w:color="auto" w:fill="auto"/>
            <w:noWrap/>
            <w:vAlign w:val="center"/>
            <w:hideMark/>
          </w:tcPr>
          <w:p w14:paraId="76FC1457"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Mediana</w:t>
            </w:r>
          </w:p>
        </w:tc>
        <w:tc>
          <w:tcPr>
            <w:tcW w:w="1818" w:type="dxa"/>
            <w:shd w:val="clear" w:color="auto" w:fill="auto"/>
            <w:noWrap/>
            <w:vAlign w:val="center"/>
            <w:hideMark/>
          </w:tcPr>
          <w:p w14:paraId="3FA53887"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Coeficiente de Variação</w:t>
            </w:r>
          </w:p>
        </w:tc>
        <w:tc>
          <w:tcPr>
            <w:tcW w:w="862" w:type="dxa"/>
            <w:shd w:val="clear" w:color="auto" w:fill="auto"/>
            <w:noWrap/>
            <w:vAlign w:val="center"/>
            <w:hideMark/>
          </w:tcPr>
          <w:p w14:paraId="407674AD"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Média</w:t>
            </w:r>
          </w:p>
        </w:tc>
        <w:tc>
          <w:tcPr>
            <w:tcW w:w="1056" w:type="dxa"/>
            <w:shd w:val="clear" w:color="auto" w:fill="auto"/>
            <w:noWrap/>
            <w:vAlign w:val="center"/>
            <w:hideMark/>
          </w:tcPr>
          <w:p w14:paraId="1B66DE53"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Mediana</w:t>
            </w:r>
          </w:p>
        </w:tc>
        <w:tc>
          <w:tcPr>
            <w:tcW w:w="1841" w:type="dxa"/>
            <w:shd w:val="clear" w:color="auto" w:fill="auto"/>
            <w:noWrap/>
            <w:vAlign w:val="center"/>
            <w:hideMark/>
          </w:tcPr>
          <w:p w14:paraId="546BE8F2"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Coeficiente de Variação</w:t>
            </w:r>
          </w:p>
        </w:tc>
      </w:tr>
      <w:tr w:rsidR="0078270E" w:rsidRPr="00AD6C54" w14:paraId="2F065604"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1583" w:type="dxa"/>
            <w:shd w:val="clear" w:color="auto" w:fill="auto"/>
            <w:noWrap/>
            <w:vAlign w:val="center"/>
            <w:hideMark/>
          </w:tcPr>
          <w:p w14:paraId="55699F95" w14:textId="77777777" w:rsidR="00241CAA" w:rsidRPr="00AD6C54" w:rsidRDefault="00241CAA"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3</w:t>
            </w:r>
          </w:p>
        </w:tc>
        <w:tc>
          <w:tcPr>
            <w:tcW w:w="717" w:type="dxa"/>
            <w:shd w:val="clear" w:color="auto" w:fill="auto"/>
            <w:noWrap/>
            <w:vAlign w:val="center"/>
            <w:hideMark/>
          </w:tcPr>
          <w:p w14:paraId="501BE880"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0,30</w:t>
            </w:r>
          </w:p>
        </w:tc>
        <w:tc>
          <w:tcPr>
            <w:tcW w:w="1106" w:type="dxa"/>
            <w:gridSpan w:val="2"/>
            <w:shd w:val="clear" w:color="auto" w:fill="auto"/>
            <w:noWrap/>
            <w:vAlign w:val="center"/>
            <w:hideMark/>
          </w:tcPr>
          <w:p w14:paraId="59B35A61"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0,29</w:t>
            </w:r>
          </w:p>
        </w:tc>
        <w:tc>
          <w:tcPr>
            <w:tcW w:w="1906" w:type="dxa"/>
            <w:gridSpan w:val="2"/>
            <w:shd w:val="clear" w:color="auto" w:fill="auto"/>
            <w:noWrap/>
            <w:vAlign w:val="center"/>
            <w:hideMark/>
          </w:tcPr>
          <w:p w14:paraId="509F19F2"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39%</w:t>
            </w:r>
          </w:p>
        </w:tc>
        <w:tc>
          <w:tcPr>
            <w:tcW w:w="862" w:type="dxa"/>
            <w:shd w:val="clear" w:color="auto" w:fill="auto"/>
            <w:noWrap/>
            <w:vAlign w:val="center"/>
            <w:hideMark/>
          </w:tcPr>
          <w:p w14:paraId="02B34989"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0,33</w:t>
            </w:r>
          </w:p>
        </w:tc>
        <w:tc>
          <w:tcPr>
            <w:tcW w:w="1056" w:type="dxa"/>
            <w:shd w:val="clear" w:color="auto" w:fill="auto"/>
            <w:noWrap/>
            <w:vAlign w:val="center"/>
            <w:hideMark/>
          </w:tcPr>
          <w:p w14:paraId="3318C079"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0,32</w:t>
            </w:r>
          </w:p>
        </w:tc>
        <w:tc>
          <w:tcPr>
            <w:tcW w:w="1841" w:type="dxa"/>
            <w:shd w:val="clear" w:color="auto" w:fill="auto"/>
            <w:noWrap/>
            <w:vAlign w:val="center"/>
            <w:hideMark/>
          </w:tcPr>
          <w:p w14:paraId="579CA22C"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37%</w:t>
            </w:r>
          </w:p>
        </w:tc>
      </w:tr>
      <w:tr w:rsidR="0078270E" w:rsidRPr="00AD6C54" w14:paraId="2BAF90A1"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1583" w:type="dxa"/>
            <w:shd w:val="clear" w:color="auto" w:fill="auto"/>
            <w:noWrap/>
            <w:vAlign w:val="center"/>
            <w:hideMark/>
          </w:tcPr>
          <w:p w14:paraId="211E9DBD" w14:textId="77777777" w:rsidR="00241CAA" w:rsidRPr="00AD6C54" w:rsidRDefault="00241CAA"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w:t>
            </w:r>
          </w:p>
        </w:tc>
        <w:tc>
          <w:tcPr>
            <w:tcW w:w="717" w:type="dxa"/>
            <w:shd w:val="clear" w:color="auto" w:fill="auto"/>
            <w:noWrap/>
            <w:vAlign w:val="center"/>
            <w:hideMark/>
          </w:tcPr>
          <w:p w14:paraId="2E961DAC"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0,34</w:t>
            </w:r>
          </w:p>
        </w:tc>
        <w:tc>
          <w:tcPr>
            <w:tcW w:w="1106" w:type="dxa"/>
            <w:gridSpan w:val="2"/>
            <w:shd w:val="clear" w:color="auto" w:fill="auto"/>
            <w:noWrap/>
            <w:vAlign w:val="center"/>
            <w:hideMark/>
          </w:tcPr>
          <w:p w14:paraId="4FFD2A4C"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0,33</w:t>
            </w:r>
          </w:p>
        </w:tc>
        <w:tc>
          <w:tcPr>
            <w:tcW w:w="1906" w:type="dxa"/>
            <w:gridSpan w:val="2"/>
            <w:shd w:val="clear" w:color="auto" w:fill="auto"/>
            <w:noWrap/>
            <w:vAlign w:val="center"/>
            <w:hideMark/>
          </w:tcPr>
          <w:p w14:paraId="3E4C8525"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41%</w:t>
            </w:r>
          </w:p>
        </w:tc>
        <w:tc>
          <w:tcPr>
            <w:tcW w:w="862" w:type="dxa"/>
            <w:shd w:val="clear" w:color="auto" w:fill="auto"/>
            <w:noWrap/>
            <w:vAlign w:val="center"/>
            <w:hideMark/>
          </w:tcPr>
          <w:p w14:paraId="189CA6A0"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0,38</w:t>
            </w:r>
          </w:p>
        </w:tc>
        <w:tc>
          <w:tcPr>
            <w:tcW w:w="1056" w:type="dxa"/>
            <w:shd w:val="clear" w:color="auto" w:fill="auto"/>
            <w:noWrap/>
            <w:vAlign w:val="center"/>
            <w:hideMark/>
          </w:tcPr>
          <w:p w14:paraId="4CB0F4DB"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0,36</w:t>
            </w:r>
          </w:p>
        </w:tc>
        <w:tc>
          <w:tcPr>
            <w:tcW w:w="1841" w:type="dxa"/>
            <w:shd w:val="clear" w:color="auto" w:fill="auto"/>
            <w:noWrap/>
            <w:vAlign w:val="center"/>
            <w:hideMark/>
          </w:tcPr>
          <w:p w14:paraId="3BAE6042"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39%</w:t>
            </w:r>
          </w:p>
        </w:tc>
      </w:tr>
      <w:tr w:rsidR="0078270E" w:rsidRPr="00AD6C54" w14:paraId="04BCB0A8"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1583" w:type="dxa"/>
            <w:shd w:val="clear" w:color="auto" w:fill="auto"/>
            <w:noWrap/>
            <w:vAlign w:val="center"/>
            <w:hideMark/>
          </w:tcPr>
          <w:p w14:paraId="094C435D" w14:textId="77777777" w:rsidR="00241CAA" w:rsidRPr="00AD6C54" w:rsidRDefault="00241CAA"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5</w:t>
            </w:r>
          </w:p>
        </w:tc>
        <w:tc>
          <w:tcPr>
            <w:tcW w:w="717" w:type="dxa"/>
            <w:shd w:val="clear" w:color="auto" w:fill="auto"/>
            <w:noWrap/>
            <w:vAlign w:val="center"/>
            <w:hideMark/>
          </w:tcPr>
          <w:p w14:paraId="4DC0F637"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0,33</w:t>
            </w:r>
          </w:p>
        </w:tc>
        <w:tc>
          <w:tcPr>
            <w:tcW w:w="1106" w:type="dxa"/>
            <w:gridSpan w:val="2"/>
            <w:shd w:val="clear" w:color="auto" w:fill="auto"/>
            <w:noWrap/>
            <w:vAlign w:val="center"/>
            <w:hideMark/>
          </w:tcPr>
          <w:p w14:paraId="7EB274FE"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0,31</w:t>
            </w:r>
          </w:p>
        </w:tc>
        <w:tc>
          <w:tcPr>
            <w:tcW w:w="1906" w:type="dxa"/>
            <w:gridSpan w:val="2"/>
            <w:shd w:val="clear" w:color="auto" w:fill="auto"/>
            <w:noWrap/>
            <w:vAlign w:val="center"/>
            <w:hideMark/>
          </w:tcPr>
          <w:p w14:paraId="1F3F2C63"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45%</w:t>
            </w:r>
          </w:p>
        </w:tc>
        <w:tc>
          <w:tcPr>
            <w:tcW w:w="862" w:type="dxa"/>
            <w:shd w:val="clear" w:color="auto" w:fill="auto"/>
            <w:noWrap/>
            <w:vAlign w:val="center"/>
            <w:hideMark/>
          </w:tcPr>
          <w:p w14:paraId="55968C09"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0,38</w:t>
            </w:r>
          </w:p>
        </w:tc>
        <w:tc>
          <w:tcPr>
            <w:tcW w:w="1056" w:type="dxa"/>
            <w:shd w:val="clear" w:color="auto" w:fill="auto"/>
            <w:noWrap/>
            <w:vAlign w:val="center"/>
            <w:hideMark/>
          </w:tcPr>
          <w:p w14:paraId="0B870658"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0,34</w:t>
            </w:r>
          </w:p>
        </w:tc>
        <w:tc>
          <w:tcPr>
            <w:tcW w:w="1841" w:type="dxa"/>
            <w:shd w:val="clear" w:color="auto" w:fill="auto"/>
            <w:noWrap/>
            <w:vAlign w:val="center"/>
            <w:hideMark/>
          </w:tcPr>
          <w:p w14:paraId="560B25F9"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48%</w:t>
            </w:r>
          </w:p>
        </w:tc>
      </w:tr>
      <w:tr w:rsidR="0078270E" w:rsidRPr="00AD6C54" w14:paraId="1AF9600A"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1583" w:type="dxa"/>
            <w:shd w:val="clear" w:color="auto" w:fill="auto"/>
            <w:noWrap/>
            <w:vAlign w:val="center"/>
            <w:hideMark/>
          </w:tcPr>
          <w:p w14:paraId="55D1BF6C" w14:textId="77777777" w:rsidR="00241CAA" w:rsidRPr="00AD6C54" w:rsidRDefault="00241CAA"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Total</w:t>
            </w:r>
          </w:p>
        </w:tc>
        <w:tc>
          <w:tcPr>
            <w:tcW w:w="717" w:type="dxa"/>
            <w:shd w:val="clear" w:color="auto" w:fill="auto"/>
            <w:noWrap/>
            <w:vAlign w:val="center"/>
            <w:hideMark/>
          </w:tcPr>
          <w:p w14:paraId="6AA97A62"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0,32</w:t>
            </w:r>
          </w:p>
        </w:tc>
        <w:tc>
          <w:tcPr>
            <w:tcW w:w="1106" w:type="dxa"/>
            <w:gridSpan w:val="2"/>
            <w:shd w:val="clear" w:color="auto" w:fill="auto"/>
            <w:noWrap/>
            <w:vAlign w:val="center"/>
            <w:hideMark/>
          </w:tcPr>
          <w:p w14:paraId="02C8EDE1"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0,31</w:t>
            </w:r>
          </w:p>
        </w:tc>
        <w:tc>
          <w:tcPr>
            <w:tcW w:w="1906" w:type="dxa"/>
            <w:gridSpan w:val="2"/>
            <w:shd w:val="clear" w:color="auto" w:fill="auto"/>
            <w:noWrap/>
            <w:vAlign w:val="center"/>
            <w:hideMark/>
          </w:tcPr>
          <w:p w14:paraId="715A6FE8"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41%</w:t>
            </w:r>
          </w:p>
        </w:tc>
        <w:tc>
          <w:tcPr>
            <w:tcW w:w="862" w:type="dxa"/>
            <w:shd w:val="clear" w:color="auto" w:fill="auto"/>
            <w:noWrap/>
            <w:vAlign w:val="center"/>
            <w:hideMark/>
          </w:tcPr>
          <w:p w14:paraId="358406B4"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0,36</w:t>
            </w:r>
          </w:p>
        </w:tc>
        <w:tc>
          <w:tcPr>
            <w:tcW w:w="1056" w:type="dxa"/>
            <w:shd w:val="clear" w:color="auto" w:fill="auto"/>
            <w:noWrap/>
            <w:vAlign w:val="center"/>
            <w:hideMark/>
          </w:tcPr>
          <w:p w14:paraId="2501F5B1"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0,34</w:t>
            </w:r>
          </w:p>
        </w:tc>
        <w:tc>
          <w:tcPr>
            <w:tcW w:w="1841" w:type="dxa"/>
            <w:shd w:val="clear" w:color="auto" w:fill="auto"/>
            <w:noWrap/>
            <w:vAlign w:val="center"/>
            <w:hideMark/>
          </w:tcPr>
          <w:p w14:paraId="573B5A05" w14:textId="77777777" w:rsidR="00241CAA" w:rsidRPr="00AD6C54" w:rsidRDefault="00241CAA"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40%</w:t>
            </w:r>
          </w:p>
        </w:tc>
      </w:tr>
    </w:tbl>
    <w:p w14:paraId="65ACF423" w14:textId="40EF76C0" w:rsidR="0050063E" w:rsidRPr="00AD6C54" w:rsidRDefault="0050063E" w:rsidP="00795A5D">
      <w:pPr>
        <w:spacing w:line="240" w:lineRule="auto"/>
        <w:ind w:firstLine="0"/>
        <w:jc w:val="center"/>
        <w:rPr>
          <w:rFonts w:cs="Times New Roman"/>
          <w:sz w:val="20"/>
          <w:szCs w:val="20"/>
        </w:rPr>
      </w:pPr>
      <w:r w:rsidRPr="00AD6C54">
        <w:rPr>
          <w:rFonts w:cs="Times New Roman"/>
          <w:sz w:val="20"/>
          <w:szCs w:val="20"/>
        </w:rPr>
        <w:t>Fonte: Elaborad</w:t>
      </w:r>
      <w:r w:rsidR="00E82D42">
        <w:rPr>
          <w:rFonts w:cs="Times New Roman"/>
          <w:sz w:val="20"/>
          <w:szCs w:val="20"/>
        </w:rPr>
        <w:t>a</w:t>
      </w:r>
      <w:r w:rsidRPr="00AD6C54">
        <w:rPr>
          <w:rFonts w:cs="Times New Roman"/>
          <w:sz w:val="20"/>
          <w:szCs w:val="20"/>
        </w:rPr>
        <w:t xml:space="preserve"> pelo autor com base em MEC</w:t>
      </w:r>
      <w:r w:rsidR="00084349">
        <w:rPr>
          <w:rFonts w:cs="Times New Roman"/>
          <w:sz w:val="20"/>
          <w:szCs w:val="20"/>
        </w:rPr>
        <w:t xml:space="preserve"> (</w:t>
      </w:r>
      <w:r w:rsidRPr="00AD6C54">
        <w:rPr>
          <w:rFonts w:cs="Times New Roman"/>
          <w:sz w:val="20"/>
          <w:szCs w:val="20"/>
        </w:rPr>
        <w:t>2016</w:t>
      </w:r>
      <w:r w:rsidR="00084349">
        <w:rPr>
          <w:rFonts w:cs="Times New Roman"/>
          <w:sz w:val="20"/>
          <w:szCs w:val="20"/>
        </w:rPr>
        <w:t>)</w:t>
      </w:r>
      <w:r w:rsidRPr="00AD6C54">
        <w:rPr>
          <w:rFonts w:cs="Times New Roman"/>
          <w:sz w:val="20"/>
          <w:szCs w:val="20"/>
        </w:rPr>
        <w:t xml:space="preserve"> e MEC</w:t>
      </w:r>
      <w:r w:rsidR="00084349">
        <w:rPr>
          <w:rFonts w:cs="Times New Roman"/>
          <w:sz w:val="20"/>
          <w:szCs w:val="20"/>
        </w:rPr>
        <w:t xml:space="preserve"> (</w:t>
      </w:r>
      <w:r w:rsidRPr="00AD6C54">
        <w:rPr>
          <w:rFonts w:cs="Times New Roman"/>
          <w:sz w:val="20"/>
          <w:szCs w:val="20"/>
        </w:rPr>
        <w:t>2017</w:t>
      </w:r>
      <w:r w:rsidR="00084349">
        <w:rPr>
          <w:rFonts w:cs="Times New Roman"/>
          <w:sz w:val="20"/>
          <w:szCs w:val="20"/>
        </w:rPr>
        <w:t>)</w:t>
      </w:r>
      <w:r w:rsidRPr="00AD6C54">
        <w:rPr>
          <w:rFonts w:cs="Times New Roman"/>
          <w:sz w:val="20"/>
          <w:szCs w:val="20"/>
        </w:rPr>
        <w:t>, TCU</w:t>
      </w:r>
      <w:r w:rsidR="00084349">
        <w:rPr>
          <w:rFonts w:cs="Times New Roman"/>
          <w:sz w:val="20"/>
          <w:szCs w:val="20"/>
        </w:rPr>
        <w:t xml:space="preserve"> (</w:t>
      </w:r>
      <w:r w:rsidRPr="00AD6C54">
        <w:rPr>
          <w:rFonts w:cs="Times New Roman"/>
          <w:sz w:val="20"/>
          <w:szCs w:val="20"/>
        </w:rPr>
        <w:t>2017</w:t>
      </w:r>
      <w:r w:rsidR="00084349">
        <w:rPr>
          <w:rFonts w:cs="Times New Roman"/>
          <w:sz w:val="20"/>
          <w:szCs w:val="20"/>
        </w:rPr>
        <w:t>)</w:t>
      </w:r>
      <w:r w:rsidRPr="00AD6C54">
        <w:rPr>
          <w:rFonts w:cs="Times New Roman"/>
          <w:sz w:val="20"/>
          <w:szCs w:val="20"/>
        </w:rPr>
        <w:t xml:space="preserve"> e TCU</w:t>
      </w:r>
      <w:r w:rsidR="00084349">
        <w:rPr>
          <w:rFonts w:cs="Times New Roman"/>
          <w:sz w:val="20"/>
          <w:szCs w:val="20"/>
        </w:rPr>
        <w:t xml:space="preserve"> (</w:t>
      </w:r>
      <w:r w:rsidRPr="00AD6C54">
        <w:rPr>
          <w:rFonts w:cs="Times New Roman"/>
          <w:sz w:val="20"/>
          <w:szCs w:val="20"/>
        </w:rPr>
        <w:t>2018</w:t>
      </w:r>
      <w:r w:rsidR="00084349">
        <w:rPr>
          <w:rFonts w:cs="Times New Roman"/>
          <w:sz w:val="20"/>
          <w:szCs w:val="20"/>
        </w:rPr>
        <w:t>)</w:t>
      </w:r>
    </w:p>
    <w:p w14:paraId="47CE49AB" w14:textId="77777777" w:rsidR="00F720BF" w:rsidRPr="00AD6C54" w:rsidRDefault="00F720BF" w:rsidP="00382A53">
      <w:pPr>
        <w:rPr>
          <w:rFonts w:cs="Times New Roman"/>
          <w:szCs w:val="24"/>
        </w:rPr>
      </w:pPr>
    </w:p>
    <w:p w14:paraId="43C10E67" w14:textId="60526387" w:rsidR="001E3260" w:rsidRPr="00AD6C54" w:rsidRDefault="00B6530A" w:rsidP="00382A53">
      <w:pPr>
        <w:rPr>
          <w:rFonts w:cs="Times New Roman"/>
          <w:szCs w:val="24"/>
        </w:rPr>
      </w:pPr>
      <w:r w:rsidRPr="00AD6C54">
        <w:rPr>
          <w:rFonts w:cs="Times New Roman"/>
          <w:szCs w:val="24"/>
        </w:rPr>
        <w:t xml:space="preserve">Uma vez realizada análise exploratória dos dados, com principais resultados acima expostos, chegou-se às seguintes </w:t>
      </w:r>
      <w:r w:rsidR="009314E6" w:rsidRPr="00AD6C54">
        <w:rPr>
          <w:rFonts w:cs="Times New Roman"/>
          <w:szCs w:val="24"/>
        </w:rPr>
        <w:t>observações</w:t>
      </w:r>
      <w:r w:rsidRPr="00AD6C54">
        <w:rPr>
          <w:rFonts w:cs="Times New Roman"/>
          <w:szCs w:val="24"/>
        </w:rPr>
        <w:t>:</w:t>
      </w:r>
    </w:p>
    <w:p w14:paraId="7213668C" w14:textId="474F9B56" w:rsidR="00B6530A" w:rsidRPr="00AD6C54" w:rsidRDefault="00F10387" w:rsidP="00AB3E68">
      <w:pPr>
        <w:rPr>
          <w:rFonts w:cs="Times New Roman"/>
          <w:szCs w:val="24"/>
        </w:rPr>
      </w:pPr>
      <w:r>
        <w:rPr>
          <w:rFonts w:cs="Times New Roman"/>
          <w:szCs w:val="24"/>
        </w:rPr>
        <w:t>Os resultados tanto do IGC quanto do IGG melhoraram entre os períodos analisados</w:t>
      </w:r>
      <w:r w:rsidR="004654FF">
        <w:rPr>
          <w:rFonts w:cs="Times New Roman"/>
          <w:szCs w:val="24"/>
        </w:rPr>
        <w:t>, conforme observados nas tabelas 1 e 2</w:t>
      </w:r>
      <w:r>
        <w:rPr>
          <w:rFonts w:cs="Times New Roman"/>
          <w:szCs w:val="24"/>
        </w:rPr>
        <w:t xml:space="preserve">. </w:t>
      </w:r>
      <w:r w:rsidR="00175D9D">
        <w:rPr>
          <w:rFonts w:cs="Times New Roman"/>
          <w:szCs w:val="24"/>
        </w:rPr>
        <w:t>O</w:t>
      </w:r>
      <w:r w:rsidR="00B6530A" w:rsidRPr="00975B27">
        <w:rPr>
          <w:rFonts w:cs="Times New Roman"/>
          <w:szCs w:val="24"/>
        </w:rPr>
        <w:t xml:space="preserve"> ano de 2017 apresentou 2 instituições com resultado máximo a mais que no ano anterior</w:t>
      </w:r>
      <w:r w:rsidR="00175D9D">
        <w:rPr>
          <w:rFonts w:cs="Times New Roman"/>
          <w:szCs w:val="24"/>
        </w:rPr>
        <w:t xml:space="preserve"> no IGC</w:t>
      </w:r>
      <w:r w:rsidR="00B6530A" w:rsidRPr="00975B27">
        <w:rPr>
          <w:rFonts w:cs="Times New Roman"/>
          <w:szCs w:val="24"/>
        </w:rPr>
        <w:t>. Contudo, 1 instituição teve queda e foi qualificada como nota 3</w:t>
      </w:r>
      <w:r w:rsidR="00175D9D">
        <w:rPr>
          <w:rFonts w:cs="Times New Roman"/>
          <w:szCs w:val="24"/>
        </w:rPr>
        <w:t>.</w:t>
      </w:r>
      <w:r w:rsidR="00AB3E68">
        <w:rPr>
          <w:rFonts w:cs="Times New Roman"/>
          <w:szCs w:val="24"/>
        </w:rPr>
        <w:t xml:space="preserve"> Já no IGG, e</w:t>
      </w:r>
      <w:r w:rsidR="009314E6" w:rsidRPr="00AD6C54">
        <w:rPr>
          <w:rFonts w:cs="Times New Roman"/>
          <w:szCs w:val="24"/>
        </w:rPr>
        <w:t xml:space="preserve">m 2018 </w:t>
      </w:r>
      <w:r w:rsidR="00AB3E68">
        <w:rPr>
          <w:rFonts w:cs="Times New Roman"/>
          <w:szCs w:val="24"/>
        </w:rPr>
        <w:t>foi menor o n</w:t>
      </w:r>
      <w:r w:rsidR="009314E6" w:rsidRPr="00AD6C54">
        <w:rPr>
          <w:rFonts w:cs="Times New Roman"/>
          <w:szCs w:val="24"/>
        </w:rPr>
        <w:t xml:space="preserve">úmero de instituições </w:t>
      </w:r>
      <w:r w:rsidR="00AB3E68">
        <w:rPr>
          <w:rFonts w:cs="Times New Roman"/>
          <w:szCs w:val="24"/>
        </w:rPr>
        <w:t>avaliadas nos estágios iniciais de governança</w:t>
      </w:r>
      <w:r w:rsidR="009314E6" w:rsidRPr="00AD6C54">
        <w:rPr>
          <w:rFonts w:cs="Times New Roman"/>
          <w:szCs w:val="24"/>
        </w:rPr>
        <w:t>, bem como houve acréscimo na quantidade de organismos com nível aprimorado de capacidade de governança</w:t>
      </w:r>
      <w:r w:rsidR="00AB3E68">
        <w:rPr>
          <w:rFonts w:cs="Times New Roman"/>
          <w:szCs w:val="24"/>
        </w:rPr>
        <w:t>.</w:t>
      </w:r>
    </w:p>
    <w:p w14:paraId="5F2FFEE8" w14:textId="4097A632" w:rsidR="009314E6" w:rsidRPr="009777B5" w:rsidRDefault="00D441E6" w:rsidP="009777B5">
      <w:pPr>
        <w:rPr>
          <w:rFonts w:cs="Times New Roman"/>
          <w:szCs w:val="24"/>
        </w:rPr>
      </w:pPr>
      <w:r>
        <w:rPr>
          <w:rFonts w:cs="Times New Roman"/>
          <w:szCs w:val="24"/>
        </w:rPr>
        <w:t xml:space="preserve">A tabela 3 evidencia que entre </w:t>
      </w:r>
      <w:r w:rsidR="009314E6" w:rsidRPr="009777B5">
        <w:rPr>
          <w:rFonts w:cs="Times New Roman"/>
          <w:szCs w:val="24"/>
        </w:rPr>
        <w:t xml:space="preserve">as 4 instituições com elevada capacidade de governança em 2018, de um total de 8 registros de IGC, </w:t>
      </w:r>
      <w:r w:rsidR="001E3260" w:rsidRPr="009777B5">
        <w:rPr>
          <w:rFonts w:cs="Times New Roman"/>
          <w:szCs w:val="24"/>
        </w:rPr>
        <w:t xml:space="preserve">em apenas 1 deles foi verificada nota 3. Ainda, </w:t>
      </w:r>
      <w:r w:rsidR="001E3260" w:rsidRPr="009777B5">
        <w:rPr>
          <w:rFonts w:cs="Times New Roman"/>
          <w:szCs w:val="24"/>
        </w:rPr>
        <w:lastRenderedPageBreak/>
        <w:t xml:space="preserve">destaque à Universidade Federal de Lavras, que foi a única instituição a </w:t>
      </w:r>
      <w:r w:rsidR="00A9773D" w:rsidRPr="009777B5">
        <w:rPr>
          <w:rFonts w:cs="Times New Roman"/>
          <w:szCs w:val="24"/>
        </w:rPr>
        <w:t>ser avaliada com</w:t>
      </w:r>
      <w:r w:rsidR="001E3260" w:rsidRPr="009777B5">
        <w:rPr>
          <w:rFonts w:cs="Times New Roman"/>
          <w:szCs w:val="24"/>
        </w:rPr>
        <w:t xml:space="preserve"> nota máxima em ambos os índices e períodos estudados</w:t>
      </w:r>
      <w:r w:rsidR="00884DB2">
        <w:rPr>
          <w:rFonts w:cs="Times New Roman"/>
          <w:szCs w:val="24"/>
        </w:rPr>
        <w:t>.</w:t>
      </w:r>
    </w:p>
    <w:p w14:paraId="50DFB3DB" w14:textId="379B7DF3" w:rsidR="00B6530A" w:rsidRPr="00AD6C54" w:rsidRDefault="00245972" w:rsidP="0054522C">
      <w:pPr>
        <w:rPr>
          <w:rFonts w:cs="Times New Roman"/>
          <w:szCs w:val="24"/>
        </w:rPr>
      </w:pPr>
      <w:r>
        <w:rPr>
          <w:rFonts w:cs="Times New Roman"/>
          <w:szCs w:val="24"/>
        </w:rPr>
        <w:t xml:space="preserve">A tabela 4 mostra que </w:t>
      </w:r>
      <w:r w:rsidR="001E3260" w:rsidRPr="00245972">
        <w:rPr>
          <w:rFonts w:cs="Times New Roman"/>
          <w:szCs w:val="24"/>
        </w:rPr>
        <w:t xml:space="preserve">os resultados de governança apresentaram elevada flutuação dos dados, tendo como base o Coeficiente de Variação (CV). </w:t>
      </w:r>
      <w:proofErr w:type="spellStart"/>
      <w:r w:rsidR="001E3260" w:rsidRPr="00245972">
        <w:rPr>
          <w:rFonts w:cs="Times New Roman"/>
          <w:szCs w:val="24"/>
        </w:rPr>
        <w:t>Medri</w:t>
      </w:r>
      <w:proofErr w:type="spellEnd"/>
      <w:r w:rsidR="001E3260" w:rsidRPr="00245972">
        <w:rPr>
          <w:rFonts w:cs="Times New Roman"/>
          <w:szCs w:val="24"/>
        </w:rPr>
        <w:t xml:space="preserve"> (2011) apresenta valores de CV acima de 30% como sendo de alta dispersão</w:t>
      </w:r>
      <w:r w:rsidR="0054522C">
        <w:rPr>
          <w:rFonts w:cs="Times New Roman"/>
          <w:szCs w:val="24"/>
        </w:rPr>
        <w:t xml:space="preserve">. </w:t>
      </w:r>
      <w:r w:rsidR="001E3260" w:rsidRPr="00AD6C54">
        <w:rPr>
          <w:rFonts w:cs="Times New Roman"/>
          <w:szCs w:val="24"/>
        </w:rPr>
        <w:t>Ainda</w:t>
      </w:r>
      <w:r w:rsidR="000236E9">
        <w:rPr>
          <w:rFonts w:cs="Times New Roman"/>
          <w:szCs w:val="24"/>
        </w:rPr>
        <w:t>, verifica</w:t>
      </w:r>
      <w:r w:rsidR="001E3260" w:rsidRPr="00AD6C54">
        <w:rPr>
          <w:rFonts w:cs="Times New Roman"/>
          <w:szCs w:val="24"/>
        </w:rPr>
        <w:t>-se que as instituições conceito 3 no IGC apresentaram médias de capacidade de governança inferiores às outras.</w:t>
      </w:r>
    </w:p>
    <w:p w14:paraId="4827DB9E" w14:textId="0FE702A8" w:rsidR="00C85B14" w:rsidRPr="00AD6C54" w:rsidRDefault="00011531" w:rsidP="00382A53">
      <w:pPr>
        <w:rPr>
          <w:rFonts w:cs="Times New Roman"/>
          <w:szCs w:val="24"/>
        </w:rPr>
      </w:pPr>
      <w:r w:rsidRPr="00AD6C54">
        <w:rPr>
          <w:rFonts w:cs="Times New Roman"/>
          <w:szCs w:val="24"/>
        </w:rPr>
        <w:t xml:space="preserve">Em cumprimento aos objetivos gerais estabelecidos, foram realizados </w:t>
      </w:r>
      <w:r w:rsidR="00760831" w:rsidRPr="00AD6C54">
        <w:rPr>
          <w:rFonts w:cs="Times New Roman"/>
          <w:szCs w:val="24"/>
        </w:rPr>
        <w:t xml:space="preserve">também </w:t>
      </w:r>
      <w:r w:rsidRPr="00AD6C54">
        <w:rPr>
          <w:rFonts w:cs="Times New Roman"/>
          <w:szCs w:val="24"/>
        </w:rPr>
        <w:t xml:space="preserve">testes de correlação entre o </w:t>
      </w:r>
      <w:proofErr w:type="spellStart"/>
      <w:r w:rsidRPr="00AD6C54">
        <w:rPr>
          <w:rFonts w:cs="Times New Roman"/>
          <w:szCs w:val="24"/>
        </w:rPr>
        <w:t>iGG</w:t>
      </w:r>
      <w:proofErr w:type="spellEnd"/>
      <w:r w:rsidRPr="00AD6C54">
        <w:rPr>
          <w:rFonts w:cs="Times New Roman"/>
          <w:szCs w:val="24"/>
        </w:rPr>
        <w:t xml:space="preserve"> e o IGC, para os períodos </w:t>
      </w:r>
      <w:r w:rsidR="00853255" w:rsidRPr="00AD6C54">
        <w:rPr>
          <w:rFonts w:cs="Times New Roman"/>
          <w:szCs w:val="24"/>
        </w:rPr>
        <w:t>anteriormente indicados.</w:t>
      </w:r>
      <w:r w:rsidR="008D4D44" w:rsidRPr="00AD6C54">
        <w:rPr>
          <w:rFonts w:cs="Times New Roman"/>
          <w:szCs w:val="24"/>
        </w:rPr>
        <w:t xml:space="preserve"> </w:t>
      </w:r>
      <w:r w:rsidR="00760831" w:rsidRPr="00AD6C54">
        <w:rPr>
          <w:rFonts w:cs="Times New Roman"/>
          <w:szCs w:val="24"/>
        </w:rPr>
        <w:t xml:space="preserve">Os resultados </w:t>
      </w:r>
      <w:r w:rsidR="00853255" w:rsidRPr="00AD6C54">
        <w:rPr>
          <w:rFonts w:cs="Times New Roman"/>
          <w:szCs w:val="24"/>
        </w:rPr>
        <w:t>pode</w:t>
      </w:r>
      <w:r w:rsidR="00F91D2C" w:rsidRPr="00AD6C54">
        <w:rPr>
          <w:rFonts w:cs="Times New Roman"/>
          <w:szCs w:val="24"/>
        </w:rPr>
        <w:t>m</w:t>
      </w:r>
      <w:r w:rsidR="00853255" w:rsidRPr="00AD6C54">
        <w:rPr>
          <w:rFonts w:cs="Times New Roman"/>
          <w:szCs w:val="24"/>
        </w:rPr>
        <w:t xml:space="preserve"> ser observado</w:t>
      </w:r>
      <w:r w:rsidR="00F91D2C" w:rsidRPr="00AD6C54">
        <w:rPr>
          <w:rFonts w:cs="Times New Roman"/>
          <w:szCs w:val="24"/>
        </w:rPr>
        <w:t>s</w:t>
      </w:r>
      <w:r w:rsidR="00853255" w:rsidRPr="00AD6C54">
        <w:rPr>
          <w:rFonts w:cs="Times New Roman"/>
          <w:szCs w:val="24"/>
        </w:rPr>
        <w:t xml:space="preserve"> </w:t>
      </w:r>
      <w:r w:rsidR="00084349">
        <w:rPr>
          <w:rFonts w:cs="Times New Roman"/>
          <w:szCs w:val="24"/>
        </w:rPr>
        <w:t>na Tabela 5</w:t>
      </w:r>
      <w:r w:rsidR="00853255" w:rsidRPr="00AD6C54">
        <w:rPr>
          <w:rFonts w:cs="Times New Roman"/>
          <w:szCs w:val="24"/>
        </w:rPr>
        <w:t>:</w:t>
      </w:r>
    </w:p>
    <w:p w14:paraId="2ACCF84E" w14:textId="77777777" w:rsidR="0050063E" w:rsidRPr="00AD6C54" w:rsidRDefault="0050063E" w:rsidP="00382A53">
      <w:pPr>
        <w:rPr>
          <w:rFonts w:cs="Times New Roman"/>
          <w:szCs w:val="24"/>
        </w:rPr>
      </w:pPr>
    </w:p>
    <w:p w14:paraId="57CD5E72" w14:textId="3C3D19DD" w:rsidR="0050063E" w:rsidRPr="00AD6C54" w:rsidRDefault="0050063E" w:rsidP="00795A5D">
      <w:pPr>
        <w:spacing w:line="240" w:lineRule="auto"/>
        <w:ind w:firstLine="0"/>
        <w:jc w:val="center"/>
        <w:rPr>
          <w:rFonts w:cs="Times New Roman"/>
          <w:sz w:val="20"/>
          <w:szCs w:val="20"/>
        </w:rPr>
      </w:pPr>
      <w:r w:rsidRPr="00AD6C54">
        <w:rPr>
          <w:rFonts w:cs="Times New Roman"/>
          <w:b/>
          <w:bCs/>
          <w:sz w:val="20"/>
          <w:szCs w:val="20"/>
        </w:rPr>
        <w:t>Tabela 5</w:t>
      </w:r>
      <w:r w:rsidRPr="00AD6C54">
        <w:rPr>
          <w:rFonts w:cs="Times New Roman"/>
          <w:sz w:val="20"/>
          <w:szCs w:val="20"/>
        </w:rPr>
        <w:t xml:space="preserve"> – Correlação (r) entre </w:t>
      </w:r>
      <w:proofErr w:type="spellStart"/>
      <w:r w:rsidRPr="00AD6C54">
        <w:rPr>
          <w:rFonts w:cs="Times New Roman"/>
          <w:sz w:val="20"/>
          <w:szCs w:val="20"/>
        </w:rPr>
        <w:t>iGG</w:t>
      </w:r>
      <w:proofErr w:type="spellEnd"/>
      <w:r w:rsidRPr="00AD6C54">
        <w:rPr>
          <w:rFonts w:cs="Times New Roman"/>
          <w:sz w:val="20"/>
          <w:szCs w:val="20"/>
        </w:rPr>
        <w:t xml:space="preserve"> 2017 e 2018 e IGC 2016 e 2017</w:t>
      </w:r>
    </w:p>
    <w:tbl>
      <w:tblPr>
        <w:tblStyle w:val="TabelaSimples2"/>
        <w:tblW w:w="7088" w:type="dxa"/>
        <w:jc w:val="center"/>
        <w:tblLook w:val="06A0" w:firstRow="1" w:lastRow="0" w:firstColumn="1" w:lastColumn="0" w:noHBand="1" w:noVBand="1"/>
      </w:tblPr>
      <w:tblGrid>
        <w:gridCol w:w="2410"/>
        <w:gridCol w:w="2552"/>
        <w:gridCol w:w="2126"/>
      </w:tblGrid>
      <w:tr w:rsidR="0078270E" w:rsidRPr="00AD6C54" w14:paraId="01E8CC08" w14:textId="77777777" w:rsidTr="00B12A3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66FDCA76" w14:textId="23F89931" w:rsidR="00CD680B" w:rsidRPr="00AD6C54" w:rsidRDefault="00CD680B" w:rsidP="00795A5D">
            <w:pPr>
              <w:spacing w:line="240" w:lineRule="auto"/>
              <w:ind w:firstLine="0"/>
              <w:jc w:val="center"/>
              <w:rPr>
                <w:rFonts w:eastAsia="Times New Roman" w:cs="Times New Roman"/>
                <w:sz w:val="20"/>
                <w:szCs w:val="24"/>
                <w:lang w:eastAsia="pt-BR"/>
              </w:rPr>
            </w:pPr>
            <w:r w:rsidRPr="00AD6C54">
              <w:rPr>
                <w:rFonts w:eastAsia="Times New Roman" w:cs="Times New Roman"/>
                <w:sz w:val="20"/>
                <w:szCs w:val="24"/>
                <w:lang w:eastAsia="pt-BR"/>
              </w:rPr>
              <w:t>Correlação (r)</w:t>
            </w:r>
          </w:p>
        </w:tc>
        <w:tc>
          <w:tcPr>
            <w:tcW w:w="2552" w:type="dxa"/>
            <w:noWrap/>
            <w:vAlign w:val="center"/>
            <w:hideMark/>
          </w:tcPr>
          <w:p w14:paraId="314CFF3D" w14:textId="77777777" w:rsidR="00CD680B" w:rsidRPr="00AD6C54" w:rsidRDefault="00CD680B"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4"/>
                <w:lang w:eastAsia="pt-BR"/>
              </w:rPr>
            </w:pPr>
            <w:r w:rsidRPr="00AD6C54">
              <w:rPr>
                <w:rFonts w:eastAsia="Times New Roman" w:cs="Times New Roman"/>
                <w:sz w:val="20"/>
                <w:szCs w:val="24"/>
                <w:lang w:eastAsia="pt-BR"/>
              </w:rPr>
              <w:t>IGC 2016 (MEC)</w:t>
            </w:r>
          </w:p>
        </w:tc>
        <w:tc>
          <w:tcPr>
            <w:tcW w:w="2126" w:type="dxa"/>
            <w:noWrap/>
            <w:vAlign w:val="center"/>
            <w:hideMark/>
          </w:tcPr>
          <w:p w14:paraId="71E88FFD" w14:textId="77777777" w:rsidR="00CD680B" w:rsidRPr="00AD6C54" w:rsidRDefault="00CD680B"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4"/>
                <w:lang w:eastAsia="pt-BR"/>
              </w:rPr>
            </w:pPr>
            <w:r w:rsidRPr="00AD6C54">
              <w:rPr>
                <w:rFonts w:eastAsia="Times New Roman" w:cs="Times New Roman"/>
                <w:sz w:val="20"/>
                <w:szCs w:val="24"/>
                <w:lang w:eastAsia="pt-BR"/>
              </w:rPr>
              <w:t>IGC 2017 (MEC)</w:t>
            </w:r>
          </w:p>
        </w:tc>
      </w:tr>
      <w:tr w:rsidR="0078270E" w:rsidRPr="00AD6C54" w14:paraId="6A0676BD" w14:textId="77777777" w:rsidTr="00B12A31">
        <w:trPr>
          <w:trHeight w:val="300"/>
          <w:jc w:val="center"/>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5AE810C4" w14:textId="77777777" w:rsidR="00CD680B" w:rsidRPr="00AD6C54" w:rsidRDefault="00CD680B" w:rsidP="00795A5D">
            <w:pPr>
              <w:spacing w:line="240" w:lineRule="auto"/>
              <w:ind w:firstLine="0"/>
              <w:jc w:val="center"/>
              <w:rPr>
                <w:rFonts w:eastAsia="Times New Roman" w:cs="Times New Roman"/>
                <w:sz w:val="20"/>
                <w:szCs w:val="24"/>
                <w:lang w:eastAsia="pt-BR"/>
              </w:rPr>
            </w:pPr>
            <w:proofErr w:type="spellStart"/>
            <w:r w:rsidRPr="00AD6C54">
              <w:rPr>
                <w:rFonts w:eastAsia="Times New Roman" w:cs="Times New Roman"/>
                <w:sz w:val="20"/>
                <w:szCs w:val="24"/>
                <w:lang w:eastAsia="pt-BR"/>
              </w:rPr>
              <w:t>iGG</w:t>
            </w:r>
            <w:proofErr w:type="spellEnd"/>
            <w:r w:rsidRPr="00AD6C54">
              <w:rPr>
                <w:rFonts w:eastAsia="Times New Roman" w:cs="Times New Roman"/>
                <w:sz w:val="20"/>
                <w:szCs w:val="24"/>
                <w:lang w:eastAsia="pt-BR"/>
              </w:rPr>
              <w:t xml:space="preserve"> 2017 (TCU)</w:t>
            </w:r>
          </w:p>
        </w:tc>
        <w:tc>
          <w:tcPr>
            <w:tcW w:w="2552" w:type="dxa"/>
            <w:noWrap/>
            <w:vAlign w:val="center"/>
            <w:hideMark/>
          </w:tcPr>
          <w:p w14:paraId="13D82273" w14:textId="7D092323" w:rsidR="00CD680B" w:rsidRPr="00AD6C54" w:rsidRDefault="002C08B5"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pt-BR"/>
              </w:rPr>
            </w:pPr>
            <w:r w:rsidRPr="00AD6C54">
              <w:rPr>
                <w:rFonts w:eastAsia="Times New Roman" w:cs="Times New Roman"/>
                <w:sz w:val="20"/>
                <w:szCs w:val="24"/>
                <w:lang w:eastAsia="pt-BR"/>
              </w:rPr>
              <w:t>0,01</w:t>
            </w:r>
          </w:p>
        </w:tc>
        <w:tc>
          <w:tcPr>
            <w:tcW w:w="2126" w:type="dxa"/>
            <w:noWrap/>
            <w:vAlign w:val="center"/>
            <w:hideMark/>
          </w:tcPr>
          <w:p w14:paraId="65AE47D4" w14:textId="4EDE889C" w:rsidR="00CD680B" w:rsidRPr="00AD6C54" w:rsidRDefault="002C08B5"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pt-BR"/>
              </w:rPr>
            </w:pPr>
            <w:r w:rsidRPr="00AD6C54">
              <w:rPr>
                <w:rFonts w:eastAsia="Times New Roman" w:cs="Times New Roman"/>
                <w:sz w:val="20"/>
                <w:szCs w:val="24"/>
                <w:lang w:eastAsia="pt-BR"/>
              </w:rPr>
              <w:t>0,02</w:t>
            </w:r>
          </w:p>
        </w:tc>
      </w:tr>
      <w:tr w:rsidR="0078270E" w:rsidRPr="00AD6C54" w14:paraId="69188AF5" w14:textId="77777777" w:rsidTr="00B12A31">
        <w:trPr>
          <w:trHeight w:val="300"/>
          <w:jc w:val="center"/>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150631FD" w14:textId="77777777" w:rsidR="00CD680B" w:rsidRPr="00AD6C54" w:rsidRDefault="00CD680B" w:rsidP="00795A5D">
            <w:pPr>
              <w:spacing w:line="240" w:lineRule="auto"/>
              <w:ind w:firstLine="0"/>
              <w:jc w:val="center"/>
              <w:rPr>
                <w:rFonts w:eastAsia="Times New Roman" w:cs="Times New Roman"/>
                <w:sz w:val="20"/>
                <w:szCs w:val="24"/>
                <w:lang w:eastAsia="pt-BR"/>
              </w:rPr>
            </w:pPr>
            <w:proofErr w:type="spellStart"/>
            <w:r w:rsidRPr="00AD6C54">
              <w:rPr>
                <w:rFonts w:eastAsia="Times New Roman" w:cs="Times New Roman"/>
                <w:sz w:val="20"/>
                <w:szCs w:val="24"/>
                <w:lang w:eastAsia="pt-BR"/>
              </w:rPr>
              <w:t>iGG</w:t>
            </w:r>
            <w:proofErr w:type="spellEnd"/>
            <w:r w:rsidRPr="00AD6C54">
              <w:rPr>
                <w:rFonts w:eastAsia="Times New Roman" w:cs="Times New Roman"/>
                <w:sz w:val="20"/>
                <w:szCs w:val="24"/>
                <w:lang w:eastAsia="pt-BR"/>
              </w:rPr>
              <w:t xml:space="preserve"> 2018 (TCU)</w:t>
            </w:r>
          </w:p>
        </w:tc>
        <w:tc>
          <w:tcPr>
            <w:tcW w:w="2552" w:type="dxa"/>
            <w:noWrap/>
            <w:vAlign w:val="center"/>
            <w:hideMark/>
          </w:tcPr>
          <w:p w14:paraId="29B87E05" w14:textId="705E5CCD" w:rsidR="00CD680B" w:rsidRPr="00AD6C54" w:rsidRDefault="002C08B5"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pt-BR"/>
              </w:rPr>
            </w:pPr>
            <w:r w:rsidRPr="00AD6C54">
              <w:rPr>
                <w:rFonts w:eastAsia="Times New Roman" w:cs="Times New Roman"/>
                <w:sz w:val="20"/>
                <w:szCs w:val="24"/>
                <w:lang w:eastAsia="pt-BR"/>
              </w:rPr>
              <w:t>0,17</w:t>
            </w:r>
          </w:p>
        </w:tc>
        <w:tc>
          <w:tcPr>
            <w:tcW w:w="2126" w:type="dxa"/>
            <w:noWrap/>
            <w:vAlign w:val="center"/>
            <w:hideMark/>
          </w:tcPr>
          <w:p w14:paraId="25C747C1" w14:textId="4EF1039D" w:rsidR="00CD680B" w:rsidRPr="00AD6C54" w:rsidRDefault="002C08B5"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4"/>
                <w:lang w:eastAsia="pt-BR"/>
              </w:rPr>
            </w:pPr>
            <w:r w:rsidRPr="00AD6C54">
              <w:rPr>
                <w:rFonts w:eastAsia="Times New Roman" w:cs="Times New Roman"/>
                <w:sz w:val="20"/>
                <w:szCs w:val="24"/>
                <w:lang w:eastAsia="pt-BR"/>
              </w:rPr>
              <w:t>0,17</w:t>
            </w:r>
          </w:p>
        </w:tc>
      </w:tr>
    </w:tbl>
    <w:p w14:paraId="12BC2D33" w14:textId="6E187D72" w:rsidR="0050063E" w:rsidRPr="00AD6C54" w:rsidRDefault="0050063E" w:rsidP="00795A5D">
      <w:pPr>
        <w:spacing w:line="240" w:lineRule="auto"/>
        <w:ind w:firstLine="0"/>
        <w:jc w:val="center"/>
        <w:rPr>
          <w:rFonts w:cs="Times New Roman"/>
          <w:sz w:val="20"/>
          <w:szCs w:val="20"/>
        </w:rPr>
      </w:pPr>
      <w:r w:rsidRPr="00AD6C54">
        <w:rPr>
          <w:rFonts w:cs="Times New Roman"/>
          <w:sz w:val="20"/>
          <w:szCs w:val="20"/>
        </w:rPr>
        <w:t>Fonte: Elaborad</w:t>
      </w:r>
      <w:r w:rsidR="00E82D42">
        <w:rPr>
          <w:rFonts w:cs="Times New Roman"/>
          <w:sz w:val="20"/>
          <w:szCs w:val="20"/>
        </w:rPr>
        <w:t>a</w:t>
      </w:r>
      <w:r w:rsidRPr="00AD6C54">
        <w:rPr>
          <w:rFonts w:cs="Times New Roman"/>
          <w:sz w:val="20"/>
          <w:szCs w:val="20"/>
        </w:rPr>
        <w:t xml:space="preserve"> pelo autor com base em MEC, 2016 e MEC, 2017, TCU, 2017 e TCU, 2018</w:t>
      </w:r>
    </w:p>
    <w:p w14:paraId="0BE6A593" w14:textId="2B2DAFC0" w:rsidR="00853255" w:rsidRPr="00AD6C54" w:rsidRDefault="00853255" w:rsidP="00382A53">
      <w:pPr>
        <w:rPr>
          <w:rFonts w:cs="Times New Roman"/>
          <w:szCs w:val="24"/>
        </w:rPr>
      </w:pPr>
    </w:p>
    <w:p w14:paraId="5B06035A" w14:textId="3A3F47BE" w:rsidR="00C85B14" w:rsidRPr="00AD6C54" w:rsidRDefault="00CD680B" w:rsidP="00382A53">
      <w:pPr>
        <w:rPr>
          <w:rFonts w:cs="Times New Roman"/>
          <w:szCs w:val="24"/>
        </w:rPr>
      </w:pPr>
      <w:r w:rsidRPr="00AD6C54">
        <w:rPr>
          <w:rFonts w:cs="Times New Roman"/>
          <w:szCs w:val="24"/>
        </w:rPr>
        <w:t xml:space="preserve">Conforme se observa, ao se analisar os dados brutos, contemplando todas as IES, sem a realização de nenhum filtro, com o </w:t>
      </w:r>
      <w:r w:rsidR="00760831" w:rsidRPr="00AD6C54">
        <w:rPr>
          <w:rFonts w:cs="Times New Roman"/>
          <w:szCs w:val="24"/>
        </w:rPr>
        <w:t xml:space="preserve">índice </w:t>
      </w:r>
      <w:r w:rsidRPr="00AD6C54">
        <w:rPr>
          <w:rFonts w:cs="Times New Roman"/>
          <w:szCs w:val="24"/>
        </w:rPr>
        <w:t xml:space="preserve">agregador de governança, os resultados apresentaram uma baixa correlação entre as variáveis. Há que se mencionar que o </w:t>
      </w:r>
      <w:proofErr w:type="spellStart"/>
      <w:r w:rsidRPr="00AD6C54">
        <w:rPr>
          <w:rFonts w:cs="Times New Roman"/>
          <w:szCs w:val="24"/>
        </w:rPr>
        <w:t>iGG</w:t>
      </w:r>
      <w:proofErr w:type="spellEnd"/>
      <w:r w:rsidRPr="00AD6C54">
        <w:rPr>
          <w:rFonts w:cs="Times New Roman"/>
          <w:szCs w:val="24"/>
        </w:rPr>
        <w:t xml:space="preserve"> de 2018 apresenta maior relação com ambos os índices analisados do MEC. Para tal fato, entende-se uma maior maturidade no índice de avaliação do TCU, que apresentou resultados</w:t>
      </w:r>
      <w:r w:rsidR="00B12EEB" w:rsidRPr="00AD6C54">
        <w:rPr>
          <w:rFonts w:cs="Times New Roman"/>
          <w:szCs w:val="24"/>
        </w:rPr>
        <w:t xml:space="preserve"> </w:t>
      </w:r>
      <w:r w:rsidR="000C61BE">
        <w:rPr>
          <w:rFonts w:cs="Times New Roman"/>
          <w:szCs w:val="24"/>
        </w:rPr>
        <w:t xml:space="preserve">melhores </w:t>
      </w:r>
      <w:r w:rsidR="00B12EEB" w:rsidRPr="00AD6C54">
        <w:rPr>
          <w:rFonts w:cs="Times New Roman"/>
          <w:szCs w:val="24"/>
        </w:rPr>
        <w:t>de um ano para o outro.</w:t>
      </w:r>
    </w:p>
    <w:p w14:paraId="3220FA1E" w14:textId="77777777" w:rsidR="00760831" w:rsidRPr="00AD6C54" w:rsidRDefault="00B12EEB" w:rsidP="00382A53">
      <w:pPr>
        <w:rPr>
          <w:rFonts w:cs="Times New Roman"/>
          <w:szCs w:val="24"/>
        </w:rPr>
      </w:pPr>
      <w:r w:rsidRPr="00AD6C54">
        <w:rPr>
          <w:rFonts w:cs="Times New Roman"/>
          <w:szCs w:val="24"/>
        </w:rPr>
        <w:t xml:space="preserve">Em aprofundamento da análise dos dados, optou-se por </w:t>
      </w:r>
      <w:r w:rsidR="00760831" w:rsidRPr="00AD6C54">
        <w:rPr>
          <w:rFonts w:cs="Times New Roman"/>
          <w:szCs w:val="24"/>
        </w:rPr>
        <w:t>separar as IFES</w:t>
      </w:r>
      <w:r w:rsidRPr="00AD6C54">
        <w:rPr>
          <w:rFonts w:cs="Times New Roman"/>
          <w:szCs w:val="24"/>
        </w:rPr>
        <w:t xml:space="preserve">, de modo </w:t>
      </w:r>
      <w:r w:rsidR="00760831" w:rsidRPr="00AD6C54">
        <w:rPr>
          <w:rFonts w:cs="Times New Roman"/>
          <w:szCs w:val="24"/>
        </w:rPr>
        <w:t>a buscar maior homogeneidade entre estas</w:t>
      </w:r>
      <w:r w:rsidRPr="00AD6C54">
        <w:rPr>
          <w:rFonts w:cs="Times New Roman"/>
          <w:szCs w:val="24"/>
        </w:rPr>
        <w:t xml:space="preserve">. Para tanto, </w:t>
      </w:r>
      <w:r w:rsidR="00760831" w:rsidRPr="00AD6C54">
        <w:rPr>
          <w:rFonts w:cs="Times New Roman"/>
          <w:szCs w:val="24"/>
        </w:rPr>
        <w:t>foram gerados 4 grupos, levando em consideração a</w:t>
      </w:r>
      <w:r w:rsidRPr="00AD6C54">
        <w:rPr>
          <w:rFonts w:cs="Times New Roman"/>
          <w:szCs w:val="24"/>
        </w:rPr>
        <w:t xml:space="preserve"> receita bruta total para o ano </w:t>
      </w:r>
      <w:r w:rsidR="00760831" w:rsidRPr="00AD6C54">
        <w:rPr>
          <w:rFonts w:cs="Times New Roman"/>
          <w:szCs w:val="24"/>
        </w:rPr>
        <w:t>das instituições</w:t>
      </w:r>
      <w:r w:rsidRPr="00AD6C54">
        <w:rPr>
          <w:rFonts w:cs="Times New Roman"/>
          <w:szCs w:val="24"/>
        </w:rPr>
        <w:t>. A separação conforme receita bruta levou em consideração a receita estimada para o ano de 2016</w:t>
      </w:r>
      <w:r w:rsidR="00760831" w:rsidRPr="00AD6C54">
        <w:rPr>
          <w:rFonts w:cs="Times New Roman"/>
          <w:szCs w:val="24"/>
        </w:rPr>
        <w:t>, retirado da última disponibilização oficial destes dados pelo MEC</w:t>
      </w:r>
      <w:r w:rsidRPr="00AD6C54">
        <w:rPr>
          <w:rFonts w:cs="Times New Roman"/>
          <w:szCs w:val="24"/>
        </w:rPr>
        <w:t xml:space="preserve">. </w:t>
      </w:r>
    </w:p>
    <w:p w14:paraId="00B3BA77" w14:textId="6C4AA116" w:rsidR="00C85B14" w:rsidRPr="00AD6C54" w:rsidRDefault="00B12EEB" w:rsidP="00382A53">
      <w:pPr>
        <w:rPr>
          <w:rFonts w:cs="Times New Roman"/>
          <w:szCs w:val="24"/>
        </w:rPr>
      </w:pPr>
      <w:r w:rsidRPr="00AD6C54">
        <w:rPr>
          <w:rFonts w:cs="Times New Roman"/>
          <w:szCs w:val="24"/>
        </w:rPr>
        <w:t>No grupo 1 se localizaram as I</w:t>
      </w:r>
      <w:r w:rsidR="00760831" w:rsidRPr="00AD6C54">
        <w:rPr>
          <w:rFonts w:cs="Times New Roman"/>
          <w:szCs w:val="24"/>
        </w:rPr>
        <w:t>F</w:t>
      </w:r>
      <w:r w:rsidRPr="00AD6C54">
        <w:rPr>
          <w:rFonts w:cs="Times New Roman"/>
          <w:szCs w:val="24"/>
        </w:rPr>
        <w:t xml:space="preserve">ES com mais recursos, gradativamente até o grupo 4, onde foram </w:t>
      </w:r>
      <w:r w:rsidR="00760831" w:rsidRPr="00AD6C54">
        <w:rPr>
          <w:rFonts w:cs="Times New Roman"/>
          <w:szCs w:val="24"/>
        </w:rPr>
        <w:t>agrupadas</w:t>
      </w:r>
      <w:r w:rsidRPr="00AD6C54">
        <w:rPr>
          <w:rFonts w:cs="Times New Roman"/>
          <w:szCs w:val="24"/>
        </w:rPr>
        <w:t xml:space="preserve"> a</w:t>
      </w:r>
      <w:r w:rsidR="00B95E05">
        <w:rPr>
          <w:rFonts w:cs="Times New Roman"/>
          <w:szCs w:val="24"/>
        </w:rPr>
        <w:t>quelas</w:t>
      </w:r>
      <w:r w:rsidRPr="00AD6C54">
        <w:rPr>
          <w:rFonts w:cs="Times New Roman"/>
          <w:szCs w:val="24"/>
        </w:rPr>
        <w:t xml:space="preserve"> com menor capacidade financeira bruta. </w:t>
      </w:r>
      <w:r w:rsidR="00DC3894" w:rsidRPr="00AD6C54">
        <w:rPr>
          <w:rFonts w:cs="Times New Roman"/>
          <w:szCs w:val="24"/>
        </w:rPr>
        <w:t xml:space="preserve">Ainda, foi formado um </w:t>
      </w:r>
      <w:r w:rsidR="00B95E05" w:rsidRPr="00AD6C54">
        <w:rPr>
          <w:rFonts w:cs="Times New Roman"/>
          <w:szCs w:val="24"/>
        </w:rPr>
        <w:t>subgrupo</w:t>
      </w:r>
      <w:r w:rsidR="00DC3894" w:rsidRPr="00AD6C54">
        <w:rPr>
          <w:rFonts w:cs="Times New Roman"/>
          <w:szCs w:val="24"/>
        </w:rPr>
        <w:t xml:space="preserve"> mediano, onde foram contempladas as </w:t>
      </w:r>
      <w:r w:rsidR="00B95E05">
        <w:rPr>
          <w:rFonts w:cs="Times New Roman"/>
          <w:szCs w:val="24"/>
        </w:rPr>
        <w:t>instituições</w:t>
      </w:r>
      <w:r w:rsidR="00DC3894" w:rsidRPr="00AD6C54">
        <w:rPr>
          <w:rFonts w:cs="Times New Roman"/>
          <w:szCs w:val="24"/>
        </w:rPr>
        <w:t xml:space="preserve"> </w:t>
      </w:r>
      <w:r w:rsidR="00B95E05">
        <w:rPr>
          <w:rFonts w:cs="Times New Roman"/>
          <w:szCs w:val="24"/>
        </w:rPr>
        <w:t>pertencentes</w:t>
      </w:r>
      <w:r w:rsidR="00DC3894" w:rsidRPr="00AD6C54">
        <w:rPr>
          <w:rFonts w:cs="Times New Roman"/>
          <w:szCs w:val="24"/>
        </w:rPr>
        <w:t xml:space="preserve"> </w:t>
      </w:r>
      <w:r w:rsidR="00B95E05">
        <w:rPr>
          <w:rFonts w:cs="Times New Roman"/>
          <w:szCs w:val="24"/>
        </w:rPr>
        <w:t>a</w:t>
      </w:r>
      <w:r w:rsidR="00DC3894" w:rsidRPr="00AD6C54">
        <w:rPr>
          <w:rFonts w:cs="Times New Roman"/>
          <w:szCs w:val="24"/>
        </w:rPr>
        <w:t xml:space="preserve">os grupos 2 e 3. </w:t>
      </w:r>
      <w:r w:rsidRPr="00AD6C54">
        <w:rPr>
          <w:rFonts w:cs="Times New Roman"/>
          <w:szCs w:val="24"/>
        </w:rPr>
        <w:t>Tal separação gerou os seguintes resultados de correlação</w:t>
      </w:r>
      <w:r w:rsidR="0050063E" w:rsidRPr="00AD6C54">
        <w:rPr>
          <w:rFonts w:cs="Times New Roman"/>
          <w:szCs w:val="24"/>
        </w:rPr>
        <w:t>, tendo como base os últimos anos de dados disponibilizados (</w:t>
      </w:r>
      <w:proofErr w:type="spellStart"/>
      <w:r w:rsidR="0050063E" w:rsidRPr="00AD6C54">
        <w:rPr>
          <w:rFonts w:cs="Times New Roman"/>
          <w:szCs w:val="24"/>
        </w:rPr>
        <w:t>iGG</w:t>
      </w:r>
      <w:proofErr w:type="spellEnd"/>
      <w:r w:rsidR="0050063E" w:rsidRPr="00AD6C54">
        <w:rPr>
          <w:rFonts w:cs="Times New Roman"/>
          <w:szCs w:val="24"/>
        </w:rPr>
        <w:t xml:space="preserve"> 2018 e IGC 2017)</w:t>
      </w:r>
      <w:r w:rsidR="00084349">
        <w:rPr>
          <w:rFonts w:cs="Times New Roman"/>
          <w:szCs w:val="24"/>
        </w:rPr>
        <w:t>, na Tabela 6</w:t>
      </w:r>
      <w:r w:rsidRPr="00AD6C54">
        <w:rPr>
          <w:rFonts w:cs="Times New Roman"/>
          <w:szCs w:val="24"/>
        </w:rPr>
        <w:t>:</w:t>
      </w:r>
    </w:p>
    <w:p w14:paraId="4C5B4F77" w14:textId="4D0A85D9" w:rsidR="00B12A31" w:rsidRPr="00AD6C54" w:rsidRDefault="00B12A31" w:rsidP="00382A53">
      <w:pPr>
        <w:rPr>
          <w:rFonts w:cs="Times New Roman"/>
          <w:szCs w:val="24"/>
        </w:rPr>
      </w:pPr>
    </w:p>
    <w:p w14:paraId="3464FB82" w14:textId="360534A0" w:rsidR="00B12A31" w:rsidRPr="00AD6C54" w:rsidRDefault="00B12A31" w:rsidP="00795A5D">
      <w:pPr>
        <w:spacing w:line="240" w:lineRule="auto"/>
        <w:ind w:firstLine="0"/>
        <w:jc w:val="center"/>
        <w:rPr>
          <w:rFonts w:cs="Times New Roman"/>
          <w:sz w:val="20"/>
          <w:szCs w:val="20"/>
        </w:rPr>
      </w:pPr>
      <w:r w:rsidRPr="00AD6C54">
        <w:rPr>
          <w:rFonts w:cs="Times New Roman"/>
          <w:b/>
          <w:bCs/>
          <w:sz w:val="20"/>
          <w:szCs w:val="20"/>
        </w:rPr>
        <w:t>Tabela 6</w:t>
      </w:r>
      <w:r w:rsidRPr="00AD6C54">
        <w:rPr>
          <w:rFonts w:cs="Times New Roman"/>
          <w:sz w:val="20"/>
          <w:szCs w:val="20"/>
        </w:rPr>
        <w:t xml:space="preserve"> – Correlação (r) entre </w:t>
      </w:r>
      <w:proofErr w:type="spellStart"/>
      <w:r w:rsidRPr="00AD6C54">
        <w:rPr>
          <w:rFonts w:cs="Times New Roman"/>
          <w:sz w:val="20"/>
          <w:szCs w:val="20"/>
        </w:rPr>
        <w:t>iGG</w:t>
      </w:r>
      <w:proofErr w:type="spellEnd"/>
      <w:r w:rsidRPr="00AD6C54">
        <w:rPr>
          <w:rFonts w:cs="Times New Roman"/>
          <w:sz w:val="20"/>
          <w:szCs w:val="20"/>
        </w:rPr>
        <w:t xml:space="preserve"> 2018 e IGC 2017, com IFES separadas conforme receita bruta</w:t>
      </w:r>
    </w:p>
    <w:tbl>
      <w:tblPr>
        <w:tblStyle w:val="TabelaSimples2"/>
        <w:tblW w:w="0" w:type="auto"/>
        <w:jc w:val="center"/>
        <w:tblLook w:val="06A0" w:firstRow="1" w:lastRow="0" w:firstColumn="1" w:lastColumn="0" w:noHBand="1" w:noVBand="1"/>
      </w:tblPr>
      <w:tblGrid>
        <w:gridCol w:w="3402"/>
        <w:gridCol w:w="3930"/>
        <w:gridCol w:w="222"/>
      </w:tblGrid>
      <w:tr w:rsidR="00C40EEF" w:rsidRPr="00AD6C54" w14:paraId="41A9EF97" w14:textId="2F1A9693" w:rsidTr="00C40EEF">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4854ECC2" w14:textId="77777777" w:rsidR="00C40EEF" w:rsidRPr="00AD6C54" w:rsidRDefault="00C40EEF" w:rsidP="00795A5D">
            <w:pPr>
              <w:spacing w:line="240" w:lineRule="auto"/>
              <w:ind w:firstLine="0"/>
              <w:jc w:val="center"/>
              <w:rPr>
                <w:rFonts w:eastAsia="Times New Roman" w:cs="Times New Roman"/>
                <w:sz w:val="20"/>
                <w:szCs w:val="20"/>
                <w:lang w:eastAsia="pt-BR"/>
              </w:rPr>
            </w:pPr>
          </w:p>
        </w:tc>
        <w:tc>
          <w:tcPr>
            <w:tcW w:w="3930" w:type="dxa"/>
            <w:noWrap/>
            <w:vAlign w:val="center"/>
            <w:hideMark/>
          </w:tcPr>
          <w:p w14:paraId="7D0B9D99"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 xml:space="preserve">Correlação (r) entre </w:t>
            </w:r>
            <w:proofErr w:type="spellStart"/>
            <w:r w:rsidRPr="00AD6C54">
              <w:rPr>
                <w:rFonts w:eastAsia="Times New Roman" w:cs="Times New Roman"/>
                <w:sz w:val="20"/>
                <w:szCs w:val="20"/>
                <w:lang w:eastAsia="pt-BR"/>
              </w:rPr>
              <w:t>iGG</w:t>
            </w:r>
            <w:proofErr w:type="spellEnd"/>
            <w:r w:rsidRPr="00AD6C54">
              <w:rPr>
                <w:rFonts w:eastAsia="Times New Roman" w:cs="Times New Roman"/>
                <w:sz w:val="20"/>
                <w:szCs w:val="20"/>
                <w:lang w:eastAsia="pt-BR"/>
              </w:rPr>
              <w:t xml:space="preserve"> 2018 e IGC 2017</w:t>
            </w:r>
          </w:p>
        </w:tc>
        <w:tc>
          <w:tcPr>
            <w:tcW w:w="0" w:type="auto"/>
          </w:tcPr>
          <w:p w14:paraId="2A0F4B9D"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
        </w:tc>
      </w:tr>
      <w:tr w:rsidR="00C40EEF" w:rsidRPr="00AD6C54" w14:paraId="6C9F6BF3" w14:textId="32E272B0" w:rsidTr="00C40EEF">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2F595B2F" w14:textId="77777777" w:rsidR="00C40EEF" w:rsidRPr="00AD6C54" w:rsidRDefault="00C40EE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Grupo 1 (maiores receitas)</w:t>
            </w:r>
          </w:p>
        </w:tc>
        <w:tc>
          <w:tcPr>
            <w:tcW w:w="3930" w:type="dxa"/>
            <w:noWrap/>
            <w:vAlign w:val="center"/>
            <w:hideMark/>
          </w:tcPr>
          <w:p w14:paraId="120BE00F"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0,13</w:t>
            </w:r>
          </w:p>
        </w:tc>
        <w:tc>
          <w:tcPr>
            <w:tcW w:w="0" w:type="auto"/>
          </w:tcPr>
          <w:p w14:paraId="345697A4"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
        </w:tc>
      </w:tr>
      <w:tr w:rsidR="00C40EEF" w:rsidRPr="00AD6C54" w14:paraId="30FAA5F4" w14:textId="468C25B7" w:rsidTr="00C40EEF">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3AFD3493" w14:textId="77777777" w:rsidR="00C40EEF" w:rsidRPr="00AD6C54" w:rsidRDefault="00C40EE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Grupo 2 (receitas intermediárias 1)</w:t>
            </w:r>
          </w:p>
        </w:tc>
        <w:tc>
          <w:tcPr>
            <w:tcW w:w="3930" w:type="dxa"/>
            <w:noWrap/>
            <w:vAlign w:val="center"/>
            <w:hideMark/>
          </w:tcPr>
          <w:p w14:paraId="1ED6C971"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0,19</w:t>
            </w:r>
          </w:p>
        </w:tc>
        <w:tc>
          <w:tcPr>
            <w:tcW w:w="0" w:type="auto"/>
          </w:tcPr>
          <w:p w14:paraId="098FAB42"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
        </w:tc>
      </w:tr>
      <w:tr w:rsidR="00C40EEF" w:rsidRPr="00AD6C54" w14:paraId="40F664FB" w14:textId="2ACB6F8F" w:rsidTr="00C40EEF">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1ABD5A6F" w14:textId="77777777" w:rsidR="00C40EEF" w:rsidRPr="00AD6C54" w:rsidRDefault="00C40EE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Grupo 3 (receitas intermediárias 2)</w:t>
            </w:r>
          </w:p>
        </w:tc>
        <w:tc>
          <w:tcPr>
            <w:tcW w:w="3930" w:type="dxa"/>
            <w:noWrap/>
            <w:vAlign w:val="center"/>
            <w:hideMark/>
          </w:tcPr>
          <w:p w14:paraId="6D43112A"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0,47</w:t>
            </w:r>
          </w:p>
        </w:tc>
        <w:tc>
          <w:tcPr>
            <w:tcW w:w="0" w:type="auto"/>
          </w:tcPr>
          <w:p w14:paraId="5983844F"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
        </w:tc>
      </w:tr>
      <w:tr w:rsidR="00C40EEF" w:rsidRPr="00AD6C54" w14:paraId="0F20BB14" w14:textId="15BD14B8" w:rsidTr="00C40EEF">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478CBA3D" w14:textId="77777777" w:rsidR="00C40EEF" w:rsidRPr="00AD6C54" w:rsidRDefault="00C40EE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Grupo 4 (menores receitas)</w:t>
            </w:r>
          </w:p>
        </w:tc>
        <w:tc>
          <w:tcPr>
            <w:tcW w:w="3930" w:type="dxa"/>
            <w:noWrap/>
            <w:vAlign w:val="center"/>
            <w:hideMark/>
          </w:tcPr>
          <w:p w14:paraId="7CD193D1"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-0,15</w:t>
            </w:r>
          </w:p>
        </w:tc>
        <w:tc>
          <w:tcPr>
            <w:tcW w:w="0" w:type="auto"/>
          </w:tcPr>
          <w:p w14:paraId="11D090EB"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
        </w:tc>
      </w:tr>
      <w:tr w:rsidR="00C40EEF" w:rsidRPr="00AD6C54" w14:paraId="18AC3069" w14:textId="1721910C" w:rsidTr="00C40EEF">
        <w:trPr>
          <w:cnfStyle w:val="100000000000" w:firstRow="1" w:lastRow="0" w:firstColumn="0" w:lastColumn="0" w:oddVBand="0" w:evenVBand="0" w:oddHBand="0" w:evenHBand="0" w:firstRowFirstColumn="0" w:firstRowLastColumn="0" w:lastRowFirstColumn="0" w:lastRowLastColumn="0"/>
          <w:trHeight w:val="310"/>
          <w:tblHeader/>
          <w:jc w:val="center"/>
        </w:trPr>
        <w:tc>
          <w:tcPr>
            <w:cnfStyle w:val="001000000000" w:firstRow="0" w:lastRow="0" w:firstColumn="1" w:lastColumn="0" w:oddVBand="0" w:evenVBand="0" w:oddHBand="0" w:evenHBand="0" w:firstRowFirstColumn="0" w:firstRowLastColumn="0" w:lastRowFirstColumn="0" w:lastRowLastColumn="0"/>
            <w:tcW w:w="3402" w:type="dxa"/>
            <w:noWrap/>
            <w:vAlign w:val="center"/>
            <w:hideMark/>
          </w:tcPr>
          <w:p w14:paraId="75B5B55F" w14:textId="135C6D93" w:rsidR="00C40EEF" w:rsidRPr="00AD6C54" w:rsidRDefault="00C40EEF"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Subgrupo receitas intermediárias 1 e 2</w:t>
            </w:r>
          </w:p>
        </w:tc>
        <w:tc>
          <w:tcPr>
            <w:tcW w:w="3930" w:type="dxa"/>
            <w:noWrap/>
            <w:vAlign w:val="center"/>
            <w:hideMark/>
          </w:tcPr>
          <w:p w14:paraId="56FBE5D0"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0,32</w:t>
            </w:r>
          </w:p>
        </w:tc>
        <w:tc>
          <w:tcPr>
            <w:tcW w:w="0" w:type="auto"/>
          </w:tcPr>
          <w:p w14:paraId="7DC6421C" w14:textId="77777777" w:rsidR="00C40EEF" w:rsidRPr="00AD6C54" w:rsidRDefault="00C40EEF"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
        </w:tc>
      </w:tr>
    </w:tbl>
    <w:p w14:paraId="7164B9C4" w14:textId="342C2B26" w:rsidR="00B12A31" w:rsidRPr="00AD6C54" w:rsidRDefault="00B12A31" w:rsidP="00795A5D">
      <w:pPr>
        <w:spacing w:line="240" w:lineRule="auto"/>
        <w:ind w:firstLine="0"/>
        <w:jc w:val="center"/>
        <w:rPr>
          <w:rFonts w:cs="Times New Roman"/>
          <w:sz w:val="20"/>
          <w:szCs w:val="20"/>
        </w:rPr>
      </w:pPr>
      <w:r w:rsidRPr="00AD6C54">
        <w:rPr>
          <w:rFonts w:cs="Times New Roman"/>
          <w:sz w:val="20"/>
          <w:szCs w:val="20"/>
        </w:rPr>
        <w:t>Fonte: Elaborad</w:t>
      </w:r>
      <w:r w:rsidR="00E82D42">
        <w:rPr>
          <w:rFonts w:cs="Times New Roman"/>
          <w:sz w:val="20"/>
          <w:szCs w:val="20"/>
        </w:rPr>
        <w:t>a</w:t>
      </w:r>
      <w:r w:rsidRPr="00AD6C54">
        <w:rPr>
          <w:rFonts w:cs="Times New Roman"/>
          <w:sz w:val="20"/>
          <w:szCs w:val="20"/>
        </w:rPr>
        <w:t xml:space="preserve"> pelo autor com base em MEC, 2017 e TCU, 2018</w:t>
      </w:r>
    </w:p>
    <w:p w14:paraId="51E83610" w14:textId="77777777" w:rsidR="00B12A31" w:rsidRPr="00AD6C54" w:rsidRDefault="00B12A31" w:rsidP="00382A53">
      <w:pPr>
        <w:rPr>
          <w:rFonts w:cs="Times New Roman"/>
          <w:szCs w:val="24"/>
        </w:rPr>
      </w:pPr>
    </w:p>
    <w:p w14:paraId="5B95AEC1" w14:textId="1B8B48F6" w:rsidR="005D0BB2" w:rsidRDefault="003205D3" w:rsidP="001902E7">
      <w:pPr>
        <w:rPr>
          <w:rFonts w:cs="Times New Roman"/>
          <w:szCs w:val="24"/>
        </w:rPr>
      </w:pPr>
      <w:r w:rsidRPr="00AD6C54">
        <w:rPr>
          <w:rFonts w:cs="Times New Roman"/>
          <w:szCs w:val="24"/>
        </w:rPr>
        <w:t>Ao se observar as instituições conforme receita bruta, verifica</w:t>
      </w:r>
      <w:r w:rsidR="00DC3894" w:rsidRPr="00AD6C54">
        <w:rPr>
          <w:rFonts w:cs="Times New Roman"/>
          <w:szCs w:val="24"/>
        </w:rPr>
        <w:t>m</w:t>
      </w:r>
      <w:r w:rsidRPr="00AD6C54">
        <w:rPr>
          <w:rFonts w:cs="Times New Roman"/>
          <w:szCs w:val="24"/>
        </w:rPr>
        <w:t xml:space="preserve">-se cenários diferentes para cada grupo. Observa-se que os grupos extremos (1 e 4), com muito ou pouco recursos, apresentaram menores níveis de dependência entre as variáveis, em alguns casos, apresentando índices inclusive negativos. Já os grupos medianos (2 e 3) foram os que apresentaram maiores </w:t>
      </w:r>
      <w:r w:rsidR="00760831" w:rsidRPr="00AD6C54">
        <w:rPr>
          <w:rFonts w:cs="Times New Roman"/>
          <w:szCs w:val="24"/>
        </w:rPr>
        <w:t>graus</w:t>
      </w:r>
      <w:r w:rsidRPr="00AD6C54">
        <w:rPr>
          <w:rFonts w:cs="Times New Roman"/>
          <w:szCs w:val="24"/>
        </w:rPr>
        <w:t xml:space="preserve"> de relação entre si, com destaque ao grupo 3. Tais fatores podem levar a crer que os esforços envidados em boas práticas de gestão foram maiores diferenciais principalmente </w:t>
      </w:r>
      <w:r w:rsidR="00DC3894" w:rsidRPr="00AD6C54">
        <w:rPr>
          <w:rFonts w:cs="Times New Roman"/>
          <w:szCs w:val="24"/>
        </w:rPr>
        <w:t>às I</w:t>
      </w:r>
      <w:r w:rsidR="00760831" w:rsidRPr="00AD6C54">
        <w:rPr>
          <w:rFonts w:cs="Times New Roman"/>
          <w:szCs w:val="24"/>
        </w:rPr>
        <w:t>F</w:t>
      </w:r>
      <w:r w:rsidR="00DC3894" w:rsidRPr="00AD6C54">
        <w:rPr>
          <w:rFonts w:cs="Times New Roman"/>
          <w:szCs w:val="24"/>
        </w:rPr>
        <w:t xml:space="preserve">ES onde a receita influenciou em menor </w:t>
      </w:r>
      <w:r w:rsidR="00760831" w:rsidRPr="00AD6C54">
        <w:rPr>
          <w:rFonts w:cs="Times New Roman"/>
          <w:szCs w:val="24"/>
        </w:rPr>
        <w:t>grau</w:t>
      </w:r>
      <w:r w:rsidR="00DC3894" w:rsidRPr="00AD6C54">
        <w:rPr>
          <w:rFonts w:cs="Times New Roman"/>
          <w:szCs w:val="24"/>
        </w:rPr>
        <w:t xml:space="preserve"> nos resultados registrados pelas instituições no IGC do MEC. Tal afirmação </w:t>
      </w:r>
      <w:r w:rsidR="00760831" w:rsidRPr="00AD6C54">
        <w:rPr>
          <w:rFonts w:cs="Times New Roman"/>
          <w:szCs w:val="24"/>
        </w:rPr>
        <w:t>é</w:t>
      </w:r>
      <w:r w:rsidR="00DC3894" w:rsidRPr="00AD6C54">
        <w:rPr>
          <w:rFonts w:cs="Times New Roman"/>
          <w:szCs w:val="24"/>
        </w:rPr>
        <w:t xml:space="preserve"> r</w:t>
      </w:r>
      <w:r w:rsidR="00760831" w:rsidRPr="00AD6C54">
        <w:rPr>
          <w:rFonts w:cs="Times New Roman"/>
          <w:szCs w:val="24"/>
        </w:rPr>
        <w:t>a</w:t>
      </w:r>
      <w:r w:rsidR="00DC3894" w:rsidRPr="00AD6C54">
        <w:rPr>
          <w:rFonts w:cs="Times New Roman"/>
          <w:szCs w:val="24"/>
        </w:rPr>
        <w:t>tifica</w:t>
      </w:r>
      <w:r w:rsidR="00760831" w:rsidRPr="00AD6C54">
        <w:rPr>
          <w:rFonts w:cs="Times New Roman"/>
          <w:szCs w:val="24"/>
        </w:rPr>
        <w:t>da</w:t>
      </w:r>
      <w:r w:rsidR="00DC3894" w:rsidRPr="00AD6C54">
        <w:rPr>
          <w:rFonts w:cs="Times New Roman"/>
          <w:szCs w:val="24"/>
        </w:rPr>
        <w:t xml:space="preserve"> ao se analisar o </w:t>
      </w:r>
      <w:r w:rsidR="00A96ECE" w:rsidRPr="00AD6C54">
        <w:rPr>
          <w:rFonts w:cs="Times New Roman"/>
          <w:szCs w:val="24"/>
        </w:rPr>
        <w:t>subgrupo</w:t>
      </w:r>
      <w:r w:rsidR="00DC3894" w:rsidRPr="00AD6C54">
        <w:rPr>
          <w:rFonts w:cs="Times New Roman"/>
          <w:szCs w:val="24"/>
        </w:rPr>
        <w:t xml:space="preserve"> formado pelas I</w:t>
      </w:r>
      <w:r w:rsidR="00760831" w:rsidRPr="00AD6C54">
        <w:rPr>
          <w:rFonts w:cs="Times New Roman"/>
          <w:szCs w:val="24"/>
        </w:rPr>
        <w:t>F</w:t>
      </w:r>
      <w:r w:rsidR="00DC3894" w:rsidRPr="00AD6C54">
        <w:rPr>
          <w:rFonts w:cs="Times New Roman"/>
          <w:szCs w:val="24"/>
        </w:rPr>
        <w:t>ES integrantes dos grupos 2 e 3, que manteve resultado de dependência parecido entre as variáveis.</w:t>
      </w:r>
    </w:p>
    <w:p w14:paraId="682625A6" w14:textId="64F30F0F" w:rsidR="008A12EF" w:rsidRPr="00AD6C54" w:rsidRDefault="001D2B7A" w:rsidP="00382A53">
      <w:r w:rsidRPr="00AD6C54">
        <w:rPr>
          <w:rFonts w:cs="Times New Roman"/>
          <w:szCs w:val="24"/>
        </w:rPr>
        <w:t xml:space="preserve">Ainda, </w:t>
      </w:r>
      <w:r w:rsidR="00760831" w:rsidRPr="00AD6C54">
        <w:rPr>
          <w:rFonts w:cs="Times New Roman"/>
          <w:szCs w:val="24"/>
        </w:rPr>
        <w:t xml:space="preserve">tendo em vista que </w:t>
      </w:r>
      <w:r w:rsidRPr="00AD6C54">
        <w:rPr>
          <w:rFonts w:cs="Times New Roman"/>
          <w:szCs w:val="24"/>
        </w:rPr>
        <w:t xml:space="preserve">os escores </w:t>
      </w:r>
      <w:r w:rsidR="00760831" w:rsidRPr="00AD6C54">
        <w:rPr>
          <w:rFonts w:cs="Times New Roman"/>
          <w:szCs w:val="24"/>
        </w:rPr>
        <w:t>apresentados</w:t>
      </w:r>
      <w:r w:rsidRPr="00AD6C54">
        <w:rPr>
          <w:rFonts w:cs="Times New Roman"/>
          <w:szCs w:val="24"/>
        </w:rPr>
        <w:t xml:space="preserve"> no </w:t>
      </w:r>
      <w:proofErr w:type="spellStart"/>
      <w:r w:rsidR="00760831" w:rsidRPr="00AD6C54">
        <w:rPr>
          <w:rFonts w:cs="Times New Roman"/>
          <w:szCs w:val="24"/>
        </w:rPr>
        <w:t>iGG</w:t>
      </w:r>
      <w:proofErr w:type="spellEnd"/>
      <w:r w:rsidRPr="00AD6C54">
        <w:rPr>
          <w:rFonts w:cs="Times New Roman"/>
          <w:szCs w:val="24"/>
        </w:rPr>
        <w:t xml:space="preserve"> </w:t>
      </w:r>
      <w:r w:rsidR="00760831" w:rsidRPr="00AD6C54">
        <w:rPr>
          <w:rFonts w:cs="Times New Roman"/>
          <w:szCs w:val="24"/>
        </w:rPr>
        <w:t>levam em consideração</w:t>
      </w:r>
      <w:r w:rsidRPr="00AD6C54">
        <w:rPr>
          <w:rFonts w:cs="Times New Roman"/>
          <w:szCs w:val="24"/>
        </w:rPr>
        <w:t xml:space="preserve"> diversos aspectos de governança, </w:t>
      </w:r>
      <w:r w:rsidR="008A12EF" w:rsidRPr="00AD6C54">
        <w:rPr>
          <w:rFonts w:cs="Times New Roman"/>
          <w:szCs w:val="24"/>
        </w:rPr>
        <w:t>anteriormente mencionados no embasamento teórico deste artigo, conclui-se que algumas práticas separadamente avaliadas podem se correlacionar em maior ou menor grau</w:t>
      </w:r>
      <w:r w:rsidRPr="00AD6C54">
        <w:t xml:space="preserve"> </w:t>
      </w:r>
      <w:r w:rsidR="008A12EF" w:rsidRPr="00AD6C54">
        <w:t xml:space="preserve">com o resultado do IGC. </w:t>
      </w:r>
      <w:r w:rsidRPr="00AD6C54">
        <w:t xml:space="preserve">No sentido de se evidenciar </w:t>
      </w:r>
      <w:r w:rsidR="008A12EF" w:rsidRPr="00AD6C54">
        <w:t xml:space="preserve">os </w:t>
      </w:r>
      <w:r w:rsidRPr="00AD6C54">
        <w:t>fatores de governança</w:t>
      </w:r>
      <w:r w:rsidR="008A12EF" w:rsidRPr="00AD6C54">
        <w:t xml:space="preserve"> com maior força de associação com o produto de avaliação do MEC</w:t>
      </w:r>
      <w:r w:rsidRPr="00AD6C54">
        <w:t xml:space="preserve">, foi efetuada análise de correlação entre todos os itens do questionamento e os escores das instituições. </w:t>
      </w:r>
    </w:p>
    <w:p w14:paraId="044E5E00" w14:textId="194D26A5" w:rsidR="00E008A5" w:rsidRPr="00AD6C54" w:rsidRDefault="00E008A5" w:rsidP="00382A53">
      <w:r w:rsidRPr="00AD6C54">
        <w:t>De acordo com Cohen (1998</w:t>
      </w:r>
      <w:r w:rsidR="00355526" w:rsidRPr="00AD6C54">
        <w:t>, apud FIGUEIREDO FILHO e SILVA JUNIOR, 2009, p.5), resultados de correlação “entre 0,10 e 0,29 podem ser considerados pequenos; escores entre 0,30 e 0,49 podem ser considerados como médios; e valores entre 0,50 e 1 podem ser interpretados como grandes”. Des</w:t>
      </w:r>
      <w:r w:rsidR="003F7061">
        <w:t>s</w:t>
      </w:r>
      <w:r w:rsidR="00355526" w:rsidRPr="00AD6C54">
        <w:t xml:space="preserve">a forma, foram agrupadas as práticas com resultados de </w:t>
      </w:r>
      <w:r w:rsidR="00355526" w:rsidRPr="00AD6C54">
        <w:rPr>
          <w:i/>
          <w:iCs/>
        </w:rPr>
        <w:t xml:space="preserve">r </w:t>
      </w:r>
      <w:r w:rsidR="00355526" w:rsidRPr="00AD6C54">
        <w:t>de pelo menos 0,30.</w:t>
      </w:r>
    </w:p>
    <w:p w14:paraId="781D6F26" w14:textId="44E3CF64" w:rsidR="001D2B7A" w:rsidRPr="00AD6C54" w:rsidRDefault="00E008A5" w:rsidP="00382A53">
      <w:r w:rsidRPr="00AD6C54">
        <w:t xml:space="preserve">Considerando a estrutura dos questionamentos de </w:t>
      </w:r>
      <w:r w:rsidR="00266627" w:rsidRPr="00AD6C54">
        <w:t>autoavaliação</w:t>
      </w:r>
      <w:r w:rsidRPr="00AD6C54">
        <w:t xml:space="preserve"> aplicados pelo TCU, algumas </w:t>
      </w:r>
      <w:r w:rsidR="008A12EF" w:rsidRPr="00AD6C54">
        <w:t>questões se repetem</w:t>
      </w:r>
      <w:r w:rsidR="002D2DBE" w:rsidRPr="00AD6C54">
        <w:t xml:space="preserve"> nos variados aspectos de governança avaliados</w:t>
      </w:r>
      <w:r w:rsidR="00355526" w:rsidRPr="00AD6C54">
        <w:t xml:space="preserve">. Ainda, </w:t>
      </w:r>
      <w:r w:rsidR="002D2DBE" w:rsidRPr="00AD6C54">
        <w:t>as perguntas foram reproduzidas nos anos avaliados</w:t>
      </w:r>
      <w:r w:rsidR="00355526" w:rsidRPr="00AD6C54">
        <w:t xml:space="preserve">. </w:t>
      </w:r>
      <w:r w:rsidR="003C3EF1">
        <w:t>Assim</w:t>
      </w:r>
      <w:r w:rsidR="00355526" w:rsidRPr="00AD6C54">
        <w:t xml:space="preserve">, segue </w:t>
      </w:r>
      <w:r w:rsidR="008A12EF" w:rsidRPr="00AD6C54">
        <w:t>tabela</w:t>
      </w:r>
      <w:r w:rsidR="00355526" w:rsidRPr="00AD6C54">
        <w:t xml:space="preserve"> detalhando as </w:t>
      </w:r>
      <w:r w:rsidR="002D2DBE" w:rsidRPr="00AD6C54">
        <w:t>indagações</w:t>
      </w:r>
      <w:r w:rsidR="00355526" w:rsidRPr="00AD6C54">
        <w:t xml:space="preserve"> que se encaixaram no quesito de correlação </w:t>
      </w:r>
      <w:r w:rsidR="002D2DBE" w:rsidRPr="00AD6C54">
        <w:t xml:space="preserve">com o IGC </w:t>
      </w:r>
      <w:r w:rsidR="00355526" w:rsidRPr="00AD6C54">
        <w:t>maior que 0,30, bem como a quantidade de ocorrências e o detalhamento da prática</w:t>
      </w:r>
      <w:r w:rsidR="002D2DBE" w:rsidRPr="00AD6C54">
        <w:t>, com fundamento em BRASIL (2019)</w:t>
      </w:r>
      <w:r w:rsidR="00084349">
        <w:t>, no Quadro 1</w:t>
      </w:r>
      <w:r w:rsidR="00355526" w:rsidRPr="00AD6C54">
        <w:t>:</w:t>
      </w:r>
    </w:p>
    <w:p w14:paraId="5EBD839C" w14:textId="28704026" w:rsidR="00355526" w:rsidRPr="00AD6C54" w:rsidRDefault="00355526" w:rsidP="00382A53">
      <w:pPr>
        <w:rPr>
          <w:rFonts w:cs="Times New Roman"/>
          <w:szCs w:val="24"/>
        </w:rPr>
      </w:pPr>
    </w:p>
    <w:p w14:paraId="0CE418C9" w14:textId="17FCD6EF" w:rsidR="00B12A31" w:rsidRPr="00AD6C54" w:rsidRDefault="00084349" w:rsidP="00795A5D">
      <w:pPr>
        <w:spacing w:line="240" w:lineRule="auto"/>
        <w:ind w:firstLine="0"/>
        <w:jc w:val="center"/>
        <w:rPr>
          <w:rFonts w:cs="Times New Roman"/>
          <w:sz w:val="20"/>
          <w:szCs w:val="20"/>
        </w:rPr>
      </w:pPr>
      <w:r>
        <w:rPr>
          <w:rFonts w:cs="Times New Roman"/>
          <w:b/>
          <w:bCs/>
          <w:sz w:val="20"/>
          <w:szCs w:val="20"/>
        </w:rPr>
        <w:lastRenderedPageBreak/>
        <w:t xml:space="preserve">Quadro </w:t>
      </w:r>
      <w:r w:rsidR="006856F1">
        <w:rPr>
          <w:rFonts w:cs="Times New Roman"/>
          <w:b/>
          <w:bCs/>
          <w:sz w:val="20"/>
          <w:szCs w:val="20"/>
        </w:rPr>
        <w:t>2</w:t>
      </w:r>
      <w:r w:rsidR="00B12A31" w:rsidRPr="00AD6C54">
        <w:rPr>
          <w:rFonts w:cs="Times New Roman"/>
          <w:sz w:val="20"/>
          <w:szCs w:val="20"/>
        </w:rPr>
        <w:t xml:space="preserve"> – Quantidade de observações de correlação (r) maior que 0,30 por questão do TCU</w:t>
      </w:r>
    </w:p>
    <w:tbl>
      <w:tblPr>
        <w:tblStyle w:val="TabelaSimples2"/>
        <w:tblW w:w="9072" w:type="dxa"/>
        <w:tblLook w:val="06A0" w:firstRow="1" w:lastRow="0" w:firstColumn="1" w:lastColumn="0" w:noHBand="1" w:noVBand="1"/>
      </w:tblPr>
      <w:tblGrid>
        <w:gridCol w:w="1418"/>
        <w:gridCol w:w="1559"/>
        <w:gridCol w:w="6095"/>
      </w:tblGrid>
      <w:tr w:rsidR="0078270E" w:rsidRPr="00AD6C54" w14:paraId="44AF262D" w14:textId="77777777" w:rsidTr="00B12A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5701635B" w14:textId="58595CB9" w:rsidR="00120323" w:rsidRPr="00AD6C54" w:rsidRDefault="00120323"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 xml:space="preserve">Cód. </w:t>
            </w:r>
            <w:r w:rsidR="002D2DBE" w:rsidRPr="00AD6C54">
              <w:rPr>
                <w:rFonts w:eastAsia="Times New Roman" w:cs="Times New Roman"/>
                <w:sz w:val="20"/>
                <w:szCs w:val="20"/>
                <w:lang w:eastAsia="pt-BR"/>
              </w:rPr>
              <w:t>Questão</w:t>
            </w:r>
          </w:p>
        </w:tc>
        <w:tc>
          <w:tcPr>
            <w:tcW w:w="1559" w:type="dxa"/>
            <w:noWrap/>
            <w:vAlign w:val="center"/>
            <w:hideMark/>
          </w:tcPr>
          <w:p w14:paraId="6B4D72C5" w14:textId="77777777" w:rsidR="00120323" w:rsidRPr="00AD6C54" w:rsidRDefault="00120323"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roofErr w:type="spellStart"/>
            <w:r w:rsidRPr="00AD6C54">
              <w:rPr>
                <w:rFonts w:eastAsia="Times New Roman" w:cs="Times New Roman"/>
                <w:sz w:val="20"/>
                <w:szCs w:val="20"/>
                <w:lang w:eastAsia="pt-BR"/>
              </w:rPr>
              <w:t>Qtde</w:t>
            </w:r>
            <w:proofErr w:type="spellEnd"/>
            <w:r w:rsidRPr="00AD6C54">
              <w:rPr>
                <w:rFonts w:eastAsia="Times New Roman" w:cs="Times New Roman"/>
                <w:sz w:val="20"/>
                <w:szCs w:val="20"/>
                <w:lang w:eastAsia="pt-BR"/>
              </w:rPr>
              <w:t>. (r) &gt; 0,30</w:t>
            </w:r>
          </w:p>
        </w:tc>
        <w:tc>
          <w:tcPr>
            <w:tcW w:w="6095" w:type="dxa"/>
            <w:noWrap/>
            <w:vAlign w:val="center"/>
            <w:hideMark/>
          </w:tcPr>
          <w:p w14:paraId="1538F22B" w14:textId="5EF704F0" w:rsidR="00120323" w:rsidRPr="00AD6C54" w:rsidRDefault="002D2DBE"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Questão</w:t>
            </w:r>
          </w:p>
        </w:tc>
      </w:tr>
      <w:tr w:rsidR="0078270E" w:rsidRPr="00AD6C54" w14:paraId="6375CEC2" w14:textId="77777777" w:rsidTr="00B12A31">
        <w:trPr>
          <w:trHeight w:val="9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0E585BED" w14:textId="77777777" w:rsidR="00120323" w:rsidRPr="00AD6C54" w:rsidRDefault="00120323"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4172</w:t>
            </w:r>
          </w:p>
        </w:tc>
        <w:tc>
          <w:tcPr>
            <w:tcW w:w="1559" w:type="dxa"/>
            <w:noWrap/>
            <w:vAlign w:val="center"/>
            <w:hideMark/>
          </w:tcPr>
          <w:p w14:paraId="6ECB42D3"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11</w:t>
            </w:r>
          </w:p>
        </w:tc>
        <w:tc>
          <w:tcPr>
            <w:tcW w:w="6095" w:type="dxa"/>
            <w:vAlign w:val="center"/>
            <w:hideMark/>
          </w:tcPr>
          <w:p w14:paraId="06CF8D8B"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A organização realiza formalmente a avaliação de desempenho individual, com atribuição de nota ou conceito, tendo como critério de avaliação o alcance das metas previstas no plano da unidade</w:t>
            </w:r>
          </w:p>
        </w:tc>
      </w:tr>
      <w:tr w:rsidR="0078270E" w:rsidRPr="00AD6C54" w14:paraId="6B55D4E0" w14:textId="77777777" w:rsidTr="00B12A31">
        <w:trPr>
          <w:trHeight w:val="9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3989CA55" w14:textId="77777777" w:rsidR="00120323" w:rsidRPr="00AD6C54" w:rsidRDefault="00120323"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4183</w:t>
            </w:r>
          </w:p>
        </w:tc>
        <w:tc>
          <w:tcPr>
            <w:tcW w:w="1559" w:type="dxa"/>
            <w:noWrap/>
            <w:vAlign w:val="center"/>
            <w:hideMark/>
          </w:tcPr>
          <w:p w14:paraId="76240142"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4</w:t>
            </w:r>
          </w:p>
        </w:tc>
        <w:tc>
          <w:tcPr>
            <w:tcW w:w="6095" w:type="dxa"/>
            <w:vAlign w:val="center"/>
            <w:hideMark/>
          </w:tcPr>
          <w:p w14:paraId="5E512DC5"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A organização executa procedimentos estruturados para identificar os motivos pessoais dos pedidos de movimentação dos colaboradores dentro da organização</w:t>
            </w:r>
          </w:p>
        </w:tc>
      </w:tr>
      <w:tr w:rsidR="0078270E" w:rsidRPr="00AD6C54" w14:paraId="72CE379A"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56D48E4F" w14:textId="77777777" w:rsidR="00120323" w:rsidRPr="00AD6C54" w:rsidRDefault="00120323"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4271</w:t>
            </w:r>
          </w:p>
        </w:tc>
        <w:tc>
          <w:tcPr>
            <w:tcW w:w="1559" w:type="dxa"/>
            <w:noWrap/>
            <w:vAlign w:val="center"/>
            <w:hideMark/>
          </w:tcPr>
          <w:p w14:paraId="33644D22"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3</w:t>
            </w:r>
          </w:p>
        </w:tc>
        <w:tc>
          <w:tcPr>
            <w:tcW w:w="6095" w:type="dxa"/>
            <w:vAlign w:val="center"/>
            <w:hideMark/>
          </w:tcPr>
          <w:p w14:paraId="29EFE26D"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A organização executa um processo de software</w:t>
            </w:r>
          </w:p>
        </w:tc>
      </w:tr>
      <w:tr w:rsidR="0078270E" w:rsidRPr="00AD6C54" w14:paraId="16C4F930" w14:textId="77777777" w:rsidTr="00B12A31">
        <w:trPr>
          <w:trHeight w:val="6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6C37FE23" w14:textId="77777777" w:rsidR="00120323" w:rsidRPr="00AD6C54" w:rsidRDefault="00120323"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4180</w:t>
            </w:r>
          </w:p>
        </w:tc>
        <w:tc>
          <w:tcPr>
            <w:tcW w:w="1559" w:type="dxa"/>
            <w:noWrap/>
            <w:vAlign w:val="center"/>
            <w:hideMark/>
          </w:tcPr>
          <w:p w14:paraId="3B1D73D6"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2</w:t>
            </w:r>
          </w:p>
        </w:tc>
        <w:tc>
          <w:tcPr>
            <w:tcW w:w="6095" w:type="dxa"/>
            <w:vAlign w:val="center"/>
            <w:hideMark/>
          </w:tcPr>
          <w:p w14:paraId="73F19A9A"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A organização executa procedimentos estruturados para aumentar a retenção de colaboradores e gestores</w:t>
            </w:r>
          </w:p>
        </w:tc>
      </w:tr>
      <w:tr w:rsidR="0078270E" w:rsidRPr="00AD6C54" w14:paraId="704EB35D" w14:textId="77777777" w:rsidTr="00B12A31">
        <w:trPr>
          <w:trHeight w:val="3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1D986801" w14:textId="77777777" w:rsidR="00120323" w:rsidRPr="00AD6C54" w:rsidRDefault="00120323"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4270</w:t>
            </w:r>
          </w:p>
        </w:tc>
        <w:tc>
          <w:tcPr>
            <w:tcW w:w="1559" w:type="dxa"/>
            <w:noWrap/>
            <w:vAlign w:val="center"/>
            <w:hideMark/>
          </w:tcPr>
          <w:p w14:paraId="7ADA9F5D"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w:t>
            </w:r>
          </w:p>
        </w:tc>
        <w:tc>
          <w:tcPr>
            <w:tcW w:w="6095" w:type="dxa"/>
            <w:vAlign w:val="center"/>
            <w:hideMark/>
          </w:tcPr>
          <w:p w14:paraId="3020AB0C"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 xml:space="preserve">Executar </w:t>
            </w:r>
            <w:proofErr w:type="spellStart"/>
            <w:r w:rsidRPr="00AD6C54">
              <w:rPr>
                <w:rFonts w:eastAsia="Times New Roman" w:cs="Times New Roman"/>
                <w:sz w:val="20"/>
                <w:szCs w:val="20"/>
                <w:lang w:eastAsia="pt-BR"/>
              </w:rPr>
              <w:t>processo</w:t>
            </w:r>
            <w:proofErr w:type="spellEnd"/>
            <w:r w:rsidRPr="00AD6C54">
              <w:rPr>
                <w:rFonts w:eastAsia="Times New Roman" w:cs="Times New Roman"/>
                <w:sz w:val="20"/>
                <w:szCs w:val="20"/>
                <w:lang w:eastAsia="pt-BR"/>
              </w:rPr>
              <w:t xml:space="preserve"> de software</w:t>
            </w:r>
          </w:p>
        </w:tc>
      </w:tr>
      <w:tr w:rsidR="0078270E" w:rsidRPr="00AD6C54" w14:paraId="60529883" w14:textId="77777777" w:rsidTr="00B12A31">
        <w:trPr>
          <w:trHeight w:val="6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1643E5FB" w14:textId="77777777" w:rsidR="00120323" w:rsidRPr="00AD6C54" w:rsidRDefault="00120323"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4170</w:t>
            </w:r>
          </w:p>
        </w:tc>
        <w:tc>
          <w:tcPr>
            <w:tcW w:w="1559" w:type="dxa"/>
            <w:noWrap/>
            <w:vAlign w:val="center"/>
            <w:hideMark/>
          </w:tcPr>
          <w:p w14:paraId="45DA96F0"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1</w:t>
            </w:r>
          </w:p>
        </w:tc>
        <w:tc>
          <w:tcPr>
            <w:tcW w:w="6095" w:type="dxa"/>
            <w:vAlign w:val="center"/>
            <w:hideMark/>
          </w:tcPr>
          <w:p w14:paraId="6DDD5D56" w14:textId="77777777" w:rsidR="00120323" w:rsidRPr="00AD6C54" w:rsidRDefault="00120323" w:rsidP="00795A5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A organização estabelece metas de desempenho individuais e/ou de equipes vinculadas ao plano da unidade.</w:t>
            </w:r>
          </w:p>
        </w:tc>
      </w:tr>
    </w:tbl>
    <w:p w14:paraId="31CF2C39" w14:textId="4BF44853" w:rsidR="00355526" w:rsidRPr="00AD6C54" w:rsidRDefault="00B12A31" w:rsidP="00795A5D">
      <w:pPr>
        <w:spacing w:line="240" w:lineRule="auto"/>
        <w:ind w:firstLine="0"/>
        <w:jc w:val="center"/>
        <w:rPr>
          <w:rFonts w:cs="Times New Roman"/>
          <w:szCs w:val="24"/>
        </w:rPr>
      </w:pPr>
      <w:r w:rsidRPr="00AD6C54">
        <w:rPr>
          <w:rFonts w:cs="Times New Roman"/>
          <w:sz w:val="20"/>
          <w:szCs w:val="20"/>
        </w:rPr>
        <w:t>Fonte: Elaborad</w:t>
      </w:r>
      <w:r w:rsidR="00037A89">
        <w:rPr>
          <w:rFonts w:cs="Times New Roman"/>
          <w:sz w:val="20"/>
          <w:szCs w:val="20"/>
        </w:rPr>
        <w:t>o</w:t>
      </w:r>
      <w:r w:rsidRPr="00AD6C54">
        <w:rPr>
          <w:rFonts w:cs="Times New Roman"/>
          <w:sz w:val="20"/>
          <w:szCs w:val="20"/>
        </w:rPr>
        <w:t xml:space="preserve"> pelo autor com base em MEC, 2016, MEC, 2017, TCU, 2017 e TCU, 2018</w:t>
      </w:r>
    </w:p>
    <w:p w14:paraId="06971E96" w14:textId="77777777" w:rsidR="00B12A31" w:rsidRPr="00AD6C54" w:rsidRDefault="00B12A31" w:rsidP="00382A53">
      <w:pPr>
        <w:rPr>
          <w:rFonts w:cs="Times New Roman"/>
          <w:szCs w:val="24"/>
        </w:rPr>
      </w:pPr>
    </w:p>
    <w:p w14:paraId="00F06E88" w14:textId="3B6C1797" w:rsidR="00355526" w:rsidRPr="00AD6C54" w:rsidRDefault="00EA54E4" w:rsidP="00382A53">
      <w:pPr>
        <w:rPr>
          <w:rFonts w:cs="Times New Roman"/>
          <w:szCs w:val="24"/>
        </w:rPr>
      </w:pPr>
      <w:r w:rsidRPr="00AD6C54">
        <w:rPr>
          <w:rFonts w:cs="Times New Roman"/>
          <w:szCs w:val="24"/>
        </w:rPr>
        <w:t xml:space="preserve">Ao se analisar </w:t>
      </w:r>
      <w:r w:rsidR="00130671" w:rsidRPr="00AD6C54">
        <w:rPr>
          <w:rFonts w:cs="Times New Roman"/>
          <w:szCs w:val="24"/>
        </w:rPr>
        <w:t xml:space="preserve">os itens que mais fortemente apresentaram correlação com o resultado das instituições </w:t>
      </w:r>
      <w:r w:rsidR="004E00CF" w:rsidRPr="00AD6C54">
        <w:rPr>
          <w:rFonts w:cs="Times New Roman"/>
          <w:szCs w:val="24"/>
        </w:rPr>
        <w:t xml:space="preserve">no índice IGC do MEC, </w:t>
      </w:r>
      <w:r w:rsidR="002846CA" w:rsidRPr="00AD6C54">
        <w:rPr>
          <w:rFonts w:cs="Times New Roman"/>
          <w:szCs w:val="24"/>
        </w:rPr>
        <w:t>evidencia-se interess</w:t>
      </w:r>
      <w:r w:rsidR="002D2DBE" w:rsidRPr="00AD6C54">
        <w:rPr>
          <w:rFonts w:cs="Times New Roman"/>
          <w:szCs w:val="24"/>
        </w:rPr>
        <w:t>ant</w:t>
      </w:r>
      <w:r w:rsidR="002846CA" w:rsidRPr="00AD6C54">
        <w:rPr>
          <w:rFonts w:cs="Times New Roman"/>
          <w:szCs w:val="24"/>
        </w:rPr>
        <w:t xml:space="preserve">e constatação, ao se verificar que a maior parte destes está diretamente relacionada à maneira como </w:t>
      </w:r>
      <w:r w:rsidR="00FB4E38">
        <w:rPr>
          <w:rFonts w:cs="Times New Roman"/>
          <w:szCs w:val="24"/>
        </w:rPr>
        <w:t>o</w:t>
      </w:r>
      <w:r w:rsidR="002846CA" w:rsidRPr="00AD6C54">
        <w:rPr>
          <w:rFonts w:cs="Times New Roman"/>
          <w:szCs w:val="24"/>
        </w:rPr>
        <w:t xml:space="preserve">s </w:t>
      </w:r>
      <w:r w:rsidR="005F7883" w:rsidRPr="00AD6C54">
        <w:rPr>
          <w:rFonts w:cs="Times New Roman"/>
          <w:szCs w:val="24"/>
        </w:rPr>
        <w:t>I</w:t>
      </w:r>
      <w:r w:rsidR="00FB4E38">
        <w:rPr>
          <w:rFonts w:cs="Times New Roman"/>
          <w:szCs w:val="24"/>
        </w:rPr>
        <w:t>F</w:t>
      </w:r>
      <w:r w:rsidR="005F7883" w:rsidRPr="00AD6C54">
        <w:rPr>
          <w:rFonts w:cs="Times New Roman"/>
          <w:szCs w:val="24"/>
        </w:rPr>
        <w:t>ES gerem seus recursos humanos. A gestão de pessoas evidentemente se destacou em comparação com os outros elementos agregadores de governanç</w:t>
      </w:r>
      <w:r w:rsidR="002330CD" w:rsidRPr="00AD6C54">
        <w:rPr>
          <w:rFonts w:cs="Times New Roman"/>
          <w:szCs w:val="24"/>
        </w:rPr>
        <w:t xml:space="preserve">a, demonstrando que a capacidade de entrega de resultado </w:t>
      </w:r>
      <w:r w:rsidR="00FF3E50" w:rsidRPr="00AD6C54">
        <w:rPr>
          <w:rFonts w:cs="Times New Roman"/>
          <w:szCs w:val="24"/>
        </w:rPr>
        <w:t>foi influenciada por</w:t>
      </w:r>
      <w:r w:rsidR="005E0C49" w:rsidRPr="00AD6C54">
        <w:rPr>
          <w:rFonts w:cs="Times New Roman"/>
          <w:szCs w:val="24"/>
        </w:rPr>
        <w:t xml:space="preserve"> este agregador.</w:t>
      </w:r>
    </w:p>
    <w:p w14:paraId="58A70BE6" w14:textId="7F5B277D" w:rsidR="002D2DBE" w:rsidRPr="00AD6C54" w:rsidRDefault="002D2DBE" w:rsidP="00382A53">
      <w:pPr>
        <w:rPr>
          <w:rFonts w:cs="Times New Roman"/>
          <w:szCs w:val="24"/>
        </w:rPr>
      </w:pPr>
      <w:r w:rsidRPr="00AD6C54">
        <w:rPr>
          <w:rFonts w:cs="Times New Roman"/>
          <w:szCs w:val="24"/>
        </w:rPr>
        <w:t xml:space="preserve">Conforme referencial de Governança Organizacional, </w:t>
      </w:r>
      <w:r w:rsidR="00DF3AA4" w:rsidRPr="00AD6C54">
        <w:rPr>
          <w:rFonts w:cs="Times New Roman"/>
          <w:szCs w:val="24"/>
        </w:rPr>
        <w:t xml:space="preserve">BRASIL (2019) expõe que </w:t>
      </w:r>
      <w:r w:rsidRPr="00AD6C54">
        <w:rPr>
          <w:rFonts w:cs="Times New Roman"/>
          <w:szCs w:val="24"/>
        </w:rPr>
        <w:t>o conjunto de práticas 417X, se relaciona à maneira como a entidade gere a performance de seus servidores. Já as questões de nível 418X, buscam medir as boas práticas promovidas para manutenção adequada dos profissionais na instituição. Por fim</w:t>
      </w:r>
      <w:r w:rsidR="00DF3AA4" w:rsidRPr="00AD6C54">
        <w:rPr>
          <w:rFonts w:cs="Times New Roman"/>
          <w:szCs w:val="24"/>
        </w:rPr>
        <w:t xml:space="preserve">, as medidas 427X se relacionam à execução de processo de </w:t>
      </w:r>
      <w:r w:rsidR="00DF3AA4" w:rsidRPr="00AD6C54">
        <w:rPr>
          <w:rFonts w:cs="Times New Roman"/>
          <w:i/>
          <w:iCs/>
          <w:szCs w:val="24"/>
        </w:rPr>
        <w:t>software</w:t>
      </w:r>
      <w:r w:rsidR="00DF3AA4" w:rsidRPr="00AD6C54">
        <w:rPr>
          <w:rFonts w:cs="Times New Roman"/>
          <w:szCs w:val="24"/>
        </w:rPr>
        <w:t>, fundamentado no Acórdão TCU 1233/2012, que ensina:</w:t>
      </w:r>
    </w:p>
    <w:p w14:paraId="0E7C51FB" w14:textId="77777777" w:rsidR="00B12A31" w:rsidRPr="00AD6C54" w:rsidRDefault="00B12A31" w:rsidP="00382A53">
      <w:pPr>
        <w:rPr>
          <w:rFonts w:cs="Times New Roman"/>
          <w:szCs w:val="24"/>
        </w:rPr>
      </w:pPr>
    </w:p>
    <w:p w14:paraId="25753F1D" w14:textId="074D30A7" w:rsidR="00DF3AA4" w:rsidRPr="00AD6C54" w:rsidRDefault="00DF3AA4" w:rsidP="00795A5D">
      <w:pPr>
        <w:spacing w:line="240" w:lineRule="auto"/>
        <w:ind w:left="2268" w:firstLine="0"/>
        <w:rPr>
          <w:sz w:val="20"/>
          <w:szCs w:val="20"/>
          <w:lang w:eastAsia="pt-BR"/>
        </w:rPr>
      </w:pPr>
      <w:r w:rsidRPr="00AD6C54">
        <w:rPr>
          <w:sz w:val="20"/>
          <w:szCs w:val="20"/>
          <w:lang w:eastAsia="pt-BR"/>
        </w:rPr>
        <w:t>Um processo de software é, portanto, um conjunto de atividades que transformam requisitos de usuários (entrada do processo) em um produto de software. Por oportuno, chamamos a atenção para o fato de que o produto de software não é composto apenas dos programas de computadores, mas inclui outros itens. Mais ainda, destacamos que os diversos itens que compõem o produto de software são gerados ao longo da execução do processo de software. (BRASIL, 2012</w:t>
      </w:r>
      <w:r w:rsidR="009A5391">
        <w:rPr>
          <w:sz w:val="20"/>
          <w:szCs w:val="20"/>
          <w:lang w:eastAsia="pt-BR"/>
        </w:rPr>
        <w:t>, p. 19</w:t>
      </w:r>
      <w:r w:rsidRPr="00AD6C54">
        <w:rPr>
          <w:sz w:val="20"/>
          <w:szCs w:val="20"/>
          <w:lang w:eastAsia="pt-BR"/>
        </w:rPr>
        <w:t>)</w:t>
      </w:r>
    </w:p>
    <w:p w14:paraId="26511449" w14:textId="77777777" w:rsidR="00DF3AA4" w:rsidRPr="00AD6C54" w:rsidRDefault="00DF3AA4" w:rsidP="00DF3AA4">
      <w:pPr>
        <w:ind w:left="2268" w:firstLine="0"/>
        <w:rPr>
          <w:sz w:val="20"/>
          <w:szCs w:val="20"/>
          <w:lang w:eastAsia="pt-BR"/>
        </w:rPr>
      </w:pPr>
    </w:p>
    <w:p w14:paraId="50CE8C10" w14:textId="1B5627EE" w:rsidR="00DC3894" w:rsidRPr="00AD6C54" w:rsidRDefault="00DC3894" w:rsidP="00382A53">
      <w:pPr>
        <w:rPr>
          <w:rFonts w:cs="Times New Roman"/>
          <w:szCs w:val="24"/>
        </w:rPr>
      </w:pPr>
      <w:r w:rsidRPr="00AD6C54">
        <w:rPr>
          <w:rFonts w:cs="Times New Roman"/>
          <w:szCs w:val="24"/>
        </w:rPr>
        <w:t>No sentido</w:t>
      </w:r>
      <w:r w:rsidR="005E0C49" w:rsidRPr="00AD6C54">
        <w:rPr>
          <w:rFonts w:cs="Times New Roman"/>
          <w:szCs w:val="24"/>
        </w:rPr>
        <w:t xml:space="preserve"> ainda</w:t>
      </w:r>
      <w:r w:rsidRPr="00AD6C54">
        <w:rPr>
          <w:rFonts w:cs="Times New Roman"/>
          <w:szCs w:val="24"/>
        </w:rPr>
        <w:t xml:space="preserve"> de se verificar o impacto que outras variáveis </w:t>
      </w:r>
      <w:r w:rsidR="00DF3AA4" w:rsidRPr="00AD6C54">
        <w:rPr>
          <w:rFonts w:cs="Times New Roman"/>
          <w:szCs w:val="24"/>
        </w:rPr>
        <w:t xml:space="preserve">diferentes das avaliadas pelo TCU </w:t>
      </w:r>
      <w:r w:rsidRPr="00AD6C54">
        <w:rPr>
          <w:rFonts w:cs="Times New Roman"/>
          <w:szCs w:val="24"/>
        </w:rPr>
        <w:t xml:space="preserve">apresentaram em comparação com os resultados apresentados pelas instituições no IGC, </w:t>
      </w:r>
      <w:r w:rsidR="009A5391" w:rsidRPr="00AD6C54">
        <w:rPr>
          <w:rFonts w:cs="Times New Roman"/>
          <w:szCs w:val="24"/>
        </w:rPr>
        <w:t>estendeu-se</w:t>
      </w:r>
      <w:r w:rsidRPr="00AD6C54">
        <w:rPr>
          <w:rFonts w:cs="Times New Roman"/>
          <w:szCs w:val="24"/>
        </w:rPr>
        <w:t xml:space="preserve"> a análise aos seguintes fatores</w:t>
      </w:r>
      <w:r w:rsidR="00D27B29">
        <w:rPr>
          <w:rFonts w:cs="Times New Roman"/>
          <w:szCs w:val="24"/>
        </w:rPr>
        <w:t xml:space="preserve"> de estrutura</w:t>
      </w:r>
      <w:r w:rsidRPr="00AD6C54">
        <w:rPr>
          <w:rFonts w:cs="Times New Roman"/>
          <w:szCs w:val="24"/>
        </w:rPr>
        <w:t>: despesa com pessoal, receita bruta e quantidade de professores. Estes</w:t>
      </w:r>
      <w:r w:rsidR="00C86AAF" w:rsidRPr="00AD6C54">
        <w:rPr>
          <w:rFonts w:cs="Times New Roman"/>
          <w:szCs w:val="24"/>
        </w:rPr>
        <w:t xml:space="preserve"> resultados podem ser observados </w:t>
      </w:r>
      <w:r w:rsidR="00084349">
        <w:rPr>
          <w:rFonts w:cs="Times New Roman"/>
          <w:szCs w:val="24"/>
        </w:rPr>
        <w:t>na</w:t>
      </w:r>
      <w:r w:rsidR="00D27B29">
        <w:rPr>
          <w:rFonts w:cs="Times New Roman"/>
          <w:szCs w:val="24"/>
        </w:rPr>
        <w:t>s</w:t>
      </w:r>
      <w:r w:rsidR="00084349">
        <w:rPr>
          <w:rFonts w:cs="Times New Roman"/>
          <w:szCs w:val="24"/>
        </w:rPr>
        <w:t xml:space="preserve"> Tabela 7</w:t>
      </w:r>
      <w:r w:rsidR="00D27B29">
        <w:rPr>
          <w:rFonts w:cs="Times New Roman"/>
          <w:szCs w:val="24"/>
        </w:rPr>
        <w:t xml:space="preserve"> e 8</w:t>
      </w:r>
      <w:r w:rsidR="00C86AAF" w:rsidRPr="00AD6C54">
        <w:rPr>
          <w:rFonts w:cs="Times New Roman"/>
          <w:szCs w:val="24"/>
        </w:rPr>
        <w:t>:</w:t>
      </w:r>
    </w:p>
    <w:p w14:paraId="020FA222" w14:textId="1D0A88EB" w:rsidR="00C86AAF" w:rsidRPr="00AD6C54" w:rsidRDefault="00C86AAF" w:rsidP="00382A53">
      <w:pPr>
        <w:rPr>
          <w:rFonts w:cs="Times New Roman"/>
          <w:szCs w:val="24"/>
        </w:rPr>
      </w:pPr>
    </w:p>
    <w:p w14:paraId="24FDF4FF" w14:textId="174FFACD" w:rsidR="00B12A31" w:rsidRPr="00AD6C54" w:rsidRDefault="00B12A31" w:rsidP="00795A5D">
      <w:pPr>
        <w:spacing w:line="240" w:lineRule="auto"/>
        <w:ind w:firstLine="0"/>
        <w:jc w:val="center"/>
        <w:rPr>
          <w:rFonts w:cs="Times New Roman"/>
          <w:sz w:val="20"/>
          <w:szCs w:val="20"/>
        </w:rPr>
      </w:pPr>
      <w:r w:rsidRPr="00AD6C54">
        <w:rPr>
          <w:rFonts w:cs="Times New Roman"/>
          <w:b/>
          <w:bCs/>
          <w:sz w:val="20"/>
          <w:szCs w:val="20"/>
        </w:rPr>
        <w:t xml:space="preserve">Tabela </w:t>
      </w:r>
      <w:r w:rsidR="00084349">
        <w:rPr>
          <w:rFonts w:cs="Times New Roman"/>
          <w:b/>
          <w:bCs/>
          <w:sz w:val="20"/>
          <w:szCs w:val="20"/>
        </w:rPr>
        <w:t>7</w:t>
      </w:r>
      <w:r w:rsidRPr="00AD6C54">
        <w:rPr>
          <w:rFonts w:cs="Times New Roman"/>
          <w:sz w:val="20"/>
          <w:szCs w:val="20"/>
        </w:rPr>
        <w:t xml:space="preserve"> – Análise de correlação (r), conforme dados de estrutura d</w:t>
      </w:r>
      <w:r w:rsidR="00260E22">
        <w:rPr>
          <w:rFonts w:cs="Times New Roman"/>
          <w:sz w:val="20"/>
          <w:szCs w:val="20"/>
        </w:rPr>
        <w:t>o</w:t>
      </w:r>
      <w:r w:rsidRPr="00AD6C54">
        <w:rPr>
          <w:rFonts w:cs="Times New Roman"/>
          <w:sz w:val="20"/>
          <w:szCs w:val="20"/>
        </w:rPr>
        <w:t>s IFES</w:t>
      </w:r>
    </w:p>
    <w:tbl>
      <w:tblPr>
        <w:tblStyle w:val="TabelaSimples2"/>
        <w:tblW w:w="7513" w:type="dxa"/>
        <w:jc w:val="center"/>
        <w:tblLook w:val="06A0" w:firstRow="1" w:lastRow="0" w:firstColumn="1" w:lastColumn="0" w:noHBand="1" w:noVBand="1"/>
      </w:tblPr>
      <w:tblGrid>
        <w:gridCol w:w="1276"/>
        <w:gridCol w:w="2410"/>
        <w:gridCol w:w="1701"/>
        <w:gridCol w:w="2126"/>
      </w:tblGrid>
      <w:tr w:rsidR="0078270E" w:rsidRPr="00AD6C54" w14:paraId="7BB7D5F2" w14:textId="77777777" w:rsidTr="0052551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A0E483" w14:textId="77777777" w:rsidR="00BB1409" w:rsidRPr="00AD6C54" w:rsidRDefault="00BB1409" w:rsidP="00795A5D">
            <w:pPr>
              <w:spacing w:line="240" w:lineRule="auto"/>
              <w:ind w:firstLine="0"/>
              <w:jc w:val="center"/>
              <w:rPr>
                <w:rFonts w:eastAsia="Times New Roman" w:cs="Times New Roman"/>
                <w:sz w:val="20"/>
                <w:szCs w:val="20"/>
                <w:lang w:eastAsia="pt-BR"/>
              </w:rPr>
            </w:pPr>
          </w:p>
        </w:tc>
        <w:tc>
          <w:tcPr>
            <w:tcW w:w="2410" w:type="dxa"/>
            <w:noWrap/>
            <w:vAlign w:val="center"/>
            <w:hideMark/>
          </w:tcPr>
          <w:p w14:paraId="616B428A"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Despesa com pessoal</w:t>
            </w:r>
          </w:p>
        </w:tc>
        <w:tc>
          <w:tcPr>
            <w:tcW w:w="1701" w:type="dxa"/>
            <w:noWrap/>
            <w:vAlign w:val="center"/>
            <w:hideMark/>
          </w:tcPr>
          <w:p w14:paraId="6AE496E0"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Receita bruta</w:t>
            </w:r>
          </w:p>
        </w:tc>
        <w:tc>
          <w:tcPr>
            <w:tcW w:w="2126" w:type="dxa"/>
            <w:noWrap/>
            <w:vAlign w:val="center"/>
            <w:hideMark/>
          </w:tcPr>
          <w:p w14:paraId="5E7CFB0C"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proofErr w:type="spellStart"/>
            <w:r w:rsidRPr="00AD6C54">
              <w:rPr>
                <w:rFonts w:eastAsia="Times New Roman" w:cs="Times New Roman"/>
                <w:sz w:val="20"/>
                <w:szCs w:val="20"/>
                <w:lang w:eastAsia="pt-BR"/>
              </w:rPr>
              <w:t>Qtde</w:t>
            </w:r>
            <w:proofErr w:type="spellEnd"/>
            <w:r w:rsidRPr="00AD6C54">
              <w:rPr>
                <w:rFonts w:eastAsia="Times New Roman" w:cs="Times New Roman"/>
                <w:sz w:val="20"/>
                <w:szCs w:val="20"/>
                <w:lang w:eastAsia="pt-BR"/>
              </w:rPr>
              <w:t xml:space="preserve"> Professores</w:t>
            </w:r>
          </w:p>
        </w:tc>
      </w:tr>
      <w:tr w:rsidR="0078270E" w:rsidRPr="00AD6C54" w14:paraId="16C66649" w14:textId="77777777" w:rsidTr="0052551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9795E8" w14:textId="77777777" w:rsidR="00BB1409" w:rsidRPr="00AD6C54" w:rsidRDefault="00BB1409"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IGC 2016</w:t>
            </w:r>
          </w:p>
        </w:tc>
        <w:tc>
          <w:tcPr>
            <w:tcW w:w="2410" w:type="dxa"/>
            <w:noWrap/>
            <w:vAlign w:val="center"/>
            <w:hideMark/>
          </w:tcPr>
          <w:p w14:paraId="105EBBD4"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0,55</w:t>
            </w:r>
          </w:p>
        </w:tc>
        <w:tc>
          <w:tcPr>
            <w:tcW w:w="1701" w:type="dxa"/>
            <w:noWrap/>
            <w:vAlign w:val="center"/>
            <w:hideMark/>
          </w:tcPr>
          <w:p w14:paraId="1D585FA0"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0,28</w:t>
            </w:r>
          </w:p>
        </w:tc>
        <w:tc>
          <w:tcPr>
            <w:tcW w:w="2126" w:type="dxa"/>
            <w:noWrap/>
            <w:vAlign w:val="center"/>
            <w:hideMark/>
          </w:tcPr>
          <w:p w14:paraId="62594C06"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0,55</w:t>
            </w:r>
          </w:p>
        </w:tc>
      </w:tr>
      <w:tr w:rsidR="0078270E" w:rsidRPr="00AD6C54" w14:paraId="2DB57FB0" w14:textId="77777777" w:rsidTr="0052551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44ECBC5" w14:textId="77777777" w:rsidR="00BB1409" w:rsidRPr="00AD6C54" w:rsidRDefault="00BB1409" w:rsidP="00795A5D">
            <w:pPr>
              <w:spacing w:line="240" w:lineRule="auto"/>
              <w:ind w:firstLine="0"/>
              <w:jc w:val="center"/>
              <w:rPr>
                <w:rFonts w:eastAsia="Times New Roman" w:cs="Times New Roman"/>
                <w:sz w:val="20"/>
                <w:szCs w:val="20"/>
                <w:lang w:eastAsia="pt-BR"/>
              </w:rPr>
            </w:pPr>
            <w:r w:rsidRPr="00AD6C54">
              <w:rPr>
                <w:rFonts w:eastAsia="Times New Roman" w:cs="Times New Roman"/>
                <w:sz w:val="20"/>
                <w:szCs w:val="20"/>
                <w:lang w:eastAsia="pt-BR"/>
              </w:rPr>
              <w:t>IGC 2017</w:t>
            </w:r>
          </w:p>
        </w:tc>
        <w:tc>
          <w:tcPr>
            <w:tcW w:w="2410" w:type="dxa"/>
            <w:noWrap/>
            <w:vAlign w:val="center"/>
            <w:hideMark/>
          </w:tcPr>
          <w:p w14:paraId="6DEC28D1"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0,59</w:t>
            </w:r>
          </w:p>
        </w:tc>
        <w:tc>
          <w:tcPr>
            <w:tcW w:w="1701" w:type="dxa"/>
            <w:noWrap/>
            <w:vAlign w:val="center"/>
            <w:hideMark/>
          </w:tcPr>
          <w:p w14:paraId="17E6DB7B"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0,32</w:t>
            </w:r>
          </w:p>
        </w:tc>
        <w:tc>
          <w:tcPr>
            <w:tcW w:w="2126" w:type="dxa"/>
            <w:noWrap/>
            <w:vAlign w:val="center"/>
            <w:hideMark/>
          </w:tcPr>
          <w:p w14:paraId="0E7EB369" w14:textId="77777777" w:rsidR="00BB1409" w:rsidRPr="00AD6C54" w:rsidRDefault="00BB1409" w:rsidP="00795A5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eastAsia="pt-BR"/>
              </w:rPr>
            </w:pPr>
            <w:r w:rsidRPr="00AD6C54">
              <w:rPr>
                <w:rFonts w:eastAsia="Times New Roman" w:cs="Times New Roman"/>
                <w:sz w:val="20"/>
                <w:szCs w:val="20"/>
                <w:lang w:eastAsia="pt-BR"/>
              </w:rPr>
              <w:t>0,60</w:t>
            </w:r>
          </w:p>
        </w:tc>
      </w:tr>
    </w:tbl>
    <w:p w14:paraId="1C3DE0D7" w14:textId="2BA7ECAD" w:rsidR="00C86AAF" w:rsidRPr="00AD6C54" w:rsidRDefault="00B12A31" w:rsidP="00795A5D">
      <w:pPr>
        <w:spacing w:line="240" w:lineRule="auto"/>
        <w:ind w:firstLine="0"/>
        <w:jc w:val="center"/>
        <w:rPr>
          <w:rFonts w:cs="Times New Roman"/>
          <w:szCs w:val="24"/>
        </w:rPr>
      </w:pPr>
      <w:r w:rsidRPr="00AD6C54">
        <w:rPr>
          <w:rFonts w:cs="Times New Roman"/>
          <w:sz w:val="20"/>
          <w:szCs w:val="20"/>
        </w:rPr>
        <w:t>Fonte: Elaborad</w:t>
      </w:r>
      <w:r w:rsidR="00E82D42">
        <w:rPr>
          <w:rFonts w:cs="Times New Roman"/>
          <w:sz w:val="20"/>
          <w:szCs w:val="20"/>
        </w:rPr>
        <w:t>a</w:t>
      </w:r>
      <w:r w:rsidRPr="00AD6C54">
        <w:rPr>
          <w:rFonts w:cs="Times New Roman"/>
          <w:sz w:val="20"/>
          <w:szCs w:val="20"/>
        </w:rPr>
        <w:t xml:space="preserve"> pelo autor com base em MEC, 2016, MEC, 2017, TCU, 2017 e TCU, 2018</w:t>
      </w:r>
    </w:p>
    <w:p w14:paraId="20F5DAE8" w14:textId="534688A3" w:rsidR="00B12A31" w:rsidRDefault="00B12A31" w:rsidP="00382A53">
      <w:pPr>
        <w:rPr>
          <w:rFonts w:cs="Times New Roman"/>
          <w:szCs w:val="24"/>
        </w:rPr>
      </w:pPr>
    </w:p>
    <w:p w14:paraId="49153FB7" w14:textId="763C00C3" w:rsidR="00A303C9" w:rsidRPr="00AD6C54" w:rsidRDefault="007E308C" w:rsidP="007E308C">
      <w:pPr>
        <w:ind w:firstLine="0"/>
        <w:rPr>
          <w:rFonts w:cs="Times New Roman"/>
          <w:szCs w:val="24"/>
        </w:rPr>
      </w:pPr>
      <w:r w:rsidRPr="00AD6C54">
        <w:rPr>
          <w:rFonts w:cs="Times New Roman"/>
          <w:szCs w:val="24"/>
        </w:rPr>
        <w:tab/>
        <w:t xml:space="preserve">Tal análise efetuada </w:t>
      </w:r>
      <w:r w:rsidR="00B12A31" w:rsidRPr="00AD6C54">
        <w:rPr>
          <w:rFonts w:cs="Times New Roman"/>
          <w:szCs w:val="24"/>
        </w:rPr>
        <w:t>demonstra</w:t>
      </w:r>
      <w:r w:rsidR="00E14266" w:rsidRPr="00AD6C54">
        <w:rPr>
          <w:rFonts w:cs="Times New Roman"/>
          <w:szCs w:val="24"/>
        </w:rPr>
        <w:t xml:space="preserve"> os altos níveis de </w:t>
      </w:r>
      <w:r w:rsidR="00B12A31" w:rsidRPr="00AD6C54">
        <w:rPr>
          <w:rFonts w:cs="Times New Roman"/>
          <w:szCs w:val="24"/>
        </w:rPr>
        <w:t>dependência entre a estrutura d</w:t>
      </w:r>
      <w:r w:rsidR="00260E22">
        <w:rPr>
          <w:rFonts w:cs="Times New Roman"/>
          <w:szCs w:val="24"/>
        </w:rPr>
        <w:t>o</w:t>
      </w:r>
      <w:r w:rsidR="00B12A31" w:rsidRPr="00AD6C54">
        <w:rPr>
          <w:rFonts w:cs="Times New Roman"/>
          <w:szCs w:val="24"/>
        </w:rPr>
        <w:t>s IFES e suas respectivas notas recebidas no IGC. Nes</w:t>
      </w:r>
      <w:r w:rsidR="00A303C9">
        <w:rPr>
          <w:rFonts w:cs="Times New Roman"/>
          <w:szCs w:val="24"/>
        </w:rPr>
        <w:t>s</w:t>
      </w:r>
      <w:r w:rsidR="00B12A31" w:rsidRPr="00AD6C54">
        <w:rPr>
          <w:rFonts w:cs="Times New Roman"/>
          <w:szCs w:val="24"/>
        </w:rPr>
        <w:t xml:space="preserve">e quesito de análise do porte das instituições, destaque </w:t>
      </w:r>
      <w:r w:rsidR="00A44AF3">
        <w:rPr>
          <w:rFonts w:cs="Times New Roman"/>
          <w:szCs w:val="24"/>
        </w:rPr>
        <w:t xml:space="preserve">novamente </w:t>
      </w:r>
      <w:r w:rsidR="00B12A31" w:rsidRPr="00AD6C54">
        <w:rPr>
          <w:rFonts w:cs="Times New Roman"/>
          <w:szCs w:val="24"/>
        </w:rPr>
        <w:t>para a relação entre as variáveis relativas a pessoal</w:t>
      </w:r>
      <w:r w:rsidR="00DF7581" w:rsidRPr="00AD6C54">
        <w:rPr>
          <w:rFonts w:cs="Times New Roman"/>
          <w:szCs w:val="24"/>
        </w:rPr>
        <w:t xml:space="preserve"> com os escores de avaliação.</w:t>
      </w:r>
      <w:r w:rsidR="004E23A4">
        <w:rPr>
          <w:rFonts w:cs="Times New Roman"/>
          <w:szCs w:val="24"/>
        </w:rPr>
        <w:t xml:space="preserve"> </w:t>
      </w:r>
    </w:p>
    <w:p w14:paraId="2351E649" w14:textId="77777777" w:rsidR="00DF7581" w:rsidRPr="00AD6C54" w:rsidRDefault="00DF7581" w:rsidP="007E308C">
      <w:pPr>
        <w:ind w:firstLine="0"/>
        <w:rPr>
          <w:rFonts w:cs="Times New Roman"/>
          <w:szCs w:val="24"/>
        </w:rPr>
      </w:pPr>
    </w:p>
    <w:p w14:paraId="71C96988" w14:textId="7A8BADDD" w:rsidR="002D2D0D" w:rsidRPr="00AD6C54" w:rsidRDefault="002D2D0D" w:rsidP="002D2D0D">
      <w:pPr>
        <w:pStyle w:val="Ttulo1"/>
        <w:rPr>
          <w:rFonts w:cs="Times New Roman"/>
          <w:sz w:val="24"/>
          <w:szCs w:val="24"/>
        </w:rPr>
      </w:pPr>
      <w:r w:rsidRPr="00AD6C54">
        <w:rPr>
          <w:rFonts w:cs="Times New Roman"/>
          <w:sz w:val="24"/>
          <w:szCs w:val="24"/>
        </w:rPr>
        <w:t xml:space="preserve">7 </w:t>
      </w:r>
      <w:r w:rsidR="00585755" w:rsidRPr="00AD6C54">
        <w:rPr>
          <w:rFonts w:cs="Times New Roman"/>
          <w:sz w:val="24"/>
          <w:szCs w:val="24"/>
        </w:rPr>
        <w:t>CONSIDERAÇÕES FINAIS</w:t>
      </w:r>
    </w:p>
    <w:p w14:paraId="33A54694" w14:textId="49D5D802" w:rsidR="00AE2A8F" w:rsidRPr="00AD6C54" w:rsidRDefault="00AE2A8F" w:rsidP="002D2D0D">
      <w:pPr>
        <w:tabs>
          <w:tab w:val="left" w:pos="1365"/>
        </w:tabs>
        <w:ind w:firstLine="0"/>
        <w:rPr>
          <w:rFonts w:cs="Times New Roman"/>
          <w:szCs w:val="24"/>
        </w:rPr>
      </w:pPr>
    </w:p>
    <w:p w14:paraId="2BCC94E7" w14:textId="25A71BF9" w:rsidR="00AE2A8F" w:rsidRPr="00AD6C54" w:rsidRDefault="00AE2A8F" w:rsidP="00AE2A8F">
      <w:pPr>
        <w:tabs>
          <w:tab w:val="left" w:pos="1365"/>
        </w:tabs>
        <w:rPr>
          <w:rFonts w:cs="Times New Roman"/>
          <w:szCs w:val="24"/>
        </w:rPr>
      </w:pPr>
      <w:r w:rsidRPr="00AD6C54">
        <w:rPr>
          <w:rFonts w:cs="Times New Roman"/>
          <w:szCs w:val="24"/>
        </w:rPr>
        <w:t xml:space="preserve">Como objetivo geral deste trabalho, buscou-se evidenciar se os resultados </w:t>
      </w:r>
      <w:r w:rsidR="004A4FD1">
        <w:rPr>
          <w:rFonts w:cs="Times New Roman"/>
          <w:szCs w:val="24"/>
        </w:rPr>
        <w:t>obtidos</w:t>
      </w:r>
      <w:r w:rsidRPr="00AD6C54">
        <w:rPr>
          <w:rFonts w:cs="Times New Roman"/>
          <w:szCs w:val="24"/>
        </w:rPr>
        <w:t xml:space="preserve"> pelas IFES quanto </w:t>
      </w:r>
      <w:r w:rsidR="00603C33">
        <w:rPr>
          <w:rFonts w:cs="Times New Roman"/>
          <w:szCs w:val="24"/>
        </w:rPr>
        <w:t>a</w:t>
      </w:r>
      <w:r w:rsidRPr="00AD6C54">
        <w:rPr>
          <w:rFonts w:cs="Times New Roman"/>
          <w:szCs w:val="24"/>
        </w:rPr>
        <w:t xml:space="preserve"> suas capacidades de governança e gestão apresentaram níveis expressivos de correlação com o produto que estas entregaram à sociedade, mensurado pelo resultado das instituições no IGC. Concluiu-se que os valores de IGC foram mais afetados pelo índice geral de governança no grupo de entidades </w:t>
      </w:r>
      <w:r w:rsidR="00B12A31" w:rsidRPr="00AD6C54">
        <w:rPr>
          <w:rFonts w:cs="Times New Roman"/>
          <w:szCs w:val="24"/>
        </w:rPr>
        <w:t>de médio-porte</w:t>
      </w:r>
      <w:r w:rsidRPr="00AD6C54">
        <w:rPr>
          <w:rFonts w:cs="Times New Roman"/>
          <w:szCs w:val="24"/>
        </w:rPr>
        <w:t xml:space="preserve"> </w:t>
      </w:r>
      <w:r w:rsidR="00BF3738">
        <w:rPr>
          <w:rFonts w:cs="Times New Roman"/>
          <w:szCs w:val="24"/>
        </w:rPr>
        <w:t>sob a ótica da</w:t>
      </w:r>
      <w:r w:rsidRPr="00AD6C54">
        <w:rPr>
          <w:rFonts w:cs="Times New Roman"/>
          <w:szCs w:val="24"/>
        </w:rPr>
        <w:t xml:space="preserve"> receita bruta.</w:t>
      </w:r>
    </w:p>
    <w:p w14:paraId="4216DB82" w14:textId="2BB94435" w:rsidR="00AE2A8F" w:rsidRDefault="00AE2A8F" w:rsidP="00AE2A8F">
      <w:pPr>
        <w:tabs>
          <w:tab w:val="left" w:pos="1365"/>
        </w:tabs>
        <w:rPr>
          <w:rFonts w:cs="Times New Roman"/>
          <w:szCs w:val="24"/>
        </w:rPr>
      </w:pPr>
      <w:r w:rsidRPr="00AD6C54">
        <w:rPr>
          <w:rFonts w:cs="Times New Roman"/>
          <w:szCs w:val="24"/>
        </w:rPr>
        <w:t xml:space="preserve">Ainda, mediante análise separada das questões de </w:t>
      </w:r>
      <w:r w:rsidR="00DE4F1C" w:rsidRPr="00AD6C54">
        <w:rPr>
          <w:rFonts w:cs="Times New Roman"/>
          <w:szCs w:val="24"/>
        </w:rPr>
        <w:t>autoavaliação</w:t>
      </w:r>
      <w:r w:rsidRPr="00AD6C54">
        <w:rPr>
          <w:rFonts w:cs="Times New Roman"/>
          <w:szCs w:val="24"/>
        </w:rPr>
        <w:t xml:space="preserve"> promovidas pelos TCU, evidenciou-se que os atributos relacionados à capacidade de gestão de pessoas foram os mais correlacionados com o IGC, no universo total de IFES analisadas. Es</w:t>
      </w:r>
      <w:r w:rsidR="004311BE">
        <w:rPr>
          <w:rFonts w:cs="Times New Roman"/>
          <w:szCs w:val="24"/>
        </w:rPr>
        <w:t>s</w:t>
      </w:r>
      <w:r w:rsidRPr="00AD6C54">
        <w:rPr>
          <w:rFonts w:cs="Times New Roman"/>
          <w:szCs w:val="24"/>
        </w:rPr>
        <w:t>a conclusão se confirmou ao se expor os altos graus de dependência do IGC com variáveis relacionadas à estrutura física de pessoal das instituições.</w:t>
      </w:r>
    </w:p>
    <w:p w14:paraId="06B8BDA5" w14:textId="6F5C1081" w:rsidR="00942383" w:rsidRPr="00AD6C54" w:rsidRDefault="002E74E9" w:rsidP="00310B69">
      <w:pPr>
        <w:tabs>
          <w:tab w:val="left" w:pos="1365"/>
        </w:tabs>
        <w:rPr>
          <w:rFonts w:cs="Times New Roman"/>
          <w:szCs w:val="24"/>
        </w:rPr>
      </w:pPr>
      <w:r>
        <w:rPr>
          <w:rFonts w:cs="Times New Roman"/>
          <w:szCs w:val="24"/>
        </w:rPr>
        <w:t xml:space="preserve">Em síntese, </w:t>
      </w:r>
      <w:r w:rsidR="001E4F8C">
        <w:rPr>
          <w:rFonts w:cs="Times New Roman"/>
          <w:szCs w:val="24"/>
        </w:rPr>
        <w:t xml:space="preserve">os maiores resultados positivos </w:t>
      </w:r>
      <w:r w:rsidR="009243DF">
        <w:rPr>
          <w:rFonts w:cs="Times New Roman"/>
          <w:szCs w:val="24"/>
        </w:rPr>
        <w:t>de</w:t>
      </w:r>
      <w:r w:rsidR="001E4F8C">
        <w:rPr>
          <w:rFonts w:cs="Times New Roman"/>
          <w:szCs w:val="24"/>
        </w:rPr>
        <w:t xml:space="preserve"> correlação se deram</w:t>
      </w:r>
      <w:r w:rsidR="00DD6E54">
        <w:rPr>
          <w:rFonts w:cs="Times New Roman"/>
          <w:szCs w:val="24"/>
        </w:rPr>
        <w:t xml:space="preserve"> no contexto d</w:t>
      </w:r>
      <w:r w:rsidR="00BC7F54">
        <w:rPr>
          <w:rFonts w:cs="Times New Roman"/>
          <w:szCs w:val="24"/>
        </w:rPr>
        <w:t>as instituições de médio</w:t>
      </w:r>
      <w:r w:rsidR="00F9532F">
        <w:rPr>
          <w:rFonts w:cs="Times New Roman"/>
          <w:szCs w:val="24"/>
        </w:rPr>
        <w:t xml:space="preserve"> porte</w:t>
      </w:r>
      <w:r w:rsidR="00055A78">
        <w:rPr>
          <w:rFonts w:cs="Times New Roman"/>
          <w:szCs w:val="24"/>
        </w:rPr>
        <w:t>,</w:t>
      </w:r>
      <w:r w:rsidR="00BC7F54">
        <w:rPr>
          <w:rFonts w:cs="Times New Roman"/>
          <w:szCs w:val="24"/>
        </w:rPr>
        <w:t xml:space="preserve"> </w:t>
      </w:r>
      <w:r w:rsidR="000F1EE3">
        <w:rPr>
          <w:rFonts w:cs="Times New Roman"/>
          <w:szCs w:val="24"/>
        </w:rPr>
        <w:t>nas práticas</w:t>
      </w:r>
      <w:r w:rsidR="00EE02A8">
        <w:rPr>
          <w:rFonts w:cs="Times New Roman"/>
          <w:szCs w:val="24"/>
        </w:rPr>
        <w:t xml:space="preserve"> voltadas</w:t>
      </w:r>
      <w:r w:rsidR="008D5EB9">
        <w:rPr>
          <w:rFonts w:cs="Times New Roman"/>
          <w:szCs w:val="24"/>
        </w:rPr>
        <w:t xml:space="preserve"> à gestão de pessoal</w:t>
      </w:r>
      <w:r w:rsidR="005A0274">
        <w:rPr>
          <w:rFonts w:cs="Times New Roman"/>
          <w:szCs w:val="24"/>
        </w:rPr>
        <w:t xml:space="preserve"> </w:t>
      </w:r>
      <w:r w:rsidR="000F1EE3">
        <w:rPr>
          <w:rFonts w:cs="Times New Roman"/>
          <w:szCs w:val="24"/>
        </w:rPr>
        <w:t xml:space="preserve">e </w:t>
      </w:r>
      <w:r w:rsidR="00055A78">
        <w:rPr>
          <w:rFonts w:cs="Times New Roman"/>
          <w:szCs w:val="24"/>
        </w:rPr>
        <w:t>por fim n</w:t>
      </w:r>
      <w:r w:rsidR="00DE543F">
        <w:rPr>
          <w:rFonts w:cs="Times New Roman"/>
          <w:szCs w:val="24"/>
        </w:rPr>
        <w:t>a estrutura</w:t>
      </w:r>
      <w:r w:rsidR="009132E9">
        <w:rPr>
          <w:rFonts w:cs="Times New Roman"/>
          <w:szCs w:val="24"/>
        </w:rPr>
        <w:t xml:space="preserve"> de pessoal própria das entidades</w:t>
      </w:r>
      <w:r w:rsidR="00F9532F">
        <w:rPr>
          <w:rFonts w:cs="Times New Roman"/>
          <w:szCs w:val="24"/>
        </w:rPr>
        <w:t>.</w:t>
      </w:r>
      <w:r>
        <w:rPr>
          <w:rFonts w:cs="Times New Roman"/>
          <w:szCs w:val="24"/>
        </w:rPr>
        <w:t xml:space="preserve"> </w:t>
      </w:r>
      <w:r w:rsidR="003B125B">
        <w:rPr>
          <w:rFonts w:cs="Times New Roman"/>
          <w:szCs w:val="24"/>
        </w:rPr>
        <w:t xml:space="preserve">Quanto à nota do IGC, </w:t>
      </w:r>
      <w:r w:rsidR="00EA41F6">
        <w:rPr>
          <w:rFonts w:cs="Times New Roman"/>
          <w:szCs w:val="24"/>
        </w:rPr>
        <w:t xml:space="preserve">espera-se que </w:t>
      </w:r>
      <w:r w:rsidR="003B125B">
        <w:rPr>
          <w:rFonts w:cs="Times New Roman"/>
          <w:szCs w:val="24"/>
        </w:rPr>
        <w:t xml:space="preserve">ela </w:t>
      </w:r>
      <w:r w:rsidR="00EA41F6">
        <w:rPr>
          <w:rFonts w:cs="Times New Roman"/>
          <w:szCs w:val="24"/>
        </w:rPr>
        <w:t>seja afet</w:t>
      </w:r>
      <w:r w:rsidR="003B125B">
        <w:rPr>
          <w:rFonts w:cs="Times New Roman"/>
          <w:szCs w:val="24"/>
        </w:rPr>
        <w:t>ada</w:t>
      </w:r>
      <w:r w:rsidR="00EA41F6">
        <w:rPr>
          <w:rFonts w:cs="Times New Roman"/>
          <w:szCs w:val="24"/>
        </w:rPr>
        <w:t xml:space="preserve"> por inúmeras variáveis. </w:t>
      </w:r>
      <w:r w:rsidR="001523CC">
        <w:rPr>
          <w:rFonts w:cs="Times New Roman"/>
          <w:szCs w:val="24"/>
        </w:rPr>
        <w:t xml:space="preserve">Considerando os resultados obtidos, </w:t>
      </w:r>
      <w:r w:rsidR="00C91C96">
        <w:rPr>
          <w:rFonts w:cs="Times New Roman"/>
          <w:szCs w:val="24"/>
        </w:rPr>
        <w:t xml:space="preserve">entendeu-se que </w:t>
      </w:r>
      <w:r w:rsidR="00817A3A">
        <w:rPr>
          <w:rFonts w:cs="Times New Roman"/>
          <w:szCs w:val="24"/>
        </w:rPr>
        <w:t xml:space="preserve">a estrutura </w:t>
      </w:r>
      <w:r w:rsidR="00F6589F">
        <w:rPr>
          <w:rFonts w:cs="Times New Roman"/>
          <w:szCs w:val="24"/>
        </w:rPr>
        <w:t xml:space="preserve">das instituições </w:t>
      </w:r>
      <w:r w:rsidR="00817A3A">
        <w:rPr>
          <w:rFonts w:cs="Times New Roman"/>
          <w:szCs w:val="24"/>
        </w:rPr>
        <w:t xml:space="preserve">é um fator </w:t>
      </w:r>
      <w:r w:rsidR="004118ED">
        <w:rPr>
          <w:rFonts w:cs="Times New Roman"/>
          <w:szCs w:val="24"/>
        </w:rPr>
        <w:t>de peso na</w:t>
      </w:r>
      <w:r w:rsidR="00724719">
        <w:rPr>
          <w:rFonts w:cs="Times New Roman"/>
          <w:szCs w:val="24"/>
        </w:rPr>
        <w:t xml:space="preserve"> avaliação, contudo, </w:t>
      </w:r>
      <w:r w:rsidR="005F5BE5">
        <w:rPr>
          <w:rFonts w:cs="Times New Roman"/>
          <w:szCs w:val="24"/>
        </w:rPr>
        <w:t xml:space="preserve">em um ambiente com limitação de recursos, </w:t>
      </w:r>
      <w:r w:rsidR="00A04627">
        <w:rPr>
          <w:rFonts w:cs="Times New Roman"/>
          <w:szCs w:val="24"/>
        </w:rPr>
        <w:t>os investimentos em governança</w:t>
      </w:r>
      <w:r w:rsidR="00FB2EEB">
        <w:rPr>
          <w:rFonts w:cs="Times New Roman"/>
          <w:szCs w:val="24"/>
        </w:rPr>
        <w:t xml:space="preserve"> </w:t>
      </w:r>
      <w:r w:rsidR="00755032">
        <w:rPr>
          <w:rFonts w:cs="Times New Roman"/>
          <w:szCs w:val="24"/>
        </w:rPr>
        <w:t>potencialmente</w:t>
      </w:r>
      <w:r w:rsidR="00FB2EEB">
        <w:rPr>
          <w:rFonts w:cs="Times New Roman"/>
          <w:szCs w:val="24"/>
        </w:rPr>
        <w:t xml:space="preserve"> </w:t>
      </w:r>
      <w:r w:rsidR="00B11261">
        <w:rPr>
          <w:rFonts w:cs="Times New Roman"/>
          <w:szCs w:val="24"/>
        </w:rPr>
        <w:t>agrega</w:t>
      </w:r>
      <w:r w:rsidR="00755032">
        <w:rPr>
          <w:rFonts w:cs="Times New Roman"/>
          <w:szCs w:val="24"/>
        </w:rPr>
        <w:t>m</w:t>
      </w:r>
      <w:r w:rsidR="00B11261">
        <w:rPr>
          <w:rFonts w:cs="Times New Roman"/>
          <w:szCs w:val="24"/>
        </w:rPr>
        <w:t xml:space="preserve"> valor </w:t>
      </w:r>
      <w:r w:rsidR="00626C42">
        <w:rPr>
          <w:rFonts w:cs="Times New Roman"/>
          <w:szCs w:val="24"/>
        </w:rPr>
        <w:t>aos processos e</w:t>
      </w:r>
      <w:r w:rsidR="00755032">
        <w:rPr>
          <w:rFonts w:cs="Times New Roman"/>
          <w:szCs w:val="24"/>
        </w:rPr>
        <w:t xml:space="preserve"> podem aprimorar a entrega de serviço público, como o observado nas instituições com </w:t>
      </w:r>
      <w:r w:rsidR="00C10077">
        <w:rPr>
          <w:rFonts w:cs="Times New Roman"/>
          <w:szCs w:val="24"/>
        </w:rPr>
        <w:t>boas estruturas de governança de pessoal</w:t>
      </w:r>
      <w:r w:rsidR="00E14662">
        <w:rPr>
          <w:rFonts w:cs="Times New Roman"/>
          <w:szCs w:val="24"/>
        </w:rPr>
        <w:t xml:space="preserve"> </w:t>
      </w:r>
      <w:r w:rsidR="00743D34">
        <w:rPr>
          <w:rFonts w:cs="Times New Roman"/>
          <w:szCs w:val="24"/>
        </w:rPr>
        <w:t xml:space="preserve">que se saíram proporcionalmente melhores </w:t>
      </w:r>
      <w:r w:rsidR="00243D9C">
        <w:rPr>
          <w:rFonts w:cs="Times New Roman"/>
          <w:szCs w:val="24"/>
        </w:rPr>
        <w:t>à</w:t>
      </w:r>
      <w:r w:rsidR="00743D34">
        <w:rPr>
          <w:rFonts w:cs="Times New Roman"/>
          <w:szCs w:val="24"/>
        </w:rPr>
        <w:t xml:space="preserve">quelas </w:t>
      </w:r>
      <w:r w:rsidR="009B3F22">
        <w:rPr>
          <w:rFonts w:cs="Times New Roman"/>
          <w:szCs w:val="24"/>
        </w:rPr>
        <w:t>mais mal avaliadas</w:t>
      </w:r>
      <w:r w:rsidR="009A3649">
        <w:rPr>
          <w:rFonts w:cs="Times New Roman"/>
          <w:szCs w:val="24"/>
        </w:rPr>
        <w:t>.</w:t>
      </w:r>
      <w:r w:rsidR="00942383" w:rsidRPr="005512E8">
        <w:rPr>
          <w:rFonts w:cs="Times New Roman"/>
          <w:szCs w:val="24"/>
        </w:rPr>
        <w:t xml:space="preserve"> </w:t>
      </w:r>
    </w:p>
    <w:p w14:paraId="65AE901E" w14:textId="7A80F848" w:rsidR="00AE2A8F" w:rsidRDefault="00AE2A8F" w:rsidP="00AE2A8F">
      <w:pPr>
        <w:tabs>
          <w:tab w:val="left" w:pos="1365"/>
        </w:tabs>
        <w:rPr>
          <w:rFonts w:cs="Times New Roman"/>
          <w:szCs w:val="24"/>
        </w:rPr>
      </w:pPr>
      <w:r w:rsidRPr="00AD6C54">
        <w:rPr>
          <w:rFonts w:cs="Times New Roman"/>
          <w:szCs w:val="24"/>
        </w:rPr>
        <w:t xml:space="preserve">Dedução interessante ainda se faz pela observação de </w:t>
      </w:r>
      <w:r w:rsidR="00A40859" w:rsidRPr="00AD6C54">
        <w:rPr>
          <w:rFonts w:cs="Times New Roman"/>
          <w:szCs w:val="24"/>
        </w:rPr>
        <w:t>relevante</w:t>
      </w:r>
      <w:r w:rsidRPr="00AD6C54">
        <w:rPr>
          <w:rFonts w:cs="Times New Roman"/>
          <w:szCs w:val="24"/>
        </w:rPr>
        <w:t xml:space="preserve"> grau de correlação entre o IGC e variáveis relacionadas à capacidade de gestão de tecnologia da informação</w:t>
      </w:r>
      <w:r w:rsidR="00A40859" w:rsidRPr="00AD6C54">
        <w:rPr>
          <w:rFonts w:cs="Times New Roman"/>
          <w:szCs w:val="24"/>
        </w:rPr>
        <w:t xml:space="preserve"> (TI)</w:t>
      </w:r>
      <w:r w:rsidRPr="00AD6C54">
        <w:rPr>
          <w:rFonts w:cs="Times New Roman"/>
          <w:szCs w:val="24"/>
        </w:rPr>
        <w:t xml:space="preserve"> pelas instituições.</w:t>
      </w:r>
      <w:r w:rsidR="00A40859" w:rsidRPr="00AD6C54">
        <w:rPr>
          <w:rFonts w:cs="Times New Roman"/>
          <w:szCs w:val="24"/>
        </w:rPr>
        <w:t xml:space="preserve"> Rodriguez e Vieira (2007) evidenciam tendência das organizações em aprimorar </w:t>
      </w:r>
      <w:r w:rsidR="00A40859" w:rsidRPr="00AD6C54">
        <w:rPr>
          <w:rFonts w:cs="Times New Roman"/>
          <w:szCs w:val="24"/>
        </w:rPr>
        <w:lastRenderedPageBreak/>
        <w:t>seus investimentos em TI, aliados ao foco estratégico da gestão, com objetivo de melhor satisfazerem os interesses de seus clientes.</w:t>
      </w:r>
    </w:p>
    <w:p w14:paraId="69F64E14" w14:textId="2C3ABC04" w:rsidR="00A40859" w:rsidRPr="00AD6C54" w:rsidRDefault="00A40859" w:rsidP="00AE2A8F">
      <w:pPr>
        <w:tabs>
          <w:tab w:val="left" w:pos="1365"/>
        </w:tabs>
        <w:rPr>
          <w:rFonts w:cs="Times New Roman"/>
          <w:szCs w:val="24"/>
        </w:rPr>
      </w:pPr>
      <w:r w:rsidRPr="00AD6C54">
        <w:rPr>
          <w:rFonts w:cs="Times New Roman"/>
          <w:szCs w:val="24"/>
        </w:rPr>
        <w:t xml:space="preserve">Como limitações do presente estudo, evidenciam-se os períodos dos dados analisados. Especificamente quanto ao IGC, a última disponibilização </w:t>
      </w:r>
      <w:r w:rsidR="00EC0FB9" w:rsidRPr="00AD6C54">
        <w:rPr>
          <w:rFonts w:cs="Times New Roman"/>
          <w:szCs w:val="24"/>
        </w:rPr>
        <w:t>na data do presente artigo é 2017, ano anterior ao último estudo publicado pelo TCU.</w:t>
      </w:r>
      <w:r w:rsidRPr="00AD6C54">
        <w:rPr>
          <w:rFonts w:cs="Times New Roman"/>
          <w:szCs w:val="24"/>
        </w:rPr>
        <w:t xml:space="preserve"> Ao se pensar na capacidade de governança e gestão como ferramenta de aprimorar os resultados futuros da entidade, </w:t>
      </w:r>
      <w:r w:rsidR="00041BF1">
        <w:rPr>
          <w:rFonts w:cs="Times New Roman"/>
          <w:szCs w:val="24"/>
        </w:rPr>
        <w:t>espera</w:t>
      </w:r>
      <w:r w:rsidRPr="00AD6C54">
        <w:rPr>
          <w:rFonts w:cs="Times New Roman"/>
          <w:szCs w:val="24"/>
        </w:rPr>
        <w:t xml:space="preserve">-se que os próximos resultados de IGC apresentados pelas IFES </w:t>
      </w:r>
      <w:r w:rsidR="00041BF1">
        <w:rPr>
          <w:rFonts w:cs="Times New Roman"/>
          <w:szCs w:val="24"/>
        </w:rPr>
        <w:t>possam</w:t>
      </w:r>
      <w:r w:rsidR="00EC0FB9" w:rsidRPr="00AD6C54">
        <w:rPr>
          <w:rFonts w:cs="Times New Roman"/>
          <w:szCs w:val="24"/>
        </w:rPr>
        <w:t xml:space="preserve"> apresentar maior correlação com as boas práticas de gerências aplicadas.</w:t>
      </w:r>
    </w:p>
    <w:p w14:paraId="743D8D29" w14:textId="069D296E" w:rsidR="00EC0FB9" w:rsidRPr="00AD6C54" w:rsidRDefault="00EC0FB9" w:rsidP="00AE2A8F">
      <w:pPr>
        <w:tabs>
          <w:tab w:val="left" w:pos="1365"/>
        </w:tabs>
        <w:rPr>
          <w:rFonts w:cs="Times New Roman"/>
          <w:szCs w:val="24"/>
        </w:rPr>
      </w:pPr>
      <w:r w:rsidRPr="00AD6C54">
        <w:rPr>
          <w:rFonts w:cs="Times New Roman"/>
          <w:szCs w:val="24"/>
        </w:rPr>
        <w:t>Des</w:t>
      </w:r>
      <w:r w:rsidR="00F1223B">
        <w:rPr>
          <w:rFonts w:cs="Times New Roman"/>
          <w:szCs w:val="24"/>
        </w:rPr>
        <w:t>s</w:t>
      </w:r>
      <w:r w:rsidRPr="00AD6C54">
        <w:rPr>
          <w:rFonts w:cs="Times New Roman"/>
          <w:szCs w:val="24"/>
        </w:rPr>
        <w:t xml:space="preserve">a forma, </w:t>
      </w:r>
      <w:r w:rsidR="0076586B">
        <w:rPr>
          <w:rFonts w:cs="Times New Roman"/>
          <w:szCs w:val="24"/>
        </w:rPr>
        <w:t xml:space="preserve">é recomendada </w:t>
      </w:r>
      <w:r w:rsidRPr="00AD6C54">
        <w:rPr>
          <w:rFonts w:cs="Times New Roman"/>
          <w:szCs w:val="24"/>
        </w:rPr>
        <w:t>a reexecução da pesquisa conforme disponibilização de novos dados, a fim de se identificar se a mudança na capacidade de administração d</w:t>
      </w:r>
      <w:r w:rsidR="00260E22">
        <w:rPr>
          <w:rFonts w:cs="Times New Roman"/>
          <w:szCs w:val="24"/>
        </w:rPr>
        <w:t>o</w:t>
      </w:r>
      <w:r w:rsidRPr="00AD6C54">
        <w:rPr>
          <w:rFonts w:cs="Times New Roman"/>
          <w:szCs w:val="24"/>
        </w:rPr>
        <w:t>s IFES impulsionada pelas ações pedagógicas do TCU irão refletir, ao longo dos anos, em aprimoramento nos resultados do IGC. Por fim, é indicada a execução de estudo por meio de modelos estatísticos de análise multivariada dos dados, com o intuito de confirmar</w:t>
      </w:r>
      <w:r w:rsidR="00CF6448">
        <w:rPr>
          <w:rFonts w:cs="Times New Roman"/>
          <w:szCs w:val="24"/>
        </w:rPr>
        <w:t xml:space="preserve"> ou </w:t>
      </w:r>
      <w:r w:rsidR="007C0B35">
        <w:rPr>
          <w:rFonts w:cs="Times New Roman"/>
          <w:szCs w:val="24"/>
        </w:rPr>
        <w:t>modificar</w:t>
      </w:r>
      <w:r w:rsidRPr="00AD6C54">
        <w:rPr>
          <w:rFonts w:cs="Times New Roman"/>
          <w:szCs w:val="24"/>
        </w:rPr>
        <w:t xml:space="preserve"> as conclusões apresentadas no presente artigo.</w:t>
      </w:r>
    </w:p>
    <w:p w14:paraId="76B6B44A" w14:textId="77777777" w:rsidR="00C85B14" w:rsidRPr="00AD6C54" w:rsidRDefault="00C85B14" w:rsidP="00382A53">
      <w:pPr>
        <w:rPr>
          <w:rFonts w:cs="Times New Roman"/>
          <w:szCs w:val="24"/>
        </w:rPr>
      </w:pPr>
    </w:p>
    <w:p w14:paraId="1AAFB9A7" w14:textId="782F2CF8" w:rsidR="4FAD4B60" w:rsidRDefault="4FAD4B60">
      <w:r>
        <w:br w:type="page"/>
      </w:r>
    </w:p>
    <w:p w14:paraId="5B5CF9CE" w14:textId="77777777" w:rsidR="001C0E92" w:rsidRPr="00AD6C54" w:rsidRDefault="000D337E" w:rsidP="00795A5D">
      <w:pPr>
        <w:pStyle w:val="Ttulo1"/>
        <w:rPr>
          <w:rFonts w:cs="Times New Roman"/>
          <w:sz w:val="24"/>
          <w:szCs w:val="24"/>
        </w:rPr>
      </w:pPr>
      <w:r w:rsidRPr="00AD6C54">
        <w:rPr>
          <w:rFonts w:cs="Times New Roman"/>
          <w:sz w:val="24"/>
          <w:szCs w:val="24"/>
        </w:rPr>
        <w:lastRenderedPageBreak/>
        <w:t>REFERÊNCIAS</w:t>
      </w:r>
    </w:p>
    <w:p w14:paraId="18E84342" w14:textId="77777777" w:rsidR="001C0E92" w:rsidRPr="00AD6C54" w:rsidRDefault="001C0E92" w:rsidP="001C0E92">
      <w:pPr>
        <w:spacing w:after="168"/>
      </w:pPr>
    </w:p>
    <w:p w14:paraId="0AD3DFB1" w14:textId="36917EB1" w:rsidR="008F3CFA" w:rsidRPr="00260E22" w:rsidRDefault="008F3CFA" w:rsidP="00DF7581">
      <w:pPr>
        <w:spacing w:line="240" w:lineRule="auto"/>
        <w:ind w:firstLine="0"/>
        <w:rPr>
          <w:rFonts w:cs="Times New Roman"/>
          <w:szCs w:val="24"/>
          <w:shd w:val="clear" w:color="auto" w:fill="FFFFFF"/>
        </w:rPr>
      </w:pPr>
      <w:r w:rsidRPr="00260E22">
        <w:rPr>
          <w:rFonts w:cs="Times New Roman"/>
          <w:szCs w:val="24"/>
          <w:shd w:val="clear" w:color="auto" w:fill="FFFFFF"/>
        </w:rPr>
        <w:t>BID. </w:t>
      </w:r>
      <w:r w:rsidRPr="00260E22">
        <w:rPr>
          <w:rFonts w:cs="Times New Roman"/>
          <w:b/>
          <w:bCs/>
          <w:szCs w:val="24"/>
        </w:rPr>
        <w:t>Gastos públicos ineficientes no Brasil chegam a 3,9% do PIB: estudo do BID. </w:t>
      </w:r>
      <w:r w:rsidRPr="00260E22">
        <w:rPr>
          <w:rFonts w:cs="Times New Roman"/>
          <w:szCs w:val="24"/>
          <w:shd w:val="clear" w:color="auto" w:fill="FFFFFF"/>
        </w:rPr>
        <w:t>2019. Disponível em: &lt;https://www.iadb.org/pt/gastos-publicos-ineficientes-no-brasil-chegam-39-do-pib-estudo-do-bid&gt;. Acesso em: 26 out. 2019</w:t>
      </w:r>
    </w:p>
    <w:p w14:paraId="16174467" w14:textId="77777777" w:rsidR="008F3CFA" w:rsidRPr="00260E22" w:rsidRDefault="008F3CFA" w:rsidP="00DF7581">
      <w:pPr>
        <w:spacing w:line="240" w:lineRule="auto"/>
        <w:ind w:firstLine="0"/>
        <w:rPr>
          <w:rFonts w:cs="Times New Roman"/>
          <w:szCs w:val="24"/>
          <w:shd w:val="clear" w:color="auto" w:fill="FFFFFF"/>
        </w:rPr>
      </w:pPr>
    </w:p>
    <w:p w14:paraId="172A84F1" w14:textId="78231CF9" w:rsidR="0078270E" w:rsidRDefault="00557E7A" w:rsidP="00DF7581">
      <w:pPr>
        <w:spacing w:line="240" w:lineRule="auto"/>
        <w:ind w:firstLine="0"/>
        <w:rPr>
          <w:rFonts w:cs="Times New Roman"/>
          <w:szCs w:val="24"/>
          <w:shd w:val="clear" w:color="auto" w:fill="FFFFFF"/>
        </w:rPr>
      </w:pPr>
      <w:r w:rsidRPr="00557E7A">
        <w:rPr>
          <w:rFonts w:cs="Times New Roman"/>
          <w:szCs w:val="24"/>
          <w:shd w:val="clear" w:color="auto" w:fill="FFFFFF"/>
        </w:rPr>
        <w:t xml:space="preserve">BOTELHO, Ana Cristina Melo de Pontes. </w:t>
      </w:r>
      <w:r w:rsidRPr="008F0C87">
        <w:rPr>
          <w:rFonts w:cs="Times New Roman"/>
          <w:b/>
          <w:bCs/>
          <w:szCs w:val="24"/>
          <w:shd w:val="clear" w:color="auto" w:fill="FFFFFF"/>
        </w:rPr>
        <w:t>CORRUPÇÃO POLÍTICA: UMA PATOLOGIA SOCIAL</w:t>
      </w:r>
      <w:r w:rsidRPr="00557E7A">
        <w:rPr>
          <w:rFonts w:cs="Times New Roman"/>
          <w:szCs w:val="24"/>
          <w:shd w:val="clear" w:color="auto" w:fill="FFFFFF"/>
        </w:rPr>
        <w:t>. 2008. 271 f. Dissertação (Mestrado) - Curso de Direito, Instituto Brasiliense de Direito Público, Brasília, 2008</w:t>
      </w:r>
    </w:p>
    <w:p w14:paraId="74A7540C" w14:textId="77777777" w:rsidR="008F0C87" w:rsidRPr="00260E22" w:rsidRDefault="008F0C87" w:rsidP="00DF7581">
      <w:pPr>
        <w:spacing w:line="240" w:lineRule="auto"/>
        <w:ind w:firstLine="0"/>
        <w:rPr>
          <w:rFonts w:cs="Times New Roman"/>
          <w:szCs w:val="24"/>
          <w:shd w:val="clear" w:color="auto" w:fill="FFFFFF"/>
        </w:rPr>
      </w:pPr>
    </w:p>
    <w:p w14:paraId="0251563D" w14:textId="7646B4C1" w:rsidR="0078270E" w:rsidRPr="00260E22" w:rsidRDefault="0078270E" w:rsidP="00DF7581">
      <w:pPr>
        <w:pStyle w:val="PargrafodaLista"/>
        <w:spacing w:line="240" w:lineRule="auto"/>
        <w:ind w:left="0" w:firstLine="0"/>
        <w:rPr>
          <w:rFonts w:cs="Times New Roman"/>
          <w:szCs w:val="24"/>
          <w:shd w:val="clear" w:color="auto" w:fill="FFFFFF"/>
        </w:rPr>
      </w:pPr>
      <w:r w:rsidRPr="00260E22">
        <w:rPr>
          <w:rFonts w:cs="Times New Roman"/>
          <w:szCs w:val="24"/>
          <w:shd w:val="clear" w:color="auto" w:fill="FFFFFF"/>
        </w:rPr>
        <w:t xml:space="preserve">BRASIL. Decreto nº 9203, de 22 de novembro de 2017. </w:t>
      </w:r>
      <w:r w:rsidRPr="00260E22">
        <w:rPr>
          <w:rFonts w:cs="Times New Roman"/>
          <w:b/>
          <w:bCs/>
          <w:szCs w:val="24"/>
          <w:shd w:val="clear" w:color="auto" w:fill="FFFFFF"/>
        </w:rPr>
        <w:t>Dispõe sobre a política de governança da administração pública federal direta, autárquica e fundacional</w:t>
      </w:r>
      <w:r w:rsidRPr="00260E22">
        <w:rPr>
          <w:rFonts w:cs="Times New Roman"/>
          <w:szCs w:val="24"/>
          <w:shd w:val="clear" w:color="auto" w:fill="FFFFFF"/>
        </w:rPr>
        <w:t>. Brasília: Presidência da República do Brasil, Disponível em: &lt;http://www.planalto.gov.br/ccivil_03/_ato2015-2018/2017/decreto/D9203.htm&gt;. Acesso em: 20 nov. 2018.</w:t>
      </w:r>
    </w:p>
    <w:p w14:paraId="68A1684C" w14:textId="77777777" w:rsidR="0078270E" w:rsidRPr="00260E22" w:rsidRDefault="0078270E" w:rsidP="00DF7581">
      <w:pPr>
        <w:pStyle w:val="PargrafodaLista"/>
        <w:spacing w:line="240" w:lineRule="auto"/>
        <w:ind w:left="0" w:firstLine="0"/>
        <w:rPr>
          <w:rFonts w:cs="Times New Roman"/>
          <w:szCs w:val="24"/>
          <w:shd w:val="clear" w:color="auto" w:fill="FFFFFF"/>
        </w:rPr>
      </w:pPr>
    </w:p>
    <w:p w14:paraId="056608AD" w14:textId="25370D28" w:rsidR="0078270E" w:rsidRPr="00260E22" w:rsidRDefault="0078270E" w:rsidP="00DF7581">
      <w:pPr>
        <w:spacing w:line="240" w:lineRule="auto"/>
        <w:ind w:firstLine="0"/>
        <w:rPr>
          <w:rFonts w:cs="Times New Roman"/>
          <w:szCs w:val="24"/>
          <w:shd w:val="clear" w:color="auto" w:fill="FFFFFF"/>
        </w:rPr>
      </w:pPr>
      <w:r w:rsidRPr="00260E22">
        <w:rPr>
          <w:rFonts w:cs="Times New Roman"/>
          <w:szCs w:val="24"/>
          <w:shd w:val="clear" w:color="auto" w:fill="FFFFFF"/>
        </w:rPr>
        <w:t>BRASIL. MINISTÉRIO DA EDUCAÇÃO. </w:t>
      </w:r>
      <w:r w:rsidRPr="00260E22">
        <w:rPr>
          <w:rStyle w:val="Forte"/>
          <w:rFonts w:cs="Times New Roman"/>
          <w:szCs w:val="24"/>
          <w:shd w:val="clear" w:color="auto" w:fill="FFFFFF"/>
        </w:rPr>
        <w:t>IGC. </w:t>
      </w:r>
      <w:r w:rsidRPr="00260E22">
        <w:rPr>
          <w:rFonts w:cs="Times New Roman"/>
          <w:szCs w:val="24"/>
          <w:shd w:val="clear" w:color="auto" w:fill="FFFFFF"/>
        </w:rPr>
        <w:t>Disponível em: &lt;http://portal.mec.gov.br/</w:t>
      </w:r>
      <w:proofErr w:type="spellStart"/>
      <w:r w:rsidRPr="00260E22">
        <w:rPr>
          <w:rFonts w:cs="Times New Roman"/>
          <w:szCs w:val="24"/>
          <w:shd w:val="clear" w:color="auto" w:fill="FFFFFF"/>
        </w:rPr>
        <w:t>igc</w:t>
      </w:r>
      <w:proofErr w:type="spellEnd"/>
      <w:r w:rsidRPr="00260E22">
        <w:rPr>
          <w:rFonts w:cs="Times New Roman"/>
          <w:szCs w:val="24"/>
          <w:shd w:val="clear" w:color="auto" w:fill="FFFFFF"/>
        </w:rPr>
        <w:t>&gt;. Acesso em: 18 set. 2019.</w:t>
      </w:r>
    </w:p>
    <w:p w14:paraId="7A1FDD86" w14:textId="33826048" w:rsidR="0078270E" w:rsidRPr="00260E22" w:rsidRDefault="0078270E" w:rsidP="00DF7581">
      <w:pPr>
        <w:spacing w:line="240" w:lineRule="auto"/>
        <w:ind w:firstLine="0"/>
        <w:rPr>
          <w:rFonts w:cs="Times New Roman"/>
          <w:szCs w:val="24"/>
          <w:shd w:val="clear" w:color="auto" w:fill="FFFFFF"/>
        </w:rPr>
      </w:pPr>
    </w:p>
    <w:p w14:paraId="36679643" w14:textId="44EE39B1" w:rsidR="0078270E" w:rsidRPr="00260E22" w:rsidRDefault="0078270E" w:rsidP="00DF7581">
      <w:pPr>
        <w:pStyle w:val="NormalWeb"/>
        <w:shd w:val="clear" w:color="auto" w:fill="FFFFFF"/>
        <w:spacing w:before="0" w:beforeAutospacing="0" w:after="0" w:afterAutospacing="0"/>
        <w:jc w:val="both"/>
      </w:pPr>
      <w:r w:rsidRPr="00260E22">
        <w:t>BRASIL. MINISTÉRIO DA EDUCAÇÃO</w:t>
      </w:r>
      <w:proofErr w:type="gramStart"/>
      <w:r w:rsidRPr="00260E22">
        <w:t>. .</w:t>
      </w:r>
      <w:proofErr w:type="gramEnd"/>
      <w:r w:rsidRPr="00260E22">
        <w:t> </w:t>
      </w:r>
      <w:r w:rsidRPr="00260E22">
        <w:rPr>
          <w:rStyle w:val="Forte"/>
        </w:rPr>
        <w:t>Secretário do MEC defende maior equidade na distribuição de recursos para universidades. </w:t>
      </w:r>
      <w:r w:rsidRPr="00260E22">
        <w:t>2019. Disponível em: &lt;http://portal.mec.gov.br/component/content/index.php?option=com_content&amp;view=article&amp;id=79271:secretario-do-mec-defende-maior-equidade-na-distribuicao-de-recursos-para-universidades&amp;catid=2&amp;Itemid=86&gt;. Acesso em: 14 set. 2019.</w:t>
      </w:r>
    </w:p>
    <w:p w14:paraId="0F040B9D" w14:textId="77777777" w:rsidR="0078270E" w:rsidRPr="00260E22" w:rsidRDefault="0078270E" w:rsidP="00DF7581">
      <w:pPr>
        <w:pStyle w:val="NormalWeb"/>
        <w:shd w:val="clear" w:color="auto" w:fill="FFFFFF"/>
        <w:spacing w:before="0" w:beforeAutospacing="0" w:after="0" w:afterAutospacing="0"/>
        <w:jc w:val="both"/>
      </w:pPr>
    </w:p>
    <w:p w14:paraId="3EFC68C3" w14:textId="6E402A6B" w:rsidR="0078270E" w:rsidRPr="00260E22" w:rsidRDefault="0078270E" w:rsidP="00DF7581">
      <w:pPr>
        <w:spacing w:line="240" w:lineRule="auto"/>
        <w:ind w:firstLine="0"/>
        <w:rPr>
          <w:rFonts w:cs="Times New Roman"/>
          <w:szCs w:val="24"/>
          <w:shd w:val="clear" w:color="auto" w:fill="FFFFFF"/>
        </w:rPr>
      </w:pPr>
      <w:r w:rsidRPr="00260E22">
        <w:rPr>
          <w:rFonts w:cs="Times New Roman"/>
          <w:szCs w:val="24"/>
          <w:shd w:val="clear" w:color="auto" w:fill="FFFFFF"/>
        </w:rPr>
        <w:t>BRASIL. TRIBUNAL DE CONTAS DA UNIÃO. </w:t>
      </w:r>
      <w:r w:rsidRPr="00260E22">
        <w:rPr>
          <w:rStyle w:val="Forte"/>
          <w:rFonts w:cs="Times New Roman"/>
          <w:szCs w:val="24"/>
          <w:shd w:val="clear" w:color="auto" w:fill="FFFFFF"/>
        </w:rPr>
        <w:t>Governança Organizacional. </w:t>
      </w:r>
      <w:r w:rsidRPr="00260E22">
        <w:rPr>
          <w:rFonts w:cs="Times New Roman"/>
          <w:szCs w:val="24"/>
          <w:shd w:val="clear" w:color="auto" w:fill="FFFFFF"/>
        </w:rPr>
        <w:t>2019. Disponível em: &lt;http://www.tcu.gov.br/</w:t>
      </w:r>
      <w:proofErr w:type="spellStart"/>
      <w:r w:rsidRPr="00260E22">
        <w:rPr>
          <w:rFonts w:cs="Times New Roman"/>
          <w:szCs w:val="24"/>
          <w:shd w:val="clear" w:color="auto" w:fill="FFFFFF"/>
        </w:rPr>
        <w:t>govorganizacional</w:t>
      </w:r>
      <w:proofErr w:type="spellEnd"/>
      <w:r w:rsidRPr="00260E22">
        <w:rPr>
          <w:rFonts w:cs="Times New Roman"/>
          <w:szCs w:val="24"/>
          <w:shd w:val="clear" w:color="auto" w:fill="FFFFFF"/>
        </w:rPr>
        <w:t>/&gt;. Acesso em: 22 set. 2019.</w:t>
      </w:r>
    </w:p>
    <w:p w14:paraId="521774EF" w14:textId="68EDE271" w:rsidR="0078270E" w:rsidRPr="00260E22" w:rsidRDefault="0078270E" w:rsidP="00DF7581">
      <w:pPr>
        <w:spacing w:line="240" w:lineRule="auto"/>
        <w:ind w:firstLine="0"/>
        <w:rPr>
          <w:rFonts w:cs="Times New Roman"/>
          <w:szCs w:val="24"/>
          <w:shd w:val="clear" w:color="auto" w:fill="FFFFFF"/>
        </w:rPr>
      </w:pPr>
    </w:p>
    <w:p w14:paraId="744BE8FD" w14:textId="0592857D" w:rsidR="0078270E" w:rsidRPr="00260E22" w:rsidRDefault="0078270E" w:rsidP="00DF7581">
      <w:pPr>
        <w:spacing w:line="240" w:lineRule="auto"/>
        <w:ind w:firstLine="0"/>
        <w:rPr>
          <w:rFonts w:cs="Times New Roman"/>
          <w:szCs w:val="24"/>
        </w:rPr>
      </w:pPr>
      <w:r w:rsidRPr="00260E22">
        <w:rPr>
          <w:rFonts w:cs="Times New Roman"/>
          <w:szCs w:val="24"/>
        </w:rPr>
        <w:t>BRASIL. Tribunal de Contas da União. Acórdão nº 2699/2018. Plenário. Relator: Ministro Bruno Dantas. Sessão de 21/11/2018. Disponível em: &lt;</w:t>
      </w:r>
      <w:hyperlink r:id="rId11" w:anchor="/documento/acordao-completo/*/NUMACORDAO%253A2699%2520ANOACORDAO%253A2018/DTRELEVANCIA%20desc,%20NUMACORDAOINT%20desc/0/%20?uuid=1d690b10-c201-11e9-a4ad-417430b8e190" w:history="1">
        <w:r w:rsidRPr="00260E22">
          <w:rPr>
            <w:rStyle w:val="Hyperlink"/>
            <w:rFonts w:cs="Times New Roman"/>
            <w:szCs w:val="24"/>
          </w:rPr>
          <w:t>https://pesquisa.apps.tcu.gov.br/#/documento/acordao-completo/*/NUMACORDAO%253A2699%2520ANOACORDAO%253A2018/DTRELEVANCIA%20desc,%20NUMACORDAOINT%20desc/0/%20?uuid=1d690b10-c201-11e9-a4ad-417430b8e190</w:t>
        </w:r>
      </w:hyperlink>
      <w:r w:rsidRPr="00260E22">
        <w:rPr>
          <w:rFonts w:cs="Times New Roman"/>
          <w:szCs w:val="24"/>
        </w:rPr>
        <w:t>&gt;. Acesso em: 18 ago. 2019.</w:t>
      </w:r>
    </w:p>
    <w:p w14:paraId="6117CA73" w14:textId="68BE86E6" w:rsidR="0078270E" w:rsidRPr="00260E22" w:rsidRDefault="0078270E" w:rsidP="00DF7581">
      <w:pPr>
        <w:spacing w:line="240" w:lineRule="auto"/>
        <w:ind w:firstLine="0"/>
        <w:rPr>
          <w:rFonts w:cs="Times New Roman"/>
          <w:szCs w:val="24"/>
        </w:rPr>
      </w:pPr>
    </w:p>
    <w:p w14:paraId="1F361E2F" w14:textId="66AE7F9F" w:rsidR="0078270E" w:rsidRPr="00260E22" w:rsidRDefault="0078270E" w:rsidP="00DF7581">
      <w:pPr>
        <w:spacing w:line="240" w:lineRule="auto"/>
        <w:ind w:firstLine="0"/>
        <w:rPr>
          <w:rFonts w:cs="Times New Roman"/>
          <w:szCs w:val="24"/>
          <w:shd w:val="clear" w:color="auto" w:fill="FFFFFF"/>
        </w:rPr>
      </w:pPr>
      <w:r w:rsidRPr="00260E22">
        <w:rPr>
          <w:rFonts w:cs="Times New Roman"/>
          <w:szCs w:val="24"/>
          <w:shd w:val="clear" w:color="auto" w:fill="FFFFFF"/>
        </w:rPr>
        <w:t xml:space="preserve">BRASIL. Tribunal de Contas da União. Acórdão nº 588. Plenário. Relator: Ministro Bruno Dantas. </w:t>
      </w:r>
      <w:r w:rsidRPr="00260E22">
        <w:rPr>
          <w:rFonts w:cs="Times New Roman"/>
          <w:szCs w:val="24"/>
        </w:rPr>
        <w:t>Sessão de 21/03/2018.</w:t>
      </w:r>
      <w:r w:rsidRPr="00260E22">
        <w:rPr>
          <w:rFonts w:cs="Times New Roman"/>
          <w:szCs w:val="24"/>
          <w:shd w:val="clear" w:color="auto" w:fill="FFFFFF"/>
        </w:rPr>
        <w:t xml:space="preserve"> Disponível em: &lt;https://contas.tcu.gov.br/pesquisaJurisprudencia/#/detalhamento/11/1724520176.PROC%2520/%2520/DTRELEVANCIA%2520desc%252C%2520NUMACORDAOINT%2520desc/false/1/false&gt;. Acesso em: 09 out. 2018.</w:t>
      </w:r>
    </w:p>
    <w:p w14:paraId="4F62EB20" w14:textId="20E307D7" w:rsidR="0078270E" w:rsidRPr="00260E22" w:rsidRDefault="0078270E" w:rsidP="00DF7581">
      <w:pPr>
        <w:spacing w:line="240" w:lineRule="auto"/>
        <w:ind w:firstLine="0"/>
        <w:rPr>
          <w:rFonts w:cs="Times New Roman"/>
          <w:szCs w:val="24"/>
          <w:shd w:val="clear" w:color="auto" w:fill="FFFFFF"/>
        </w:rPr>
      </w:pPr>
    </w:p>
    <w:p w14:paraId="7A30B6AE" w14:textId="5E2BB6B0" w:rsidR="0078270E" w:rsidRPr="00260E22" w:rsidRDefault="0078270E" w:rsidP="00DF7581">
      <w:pPr>
        <w:spacing w:line="240" w:lineRule="auto"/>
        <w:ind w:firstLine="0"/>
        <w:rPr>
          <w:rFonts w:cs="Times New Roman"/>
          <w:szCs w:val="24"/>
        </w:rPr>
      </w:pPr>
      <w:r w:rsidRPr="00260E22">
        <w:rPr>
          <w:rFonts w:cs="Times New Roman"/>
          <w:szCs w:val="24"/>
        </w:rPr>
        <w:t xml:space="preserve">BRASIL. Tribunal de Contas da União. </w:t>
      </w:r>
      <w:r w:rsidRPr="00260E22">
        <w:rPr>
          <w:rFonts w:cs="Times New Roman"/>
          <w:b/>
          <w:bCs/>
          <w:szCs w:val="24"/>
        </w:rPr>
        <w:t>Governança Pública: referencial básico de governança aplicável a órgãos e entidades da administração pública e ações indutoras de melhoria / Tribunal de Contas da União</w:t>
      </w:r>
      <w:r w:rsidRPr="00260E22">
        <w:rPr>
          <w:rFonts w:cs="Times New Roman"/>
          <w:szCs w:val="24"/>
        </w:rPr>
        <w:t>. – Brasília: TCU, Secretaria de Planejamento, Governança e Gestão, 2014. 96 p.</w:t>
      </w:r>
    </w:p>
    <w:p w14:paraId="4E0C7273" w14:textId="4E8F90ED" w:rsidR="001B25A9" w:rsidRPr="00260E22" w:rsidRDefault="001B25A9" w:rsidP="00DF7581">
      <w:pPr>
        <w:spacing w:line="240" w:lineRule="auto"/>
        <w:ind w:firstLine="0"/>
        <w:rPr>
          <w:rFonts w:cs="Times New Roman"/>
          <w:szCs w:val="24"/>
        </w:rPr>
      </w:pPr>
    </w:p>
    <w:p w14:paraId="0BC48887" w14:textId="7994F6CA" w:rsidR="001B25A9" w:rsidRPr="00260E22" w:rsidRDefault="001B25A9" w:rsidP="00DF7581">
      <w:pPr>
        <w:spacing w:line="240" w:lineRule="auto"/>
        <w:ind w:firstLine="0"/>
        <w:rPr>
          <w:rFonts w:cs="Times New Roman"/>
          <w:szCs w:val="24"/>
        </w:rPr>
      </w:pPr>
      <w:r w:rsidRPr="00260E22">
        <w:rPr>
          <w:rFonts w:cs="Times New Roman"/>
          <w:shd w:val="clear" w:color="auto" w:fill="FFFFFF"/>
        </w:rPr>
        <w:t>BRASIL. Tribunal de Contas da União. Fiscalização nº 228/2017. Relator: Ministro Bruno Dantas. </w:t>
      </w:r>
      <w:r w:rsidRPr="00260E22">
        <w:rPr>
          <w:rStyle w:val="Forte"/>
          <w:rFonts w:cs="Times New Roman"/>
          <w:shd w:val="clear" w:color="auto" w:fill="FFFFFF"/>
        </w:rPr>
        <w:t>Relatório de Levantamento</w:t>
      </w:r>
      <w:r w:rsidRPr="00260E22">
        <w:rPr>
          <w:rFonts w:cs="Times New Roman"/>
          <w:shd w:val="clear" w:color="auto" w:fill="FFFFFF"/>
        </w:rPr>
        <w:t xml:space="preserve">. Brasília, 14 jun. 2017. Disponível em: </w:t>
      </w:r>
      <w:r w:rsidRPr="00260E22">
        <w:rPr>
          <w:rFonts w:cs="Times New Roman"/>
          <w:shd w:val="clear" w:color="auto" w:fill="FFFFFF"/>
        </w:rPr>
        <w:lastRenderedPageBreak/>
        <w:t>&lt;https://portal.tcu.gov.br/lumis/portal/file/fileDownload.jsp?fileId=8A81881F62B15ED20162E39DB9C50879&gt;. Acesso em: 29 out. 2019.</w:t>
      </w:r>
    </w:p>
    <w:p w14:paraId="647932A7" w14:textId="18992050" w:rsidR="001B25A9" w:rsidRPr="00260E22" w:rsidRDefault="001B25A9" w:rsidP="00DF7581">
      <w:pPr>
        <w:spacing w:line="240" w:lineRule="auto"/>
        <w:ind w:firstLine="0"/>
        <w:rPr>
          <w:rFonts w:cs="Times New Roman"/>
          <w:szCs w:val="24"/>
        </w:rPr>
      </w:pPr>
    </w:p>
    <w:p w14:paraId="45796944" w14:textId="24E72063" w:rsidR="001B25A9" w:rsidRPr="00260E22" w:rsidRDefault="00BC03F4" w:rsidP="00DF7581">
      <w:pPr>
        <w:spacing w:line="240" w:lineRule="auto"/>
        <w:ind w:firstLine="0"/>
        <w:rPr>
          <w:rFonts w:cs="Times New Roman"/>
          <w:szCs w:val="24"/>
        </w:rPr>
      </w:pPr>
      <w:r w:rsidRPr="00260E22">
        <w:rPr>
          <w:rFonts w:cs="Times New Roman"/>
          <w:shd w:val="clear" w:color="auto" w:fill="FFFFFF"/>
        </w:rPr>
        <w:t>BRASIL. Tribunal de Contas da União. Fiscalização nº 170/2018. Relator: Ministro Bruno Dantas. </w:t>
      </w:r>
      <w:r w:rsidRPr="00260E22">
        <w:rPr>
          <w:rStyle w:val="Forte"/>
          <w:rFonts w:cs="Times New Roman"/>
          <w:shd w:val="clear" w:color="auto" w:fill="FFFFFF"/>
        </w:rPr>
        <w:t>Relatório de Acompanhamento</w:t>
      </w:r>
      <w:r w:rsidRPr="00260E22">
        <w:rPr>
          <w:rFonts w:cs="Times New Roman"/>
          <w:shd w:val="clear" w:color="auto" w:fill="FFFFFF"/>
        </w:rPr>
        <w:t xml:space="preserve">. </w:t>
      </w:r>
      <w:proofErr w:type="gramStart"/>
      <w:r w:rsidRPr="00260E22">
        <w:rPr>
          <w:rFonts w:cs="Times New Roman"/>
          <w:shd w:val="clear" w:color="auto" w:fill="FFFFFF"/>
        </w:rPr>
        <w:t>Brasília,.</w:t>
      </w:r>
      <w:proofErr w:type="gramEnd"/>
      <w:r w:rsidRPr="00260E22">
        <w:rPr>
          <w:rFonts w:cs="Times New Roman"/>
          <w:shd w:val="clear" w:color="auto" w:fill="FFFFFF"/>
        </w:rPr>
        <w:t xml:space="preserve"> Disponível em: &lt;https://portal.tcu.gov.br/lumis/portal/file/fileDownload.jsp?fileId=8A81881F6B4849B5016B9505FC5A254F&gt;. Acesso em: 29 out. 2019.</w:t>
      </w:r>
    </w:p>
    <w:p w14:paraId="00AA3DF7" w14:textId="51332897" w:rsidR="0078270E" w:rsidRPr="00260E22" w:rsidRDefault="0078270E" w:rsidP="00DF7581">
      <w:pPr>
        <w:spacing w:line="240" w:lineRule="auto"/>
        <w:ind w:firstLine="0"/>
        <w:rPr>
          <w:rFonts w:cs="Times New Roman"/>
          <w:szCs w:val="24"/>
        </w:rPr>
      </w:pPr>
    </w:p>
    <w:p w14:paraId="19BB48DF" w14:textId="7BC285CF" w:rsidR="00BA7159" w:rsidRDefault="00BA7159" w:rsidP="00BA7159">
      <w:pPr>
        <w:spacing w:line="240" w:lineRule="auto"/>
        <w:ind w:firstLine="0"/>
        <w:rPr>
          <w:rFonts w:cs="Times New Roman"/>
          <w:szCs w:val="24"/>
        </w:rPr>
      </w:pPr>
      <w:r w:rsidRPr="00A77438">
        <w:rPr>
          <w:rFonts w:eastAsia="Arial Unicode MS" w:cs="Times New Roman"/>
          <w:szCs w:val="24"/>
          <w:shd w:val="clear" w:color="auto" w:fill="FFFFFF"/>
        </w:rPr>
        <w:t xml:space="preserve">CASTRO, Sebastião </w:t>
      </w:r>
      <w:proofErr w:type="spellStart"/>
      <w:r w:rsidRPr="00A77438">
        <w:rPr>
          <w:rFonts w:eastAsia="Arial Unicode MS" w:cs="Times New Roman"/>
          <w:szCs w:val="24"/>
          <w:shd w:val="clear" w:color="auto" w:fill="FFFFFF"/>
        </w:rPr>
        <w:t>Helvecio</w:t>
      </w:r>
      <w:proofErr w:type="spellEnd"/>
      <w:r w:rsidRPr="00A77438">
        <w:rPr>
          <w:rFonts w:eastAsia="Arial Unicode MS" w:cs="Times New Roman"/>
          <w:szCs w:val="24"/>
          <w:shd w:val="clear" w:color="auto" w:fill="FFFFFF"/>
        </w:rPr>
        <w:t xml:space="preserve"> Ramos</w:t>
      </w:r>
      <w:r w:rsidR="00BC66D0" w:rsidRPr="00A77438">
        <w:rPr>
          <w:rFonts w:eastAsia="Arial Unicode MS" w:cs="Times New Roman"/>
          <w:szCs w:val="24"/>
          <w:shd w:val="clear" w:color="auto" w:fill="FFFFFF"/>
        </w:rPr>
        <w:t xml:space="preserve"> de</w:t>
      </w:r>
      <w:r w:rsidR="006E4A33">
        <w:rPr>
          <w:rFonts w:eastAsia="Arial Unicode MS" w:cs="Times New Roman"/>
          <w:szCs w:val="24"/>
          <w:shd w:val="clear" w:color="auto" w:fill="FFFFFF"/>
        </w:rPr>
        <w:t xml:space="preserve">; </w:t>
      </w:r>
      <w:r w:rsidR="006E4A33" w:rsidRPr="00A77438">
        <w:rPr>
          <w:rFonts w:eastAsia="Arial Unicode MS" w:cs="Times New Roman"/>
          <w:szCs w:val="24"/>
          <w:shd w:val="clear" w:color="auto" w:fill="FFFFFF"/>
        </w:rPr>
        <w:t>CARVALHO, Marília Gonçalves de</w:t>
      </w:r>
      <w:r w:rsidRPr="00A77438">
        <w:rPr>
          <w:rFonts w:cs="Times New Roman"/>
          <w:szCs w:val="24"/>
        </w:rPr>
        <w:t xml:space="preserve">. Indicador de efetividade da gestão municipal: contribuição dos tribunais de contas para a melhoria da gestão pública. </w:t>
      </w:r>
      <w:r w:rsidRPr="00A77438">
        <w:rPr>
          <w:rFonts w:cs="Times New Roman"/>
          <w:b/>
          <w:bCs/>
          <w:szCs w:val="24"/>
        </w:rPr>
        <w:t>Sistemas, Cibernética e Informática</w:t>
      </w:r>
      <w:r w:rsidRPr="00A77438">
        <w:rPr>
          <w:rFonts w:cs="Times New Roman"/>
          <w:szCs w:val="24"/>
        </w:rPr>
        <w:t>, v. 14, n. 1, p. 56-60, 2017.</w:t>
      </w:r>
      <w:r w:rsidR="006E7D16" w:rsidRPr="00A77438">
        <w:rPr>
          <w:rFonts w:cs="Times New Roman"/>
          <w:szCs w:val="24"/>
        </w:rPr>
        <w:t xml:space="preserve"> </w:t>
      </w:r>
    </w:p>
    <w:p w14:paraId="7BD2FBC8" w14:textId="68121AE5" w:rsidR="00C12F2A" w:rsidRDefault="00C12F2A" w:rsidP="00BA7159">
      <w:pPr>
        <w:spacing w:line="240" w:lineRule="auto"/>
        <w:ind w:firstLine="0"/>
        <w:rPr>
          <w:rFonts w:cs="Times New Roman"/>
          <w:szCs w:val="24"/>
        </w:rPr>
      </w:pPr>
    </w:p>
    <w:p w14:paraId="14096B6D" w14:textId="6F394B25" w:rsidR="0078270E" w:rsidRPr="00260E22" w:rsidRDefault="0078270E" w:rsidP="00DF7581">
      <w:pPr>
        <w:spacing w:line="240" w:lineRule="auto"/>
        <w:ind w:firstLine="0"/>
        <w:rPr>
          <w:rFonts w:cs="Times New Roman"/>
          <w:szCs w:val="24"/>
          <w:shd w:val="clear" w:color="auto" w:fill="FFFFFF"/>
        </w:rPr>
      </w:pPr>
      <w:r w:rsidRPr="00260E22">
        <w:rPr>
          <w:rFonts w:cs="Times New Roman"/>
          <w:szCs w:val="24"/>
          <w:shd w:val="clear" w:color="auto" w:fill="FFFFFF"/>
        </w:rPr>
        <w:t xml:space="preserve">FAÇANHA, Luís Otávio; MARINHO, Alexandre. </w:t>
      </w:r>
      <w:r w:rsidRPr="00260E22">
        <w:rPr>
          <w:rFonts w:cs="Times New Roman"/>
          <w:b/>
          <w:bCs/>
          <w:szCs w:val="24"/>
          <w:shd w:val="clear" w:color="auto" w:fill="FFFFFF"/>
        </w:rPr>
        <w:t>Instituições de ensino superior governamentais e particulares: avaliação comparativa de eficiência</w:t>
      </w:r>
      <w:r w:rsidRPr="00260E22">
        <w:rPr>
          <w:rFonts w:cs="Times New Roman"/>
          <w:szCs w:val="24"/>
          <w:shd w:val="clear" w:color="auto" w:fill="FFFFFF"/>
        </w:rPr>
        <w:t xml:space="preserve">. </w:t>
      </w:r>
      <w:r w:rsidR="000D6D35">
        <w:rPr>
          <w:rFonts w:cs="Times New Roman"/>
          <w:szCs w:val="24"/>
          <w:shd w:val="clear" w:color="auto" w:fill="FFFFFF"/>
        </w:rPr>
        <w:t>Rio de Janeiro: I</w:t>
      </w:r>
      <w:r w:rsidR="00546008">
        <w:rPr>
          <w:rFonts w:cs="Times New Roman"/>
          <w:szCs w:val="24"/>
          <w:shd w:val="clear" w:color="auto" w:fill="FFFFFF"/>
        </w:rPr>
        <w:t xml:space="preserve">pea, </w:t>
      </w:r>
      <w:r w:rsidRPr="00260E22">
        <w:rPr>
          <w:rFonts w:cs="Times New Roman"/>
          <w:szCs w:val="24"/>
          <w:shd w:val="clear" w:color="auto" w:fill="FFFFFF"/>
        </w:rPr>
        <w:t>2001.</w:t>
      </w:r>
      <w:r w:rsidR="008D7572">
        <w:rPr>
          <w:rFonts w:cs="Times New Roman"/>
          <w:szCs w:val="24"/>
          <w:shd w:val="clear" w:color="auto" w:fill="FFFFFF"/>
        </w:rPr>
        <w:t xml:space="preserve"> (Texto para Discussão, n</w:t>
      </w:r>
      <w:r w:rsidR="004F664F">
        <w:rPr>
          <w:rFonts w:cs="Times New Roman"/>
          <w:szCs w:val="24"/>
          <w:shd w:val="clear" w:color="auto" w:fill="FFFFFF"/>
        </w:rPr>
        <w:t>. 813</w:t>
      </w:r>
      <w:r w:rsidR="008D7572">
        <w:rPr>
          <w:rFonts w:cs="Times New Roman"/>
          <w:szCs w:val="24"/>
          <w:shd w:val="clear" w:color="auto" w:fill="FFFFFF"/>
        </w:rPr>
        <w:t xml:space="preserve">). </w:t>
      </w:r>
    </w:p>
    <w:p w14:paraId="17CF60B6" w14:textId="77777777" w:rsidR="0078270E" w:rsidRPr="00260E22" w:rsidRDefault="0078270E" w:rsidP="00DF7581">
      <w:pPr>
        <w:spacing w:line="240" w:lineRule="auto"/>
        <w:ind w:firstLine="0"/>
        <w:rPr>
          <w:rFonts w:cs="Times New Roman"/>
          <w:szCs w:val="24"/>
          <w:shd w:val="clear" w:color="auto" w:fill="FFFFFF"/>
        </w:rPr>
      </w:pPr>
    </w:p>
    <w:p w14:paraId="56C9A5EE" w14:textId="0404ABED" w:rsidR="0078270E" w:rsidRPr="00260E22" w:rsidRDefault="000C79BB" w:rsidP="00DF7581">
      <w:pPr>
        <w:spacing w:line="240" w:lineRule="auto"/>
        <w:ind w:firstLine="0"/>
        <w:rPr>
          <w:rFonts w:eastAsia="Arial Unicode MS" w:cs="Times New Roman"/>
          <w:szCs w:val="24"/>
          <w:shd w:val="clear" w:color="auto" w:fill="FFFFFF"/>
        </w:rPr>
      </w:pPr>
      <w:r w:rsidRPr="000C79BB">
        <w:rPr>
          <w:rFonts w:eastAsia="Arial Unicode MS" w:cs="Times New Roman"/>
          <w:szCs w:val="24"/>
          <w:shd w:val="clear" w:color="auto" w:fill="FFFFFF"/>
        </w:rPr>
        <w:t xml:space="preserve">FIGUEIREDO FILHO, </w:t>
      </w:r>
      <w:proofErr w:type="spellStart"/>
      <w:r w:rsidRPr="000C79BB">
        <w:rPr>
          <w:rFonts w:eastAsia="Arial Unicode MS" w:cs="Times New Roman"/>
          <w:szCs w:val="24"/>
          <w:shd w:val="clear" w:color="auto" w:fill="FFFFFF"/>
        </w:rPr>
        <w:t>Dalson</w:t>
      </w:r>
      <w:proofErr w:type="spellEnd"/>
      <w:r w:rsidRPr="000C79BB">
        <w:rPr>
          <w:rFonts w:eastAsia="Arial Unicode MS" w:cs="Times New Roman"/>
          <w:szCs w:val="24"/>
          <w:shd w:val="clear" w:color="auto" w:fill="FFFFFF"/>
        </w:rPr>
        <w:t xml:space="preserve"> Britto; SILVA JÚNIOR, José Alexandre da. Desvendando os Mistérios do Coeficiente de Correlação de Pearson (r). </w:t>
      </w:r>
      <w:r w:rsidRPr="000C79BB">
        <w:rPr>
          <w:rFonts w:eastAsia="Arial Unicode MS" w:cs="Times New Roman"/>
          <w:b/>
          <w:bCs/>
          <w:szCs w:val="24"/>
          <w:shd w:val="clear" w:color="auto" w:fill="FFFFFF"/>
        </w:rPr>
        <w:t>Revista Política Hoje</w:t>
      </w:r>
      <w:r w:rsidRPr="000C79BB">
        <w:rPr>
          <w:rFonts w:eastAsia="Arial Unicode MS" w:cs="Times New Roman"/>
          <w:szCs w:val="24"/>
          <w:shd w:val="clear" w:color="auto" w:fill="FFFFFF"/>
        </w:rPr>
        <w:t xml:space="preserve">, Pernambuco, v. 18, n. 1, p.115-146, 2009. </w:t>
      </w:r>
    </w:p>
    <w:p w14:paraId="4C460A39" w14:textId="4DB596EB" w:rsidR="0078270E" w:rsidRDefault="0078270E" w:rsidP="00DF7581">
      <w:pPr>
        <w:spacing w:line="240" w:lineRule="auto"/>
        <w:ind w:firstLine="0"/>
        <w:rPr>
          <w:rFonts w:eastAsia="Arial Unicode MS" w:cs="Times New Roman"/>
          <w:szCs w:val="24"/>
          <w:shd w:val="clear" w:color="auto" w:fill="FFFFFF"/>
        </w:rPr>
      </w:pPr>
    </w:p>
    <w:p w14:paraId="5A91B79E" w14:textId="77777777" w:rsidR="00B24243" w:rsidRPr="00260E22" w:rsidRDefault="00B24243" w:rsidP="00B24243">
      <w:pPr>
        <w:spacing w:line="240" w:lineRule="auto"/>
        <w:ind w:firstLine="0"/>
        <w:rPr>
          <w:rFonts w:cs="Times New Roman"/>
          <w:szCs w:val="24"/>
        </w:rPr>
      </w:pPr>
      <w:r w:rsidRPr="00FB253E">
        <w:rPr>
          <w:rFonts w:cs="Times New Roman"/>
          <w:szCs w:val="24"/>
        </w:rPr>
        <w:t xml:space="preserve">GRAÇAS RUA, Maria das. </w:t>
      </w:r>
      <w:r w:rsidRPr="00FB253E">
        <w:rPr>
          <w:rFonts w:cs="Times New Roman"/>
          <w:bCs/>
          <w:szCs w:val="24"/>
        </w:rPr>
        <w:t>Desafios da administração pública brasileira</w:t>
      </w:r>
      <w:r w:rsidRPr="00FB253E">
        <w:rPr>
          <w:rFonts w:cs="Times New Roman"/>
          <w:szCs w:val="24"/>
        </w:rPr>
        <w:t xml:space="preserve">: governança, autonomia, neutralidade. </w:t>
      </w:r>
      <w:r w:rsidRPr="00FB253E">
        <w:rPr>
          <w:rFonts w:cs="Times New Roman"/>
          <w:b/>
          <w:bCs/>
          <w:szCs w:val="24"/>
        </w:rPr>
        <w:t>Revista do Serviço Público</w:t>
      </w:r>
      <w:r w:rsidRPr="00FB253E">
        <w:rPr>
          <w:rFonts w:cs="Times New Roman"/>
          <w:szCs w:val="24"/>
        </w:rPr>
        <w:t xml:space="preserve">, v. 48, n. 3, p. 133-152, 2014. </w:t>
      </w:r>
    </w:p>
    <w:p w14:paraId="04D7818D" w14:textId="77777777" w:rsidR="00B24243" w:rsidRPr="00260E22" w:rsidRDefault="00B24243" w:rsidP="00DF7581">
      <w:pPr>
        <w:spacing w:line="240" w:lineRule="auto"/>
        <w:ind w:firstLine="0"/>
        <w:rPr>
          <w:rFonts w:eastAsia="Arial Unicode MS" w:cs="Times New Roman"/>
          <w:szCs w:val="24"/>
          <w:shd w:val="clear" w:color="auto" w:fill="FFFFFF"/>
        </w:rPr>
      </w:pPr>
    </w:p>
    <w:p w14:paraId="4AC2D6A4" w14:textId="424462B6" w:rsidR="0078270E" w:rsidRPr="00260E22" w:rsidRDefault="0078270E" w:rsidP="00DF7581">
      <w:pPr>
        <w:pStyle w:val="PargrafodaLista"/>
        <w:spacing w:line="240" w:lineRule="auto"/>
        <w:ind w:left="0" w:firstLine="0"/>
        <w:rPr>
          <w:rFonts w:cs="Times New Roman"/>
          <w:szCs w:val="24"/>
        </w:rPr>
      </w:pPr>
      <w:r w:rsidRPr="00260E22">
        <w:rPr>
          <w:rFonts w:eastAsia="Arial Unicode MS" w:cs="Times New Roman"/>
          <w:szCs w:val="24"/>
          <w:shd w:val="clear" w:color="auto" w:fill="FFFFFF"/>
        </w:rPr>
        <w:t xml:space="preserve">GRATERON, Ivan Ricardo Guevara. Auditoria de gestão: utilização de indicadores de gestão no setor público. </w:t>
      </w:r>
      <w:r w:rsidRPr="00260E22">
        <w:rPr>
          <w:rFonts w:eastAsia="Arial Unicode MS" w:cs="Times New Roman"/>
          <w:b/>
          <w:szCs w:val="24"/>
          <w:shd w:val="clear" w:color="auto" w:fill="FFFFFF"/>
        </w:rPr>
        <w:t>Caderno de estudos</w:t>
      </w:r>
      <w:r w:rsidRPr="00260E22">
        <w:rPr>
          <w:rFonts w:eastAsia="Arial Unicode MS" w:cs="Times New Roman"/>
          <w:szCs w:val="24"/>
          <w:shd w:val="clear" w:color="auto" w:fill="FFFFFF"/>
        </w:rPr>
        <w:t xml:space="preserve">, n. 21, p. 01-18, 1999. </w:t>
      </w:r>
    </w:p>
    <w:p w14:paraId="7A94A81C" w14:textId="77777777" w:rsidR="0078270E" w:rsidRPr="00260E22" w:rsidRDefault="0078270E" w:rsidP="00DF7581">
      <w:pPr>
        <w:pStyle w:val="PargrafodaLista"/>
        <w:spacing w:line="240" w:lineRule="auto"/>
        <w:ind w:left="0" w:firstLine="0"/>
        <w:rPr>
          <w:rFonts w:cs="Times New Roman"/>
          <w:szCs w:val="24"/>
        </w:rPr>
      </w:pPr>
    </w:p>
    <w:p w14:paraId="2FB1232D" w14:textId="61825D02" w:rsidR="0078270E" w:rsidRPr="00260E22" w:rsidRDefault="0078270E" w:rsidP="00DF7581">
      <w:pPr>
        <w:spacing w:line="240" w:lineRule="auto"/>
        <w:ind w:firstLine="0"/>
        <w:rPr>
          <w:rFonts w:cs="Times New Roman"/>
          <w:szCs w:val="24"/>
        </w:rPr>
      </w:pPr>
      <w:r w:rsidRPr="00260E22">
        <w:rPr>
          <w:rFonts w:cs="Times New Roman"/>
          <w:szCs w:val="24"/>
        </w:rPr>
        <w:t xml:space="preserve">KISSLER, Leo; HEIDEMANN, Francisco G. Governança pública: novo modelo regulatório para as relações entre Estado, mercado e </w:t>
      </w:r>
      <w:proofErr w:type="gramStart"/>
      <w:r w:rsidRPr="00260E22">
        <w:rPr>
          <w:rFonts w:cs="Times New Roman"/>
          <w:szCs w:val="24"/>
        </w:rPr>
        <w:t>sociedade?.</w:t>
      </w:r>
      <w:proofErr w:type="gramEnd"/>
      <w:r w:rsidRPr="00260E22">
        <w:rPr>
          <w:rFonts w:cs="Times New Roman"/>
          <w:szCs w:val="24"/>
        </w:rPr>
        <w:t xml:space="preserve"> </w:t>
      </w:r>
      <w:r w:rsidRPr="00260E22">
        <w:rPr>
          <w:rFonts w:cs="Times New Roman"/>
          <w:b/>
          <w:szCs w:val="24"/>
        </w:rPr>
        <w:t>Revista de Administração Pública</w:t>
      </w:r>
      <w:r w:rsidRPr="00260E22">
        <w:rPr>
          <w:rFonts w:cs="Times New Roman"/>
          <w:szCs w:val="24"/>
        </w:rPr>
        <w:t xml:space="preserve">, v. 40, n. 3, p. 479-499, 2006. </w:t>
      </w:r>
    </w:p>
    <w:p w14:paraId="54D9A2CC" w14:textId="3C474114" w:rsidR="0078270E" w:rsidRPr="00260E22" w:rsidRDefault="0078270E" w:rsidP="00DF7581">
      <w:pPr>
        <w:spacing w:line="240" w:lineRule="auto"/>
        <w:ind w:firstLine="0"/>
        <w:rPr>
          <w:rFonts w:cs="Times New Roman"/>
          <w:szCs w:val="24"/>
        </w:rPr>
      </w:pPr>
    </w:p>
    <w:p w14:paraId="30C0317B" w14:textId="548BC21F" w:rsidR="00D2045D" w:rsidRPr="00260E22" w:rsidRDefault="00D2045D" w:rsidP="00DF7581">
      <w:pPr>
        <w:spacing w:line="240" w:lineRule="auto"/>
        <w:ind w:firstLine="0"/>
        <w:rPr>
          <w:rFonts w:cs="Times New Roman"/>
          <w:szCs w:val="24"/>
          <w:shd w:val="clear" w:color="auto" w:fill="FFFFFF"/>
        </w:rPr>
      </w:pPr>
      <w:r w:rsidRPr="00260E22">
        <w:rPr>
          <w:rFonts w:cs="Times New Roman"/>
          <w:szCs w:val="24"/>
          <w:shd w:val="clear" w:color="auto" w:fill="FFFFFF"/>
        </w:rPr>
        <w:t>MARQUES, Maria da Conceição da Costa. Aplicação dos princípios da governança corporativa ao sector público. </w:t>
      </w:r>
      <w:r w:rsidRPr="00260E22">
        <w:rPr>
          <w:rFonts w:cs="Times New Roman"/>
          <w:b/>
          <w:bCs/>
          <w:szCs w:val="24"/>
          <w:shd w:val="clear" w:color="auto" w:fill="FFFFFF"/>
        </w:rPr>
        <w:t>Revista de Administração Contemporânea</w:t>
      </w:r>
      <w:r w:rsidRPr="00260E22">
        <w:rPr>
          <w:rFonts w:cs="Times New Roman"/>
          <w:szCs w:val="24"/>
          <w:shd w:val="clear" w:color="auto" w:fill="FFFFFF"/>
        </w:rPr>
        <w:t>, v. 11, n. 2, p. 11-26, 2007.</w:t>
      </w:r>
      <w:r w:rsidR="006A3EBC">
        <w:rPr>
          <w:rFonts w:cs="Times New Roman"/>
          <w:szCs w:val="24"/>
          <w:shd w:val="clear" w:color="auto" w:fill="FFFFFF"/>
        </w:rPr>
        <w:t xml:space="preserve"> </w:t>
      </w:r>
    </w:p>
    <w:p w14:paraId="502296D0" w14:textId="77777777" w:rsidR="00D2045D" w:rsidRPr="00260E22" w:rsidRDefault="00D2045D" w:rsidP="00DF7581">
      <w:pPr>
        <w:spacing w:line="240" w:lineRule="auto"/>
        <w:ind w:firstLine="0"/>
        <w:rPr>
          <w:rFonts w:cs="Times New Roman"/>
          <w:szCs w:val="24"/>
          <w:shd w:val="clear" w:color="auto" w:fill="FFFFFF"/>
        </w:rPr>
      </w:pPr>
    </w:p>
    <w:p w14:paraId="3EBFB630" w14:textId="530CB0A4" w:rsidR="00203AF2" w:rsidRPr="00260E22" w:rsidRDefault="00430F91" w:rsidP="00203AF2">
      <w:pPr>
        <w:spacing w:line="240" w:lineRule="auto"/>
        <w:ind w:firstLine="0"/>
        <w:rPr>
          <w:rFonts w:cs="Times New Roman"/>
          <w:szCs w:val="24"/>
          <w:shd w:val="clear" w:color="auto" w:fill="FFFFFF"/>
        </w:rPr>
      </w:pPr>
      <w:r w:rsidRPr="00430F91">
        <w:rPr>
          <w:rFonts w:cs="Times New Roman"/>
          <w:szCs w:val="24"/>
          <w:shd w:val="clear" w:color="auto" w:fill="FFFFFF"/>
        </w:rPr>
        <w:t xml:space="preserve">MEDRI, Waldir. </w:t>
      </w:r>
      <w:r w:rsidRPr="00CA16D7">
        <w:rPr>
          <w:rFonts w:cs="Times New Roman"/>
          <w:b/>
          <w:bCs/>
          <w:szCs w:val="24"/>
          <w:shd w:val="clear" w:color="auto" w:fill="FFFFFF"/>
        </w:rPr>
        <w:t>ANÁLISE EXPLORATÓRIA DE DADOS</w:t>
      </w:r>
      <w:r w:rsidRPr="00430F91">
        <w:rPr>
          <w:rFonts w:cs="Times New Roman"/>
          <w:szCs w:val="24"/>
          <w:shd w:val="clear" w:color="auto" w:fill="FFFFFF"/>
        </w:rPr>
        <w:t xml:space="preserve">. Disponível em: &lt;http://www. </w:t>
      </w:r>
      <w:proofErr w:type="spellStart"/>
      <w:r w:rsidRPr="00430F91">
        <w:rPr>
          <w:rFonts w:cs="Times New Roman"/>
          <w:szCs w:val="24"/>
          <w:shd w:val="clear" w:color="auto" w:fill="FFFFFF"/>
        </w:rPr>
        <w:t>uel</w:t>
      </w:r>
      <w:proofErr w:type="spellEnd"/>
      <w:r w:rsidRPr="00430F91">
        <w:rPr>
          <w:rFonts w:cs="Times New Roman"/>
          <w:szCs w:val="24"/>
          <w:shd w:val="clear" w:color="auto" w:fill="FFFFFF"/>
        </w:rPr>
        <w:t xml:space="preserve">. br/pos/estatisticaeducacao/textos_didaticos/especializacao_estatistica. </w:t>
      </w:r>
      <w:proofErr w:type="spellStart"/>
      <w:r w:rsidRPr="00430F91">
        <w:rPr>
          <w:rFonts w:cs="Times New Roman"/>
          <w:szCs w:val="24"/>
          <w:shd w:val="clear" w:color="auto" w:fill="FFFFFF"/>
        </w:rPr>
        <w:t>pdf</w:t>
      </w:r>
      <w:proofErr w:type="spellEnd"/>
      <w:r w:rsidRPr="00430F91">
        <w:rPr>
          <w:rFonts w:cs="Times New Roman"/>
          <w:szCs w:val="24"/>
          <w:shd w:val="clear" w:color="auto" w:fill="FFFFFF"/>
        </w:rPr>
        <w:t>&gt;. Acesso em: 03 out. 2019.</w:t>
      </w:r>
      <w:r w:rsidR="00203AF2">
        <w:rPr>
          <w:rFonts w:cs="Times New Roman"/>
          <w:szCs w:val="24"/>
          <w:shd w:val="clear" w:color="auto" w:fill="FFFFFF"/>
        </w:rPr>
        <w:t xml:space="preserve"> </w:t>
      </w:r>
      <w:r w:rsidR="00203AF2" w:rsidRPr="00260E22">
        <w:rPr>
          <w:rFonts w:cs="Times New Roman"/>
          <w:szCs w:val="24"/>
          <w:shd w:val="clear" w:color="auto" w:fill="FFFFFF"/>
        </w:rPr>
        <w:t xml:space="preserve">Material didático. Universidade </w:t>
      </w:r>
      <w:r w:rsidR="00B46155">
        <w:rPr>
          <w:rFonts w:cs="Times New Roman"/>
          <w:szCs w:val="24"/>
          <w:shd w:val="clear" w:color="auto" w:fill="FFFFFF"/>
        </w:rPr>
        <w:t>Estadual de Londrina</w:t>
      </w:r>
      <w:r w:rsidR="00203AF2" w:rsidRPr="00260E22">
        <w:rPr>
          <w:rFonts w:cs="Times New Roman"/>
          <w:szCs w:val="24"/>
          <w:shd w:val="clear" w:color="auto" w:fill="FFFFFF"/>
        </w:rPr>
        <w:t xml:space="preserve">. </w:t>
      </w:r>
      <w:r w:rsidR="00C30BF0">
        <w:rPr>
          <w:rFonts w:cs="Times New Roman"/>
          <w:szCs w:val="24"/>
          <w:shd w:val="clear" w:color="auto" w:fill="FFFFFF"/>
        </w:rPr>
        <w:t>Curso de Especializ</w:t>
      </w:r>
      <w:r w:rsidR="00DE0D30">
        <w:rPr>
          <w:rFonts w:cs="Times New Roman"/>
          <w:szCs w:val="24"/>
          <w:shd w:val="clear" w:color="auto" w:fill="FFFFFF"/>
        </w:rPr>
        <w:t>ação “Lato Sensu” em Estatística</w:t>
      </w:r>
      <w:r w:rsidR="006F04D0">
        <w:rPr>
          <w:rFonts w:cs="Times New Roman"/>
          <w:szCs w:val="24"/>
          <w:shd w:val="clear" w:color="auto" w:fill="FFFFFF"/>
        </w:rPr>
        <w:t>.</w:t>
      </w:r>
      <w:r w:rsidR="00267B37">
        <w:rPr>
          <w:rFonts w:cs="Times New Roman"/>
          <w:szCs w:val="24"/>
          <w:shd w:val="clear" w:color="auto" w:fill="FFFFFF"/>
        </w:rPr>
        <w:t xml:space="preserve"> </w:t>
      </w:r>
      <w:r w:rsidR="00F516DE">
        <w:rPr>
          <w:rFonts w:cs="Times New Roman"/>
          <w:szCs w:val="24"/>
          <w:shd w:val="clear" w:color="auto" w:fill="FFFFFF"/>
        </w:rPr>
        <w:t>Paraná</w:t>
      </w:r>
      <w:r w:rsidR="00203AF2" w:rsidRPr="00260E22">
        <w:rPr>
          <w:rFonts w:cs="Times New Roman"/>
          <w:szCs w:val="24"/>
          <w:shd w:val="clear" w:color="auto" w:fill="FFFFFF"/>
        </w:rPr>
        <w:t>, 2007.</w:t>
      </w:r>
    </w:p>
    <w:p w14:paraId="5EE92E0D" w14:textId="77777777" w:rsidR="0078270E" w:rsidRPr="00260E22" w:rsidRDefault="0078270E" w:rsidP="00DF7581">
      <w:pPr>
        <w:spacing w:line="240" w:lineRule="auto"/>
        <w:ind w:firstLine="0"/>
        <w:rPr>
          <w:rFonts w:cs="Times New Roman"/>
          <w:szCs w:val="24"/>
          <w:shd w:val="clear" w:color="auto" w:fill="FFFFFF"/>
        </w:rPr>
      </w:pPr>
    </w:p>
    <w:p w14:paraId="2E9122EA" w14:textId="329882F0" w:rsidR="0078270E" w:rsidRPr="00260E22" w:rsidRDefault="0078270E" w:rsidP="00DF7581">
      <w:pPr>
        <w:pStyle w:val="PargrafodaLista"/>
        <w:spacing w:line="240" w:lineRule="auto"/>
        <w:ind w:left="0" w:firstLine="0"/>
        <w:rPr>
          <w:rFonts w:eastAsia="Arial Unicode MS" w:cs="Times New Roman"/>
          <w:szCs w:val="24"/>
          <w:shd w:val="clear" w:color="auto" w:fill="FFFFFF"/>
        </w:rPr>
      </w:pPr>
      <w:r w:rsidRPr="00260E22">
        <w:rPr>
          <w:rFonts w:eastAsia="Arial Unicode MS" w:cs="Times New Roman"/>
          <w:szCs w:val="24"/>
          <w:shd w:val="clear" w:color="auto" w:fill="FFFFFF"/>
        </w:rPr>
        <w:t xml:space="preserve">MELO, Patrícia Martins de Alencar Nogueira de. </w:t>
      </w:r>
      <w:r w:rsidRPr="00260E22">
        <w:rPr>
          <w:rFonts w:eastAsia="Arial Unicode MS" w:cs="Times New Roman"/>
          <w:b/>
          <w:szCs w:val="24"/>
          <w:shd w:val="clear" w:color="auto" w:fill="FFFFFF"/>
        </w:rPr>
        <w:t>O papel do Tribunal de Contas da União como indutor do aperfeiçoamento da governança e gestão pública na Administração Pública Federal.</w:t>
      </w:r>
      <w:r w:rsidRPr="00260E22">
        <w:rPr>
          <w:rFonts w:eastAsia="Arial Unicode MS" w:cs="Times New Roman"/>
          <w:szCs w:val="24"/>
          <w:shd w:val="clear" w:color="auto" w:fill="FFFFFF"/>
        </w:rPr>
        <w:t xml:space="preserve"> 2014. 30 p., Brasília, 2014.</w:t>
      </w:r>
    </w:p>
    <w:p w14:paraId="6655D96D" w14:textId="621296C0" w:rsidR="0078270E" w:rsidRDefault="0078270E" w:rsidP="00DF7581">
      <w:pPr>
        <w:pStyle w:val="PargrafodaLista"/>
        <w:spacing w:line="240" w:lineRule="auto"/>
        <w:ind w:left="0" w:firstLine="0"/>
        <w:rPr>
          <w:rFonts w:eastAsia="Arial Unicode MS" w:cs="Times New Roman"/>
          <w:szCs w:val="24"/>
          <w:shd w:val="clear" w:color="auto" w:fill="FFFFFF"/>
        </w:rPr>
      </w:pPr>
    </w:p>
    <w:p w14:paraId="343D04AD" w14:textId="77777777" w:rsidR="00C926B6" w:rsidRPr="009F6F78" w:rsidRDefault="00C926B6" w:rsidP="00C926B6">
      <w:pPr>
        <w:pStyle w:val="PargrafodaLista"/>
        <w:spacing w:line="240" w:lineRule="auto"/>
        <w:ind w:left="0" w:firstLine="0"/>
        <w:rPr>
          <w:rFonts w:eastAsia="Arial Unicode MS" w:cs="Times New Roman"/>
          <w:sz w:val="22"/>
          <w:shd w:val="clear" w:color="auto" w:fill="FFFFFF"/>
        </w:rPr>
      </w:pPr>
      <w:r w:rsidRPr="00A77438">
        <w:rPr>
          <w:rFonts w:eastAsia="Arial Unicode MS" w:cs="Times New Roman"/>
          <w:szCs w:val="24"/>
          <w:shd w:val="clear" w:color="auto" w:fill="FFFFFF"/>
        </w:rPr>
        <w:t xml:space="preserve">OLIVEIRA, </w:t>
      </w:r>
      <w:proofErr w:type="spellStart"/>
      <w:r w:rsidRPr="00A77438">
        <w:rPr>
          <w:rFonts w:eastAsia="Arial Unicode MS" w:cs="Times New Roman"/>
          <w:szCs w:val="24"/>
          <w:shd w:val="clear" w:color="auto" w:fill="FFFFFF"/>
        </w:rPr>
        <w:t>Antonio</w:t>
      </w:r>
      <w:proofErr w:type="spellEnd"/>
      <w:r w:rsidRPr="00A77438">
        <w:rPr>
          <w:rFonts w:eastAsia="Arial Unicode MS" w:cs="Times New Roman"/>
          <w:szCs w:val="24"/>
          <w:shd w:val="clear" w:color="auto" w:fill="FFFFFF"/>
        </w:rPr>
        <w:t xml:space="preserve"> Gonçalves de; PISA, Beatriz </w:t>
      </w:r>
      <w:proofErr w:type="spellStart"/>
      <w:r w:rsidRPr="00A77438">
        <w:rPr>
          <w:rFonts w:eastAsia="Arial Unicode MS" w:cs="Times New Roman"/>
          <w:szCs w:val="24"/>
          <w:shd w:val="clear" w:color="auto" w:fill="FFFFFF"/>
        </w:rPr>
        <w:t>Jackiu</w:t>
      </w:r>
      <w:proofErr w:type="spellEnd"/>
      <w:r w:rsidRPr="00A77438">
        <w:rPr>
          <w:rFonts w:eastAsia="Arial Unicode MS" w:cs="Times New Roman"/>
          <w:szCs w:val="24"/>
          <w:shd w:val="clear" w:color="auto" w:fill="FFFFFF"/>
        </w:rPr>
        <w:t xml:space="preserve">. </w:t>
      </w:r>
      <w:proofErr w:type="spellStart"/>
      <w:r w:rsidRPr="00A77438">
        <w:rPr>
          <w:rFonts w:eastAsia="Arial Unicode MS" w:cs="Times New Roman"/>
          <w:szCs w:val="24"/>
          <w:shd w:val="clear" w:color="auto" w:fill="FFFFFF"/>
        </w:rPr>
        <w:t>IGovP</w:t>
      </w:r>
      <w:proofErr w:type="spellEnd"/>
      <w:r w:rsidRPr="00A77438">
        <w:rPr>
          <w:rFonts w:eastAsia="Arial Unicode MS" w:cs="Times New Roman"/>
          <w:szCs w:val="24"/>
          <w:shd w:val="clear" w:color="auto" w:fill="FFFFFF"/>
        </w:rPr>
        <w:t xml:space="preserve">: índice de avaliação da governança pública—instrumento de planejamento do Estado e de controle social pelo cidadão. </w:t>
      </w:r>
      <w:r w:rsidRPr="00A77438">
        <w:rPr>
          <w:rFonts w:eastAsia="Arial Unicode MS" w:cs="Times New Roman"/>
          <w:b/>
          <w:bCs/>
          <w:szCs w:val="24"/>
          <w:shd w:val="clear" w:color="auto" w:fill="FFFFFF"/>
        </w:rPr>
        <w:t>Revista de Administração Pública-RAP</w:t>
      </w:r>
      <w:r w:rsidRPr="00A77438">
        <w:rPr>
          <w:rFonts w:eastAsia="Arial Unicode MS" w:cs="Times New Roman"/>
          <w:szCs w:val="24"/>
          <w:shd w:val="clear" w:color="auto" w:fill="FFFFFF"/>
        </w:rPr>
        <w:t xml:space="preserve">, v. 49, n. 5, p. 1263-1290, 2015. </w:t>
      </w:r>
    </w:p>
    <w:p w14:paraId="1956DBDA" w14:textId="3A1D562A" w:rsidR="00C926B6" w:rsidRDefault="00C926B6" w:rsidP="00DF7581">
      <w:pPr>
        <w:pStyle w:val="PargrafodaLista"/>
        <w:spacing w:line="240" w:lineRule="auto"/>
        <w:ind w:left="0" w:firstLine="0"/>
        <w:rPr>
          <w:rFonts w:eastAsia="Arial Unicode MS" w:cs="Times New Roman"/>
          <w:szCs w:val="24"/>
          <w:shd w:val="clear" w:color="auto" w:fill="FFFFFF"/>
        </w:rPr>
      </w:pPr>
    </w:p>
    <w:p w14:paraId="127F516B" w14:textId="620857BC" w:rsidR="00EE3D9A" w:rsidRPr="00EE3D9A" w:rsidRDefault="00EE3D9A" w:rsidP="00DF7581">
      <w:pPr>
        <w:pStyle w:val="PargrafodaLista"/>
        <w:spacing w:line="240" w:lineRule="auto"/>
        <w:ind w:left="0" w:firstLine="0"/>
        <w:rPr>
          <w:rFonts w:cs="Times New Roman"/>
          <w:szCs w:val="24"/>
          <w:shd w:val="clear" w:color="auto" w:fill="FFFFFF"/>
        </w:rPr>
      </w:pPr>
      <w:r w:rsidRPr="00EE3D9A">
        <w:rPr>
          <w:rFonts w:cs="Times New Roman"/>
          <w:szCs w:val="24"/>
          <w:shd w:val="clear" w:color="auto" w:fill="FFFFFF"/>
        </w:rPr>
        <w:t>PEREIRA, Paulo Trigo. A teoria da escolha pública (</w:t>
      </w:r>
      <w:proofErr w:type="spellStart"/>
      <w:r w:rsidRPr="00EE3D9A">
        <w:rPr>
          <w:rFonts w:cs="Times New Roman"/>
          <w:szCs w:val="24"/>
          <w:shd w:val="clear" w:color="auto" w:fill="FFFFFF"/>
        </w:rPr>
        <w:t>public</w:t>
      </w:r>
      <w:proofErr w:type="spellEnd"/>
      <w:r w:rsidRPr="00EE3D9A">
        <w:rPr>
          <w:rFonts w:cs="Times New Roman"/>
          <w:szCs w:val="24"/>
          <w:shd w:val="clear" w:color="auto" w:fill="FFFFFF"/>
        </w:rPr>
        <w:t xml:space="preserve"> </w:t>
      </w:r>
      <w:proofErr w:type="spellStart"/>
      <w:r w:rsidRPr="00EE3D9A">
        <w:rPr>
          <w:rFonts w:cs="Times New Roman"/>
          <w:szCs w:val="24"/>
          <w:shd w:val="clear" w:color="auto" w:fill="FFFFFF"/>
        </w:rPr>
        <w:t>choice</w:t>
      </w:r>
      <w:proofErr w:type="spellEnd"/>
      <w:r w:rsidRPr="00EE3D9A">
        <w:rPr>
          <w:rFonts w:cs="Times New Roman"/>
          <w:szCs w:val="24"/>
          <w:shd w:val="clear" w:color="auto" w:fill="FFFFFF"/>
        </w:rPr>
        <w:t>): uma abordagem neoliberal? </w:t>
      </w:r>
      <w:r w:rsidRPr="00EE3D9A">
        <w:rPr>
          <w:rFonts w:cs="Times New Roman"/>
          <w:b/>
          <w:bCs/>
          <w:szCs w:val="24"/>
        </w:rPr>
        <w:t>Análise Social</w:t>
      </w:r>
      <w:r w:rsidRPr="00EE3D9A">
        <w:rPr>
          <w:rFonts w:cs="Times New Roman"/>
          <w:szCs w:val="24"/>
          <w:shd w:val="clear" w:color="auto" w:fill="FFFFFF"/>
        </w:rPr>
        <w:t>, Lisboa, v. 32, n. 141, p.419-442, fev. 1997.</w:t>
      </w:r>
    </w:p>
    <w:p w14:paraId="751AA1A8" w14:textId="77777777" w:rsidR="00EE3D9A" w:rsidRPr="00260E22" w:rsidRDefault="00EE3D9A" w:rsidP="00DF7581">
      <w:pPr>
        <w:pStyle w:val="PargrafodaLista"/>
        <w:spacing w:line="240" w:lineRule="auto"/>
        <w:ind w:left="0" w:firstLine="0"/>
        <w:rPr>
          <w:rFonts w:eastAsia="Arial Unicode MS" w:cs="Times New Roman"/>
          <w:szCs w:val="24"/>
          <w:shd w:val="clear" w:color="auto" w:fill="FFFFFF"/>
        </w:rPr>
      </w:pPr>
    </w:p>
    <w:p w14:paraId="2A344377" w14:textId="0F347EA5" w:rsidR="0078270E" w:rsidRPr="00260E22" w:rsidRDefault="0078270E" w:rsidP="00DF7581">
      <w:pPr>
        <w:spacing w:line="240" w:lineRule="auto"/>
        <w:ind w:firstLine="0"/>
        <w:rPr>
          <w:rFonts w:cs="Times New Roman"/>
          <w:szCs w:val="24"/>
          <w:shd w:val="clear" w:color="auto" w:fill="FFFFFF"/>
        </w:rPr>
      </w:pPr>
      <w:r w:rsidRPr="00260E22">
        <w:rPr>
          <w:rFonts w:cs="Times New Roman"/>
          <w:szCs w:val="24"/>
          <w:shd w:val="clear" w:color="auto" w:fill="FFFFFF"/>
        </w:rPr>
        <w:lastRenderedPageBreak/>
        <w:t xml:space="preserve">PESSÔA, Vera Lúcia Salazar. </w:t>
      </w:r>
      <w:r w:rsidRPr="00260E22">
        <w:rPr>
          <w:rFonts w:cs="Times New Roman"/>
          <w:b/>
          <w:szCs w:val="24"/>
          <w:shd w:val="clear" w:color="auto" w:fill="FFFFFF"/>
        </w:rPr>
        <w:t xml:space="preserve">Fundamentos de Metodologia Científica para elaboração de trabalhos científicos: </w:t>
      </w:r>
      <w:r w:rsidRPr="00260E22">
        <w:rPr>
          <w:rFonts w:cs="Times New Roman"/>
          <w:szCs w:val="24"/>
          <w:shd w:val="clear" w:color="auto" w:fill="FFFFFF"/>
        </w:rPr>
        <w:t>Roteiro Básico para elaboração do trabalho científico. Material didático. Universidade Federal de Goiás – Campus de Catalão. Goiás: não publicado, 2007.</w:t>
      </w:r>
    </w:p>
    <w:p w14:paraId="5D33E3EB" w14:textId="77777777" w:rsidR="0078270E" w:rsidRPr="00260E22" w:rsidRDefault="0078270E" w:rsidP="00DF7581">
      <w:pPr>
        <w:spacing w:line="240" w:lineRule="auto"/>
        <w:ind w:firstLine="0"/>
        <w:rPr>
          <w:rFonts w:cs="Times New Roman"/>
          <w:szCs w:val="24"/>
          <w:shd w:val="clear" w:color="auto" w:fill="FFFFFF"/>
        </w:rPr>
      </w:pPr>
    </w:p>
    <w:p w14:paraId="3713A4B5" w14:textId="1005CD08" w:rsidR="0078270E" w:rsidRPr="00260E22" w:rsidRDefault="0078270E" w:rsidP="00DF7581">
      <w:pPr>
        <w:pStyle w:val="PargrafodaLista"/>
        <w:spacing w:line="240" w:lineRule="auto"/>
        <w:ind w:left="0" w:firstLine="0"/>
        <w:rPr>
          <w:rFonts w:cs="Times New Roman"/>
          <w:szCs w:val="24"/>
          <w:shd w:val="clear" w:color="auto" w:fill="FFFFFF"/>
        </w:rPr>
      </w:pPr>
      <w:r w:rsidRPr="00260E22">
        <w:rPr>
          <w:rFonts w:cs="Times New Roman"/>
          <w:szCs w:val="24"/>
          <w:shd w:val="clear" w:color="auto" w:fill="FFFFFF"/>
        </w:rPr>
        <w:t xml:space="preserve">ROCHA, Arlindo Carvalho. Accountability na administração pública: modelos teóricos e abordagens. </w:t>
      </w:r>
      <w:r w:rsidRPr="00260E22">
        <w:rPr>
          <w:rFonts w:cs="Times New Roman"/>
          <w:b/>
          <w:szCs w:val="24"/>
          <w:shd w:val="clear" w:color="auto" w:fill="FFFFFF"/>
        </w:rPr>
        <w:t>Revista Contabilidade, Gestão e Governança</w:t>
      </w:r>
      <w:r w:rsidRPr="00260E22">
        <w:rPr>
          <w:rFonts w:cs="Times New Roman"/>
          <w:szCs w:val="24"/>
          <w:shd w:val="clear" w:color="auto" w:fill="FFFFFF"/>
        </w:rPr>
        <w:t>, v. 14, n. 2, 2011.</w:t>
      </w:r>
      <w:r w:rsidR="0014212F">
        <w:rPr>
          <w:rFonts w:cs="Times New Roman"/>
          <w:szCs w:val="24"/>
          <w:shd w:val="clear" w:color="auto" w:fill="FFFFFF"/>
        </w:rPr>
        <w:t xml:space="preserve"> </w:t>
      </w:r>
    </w:p>
    <w:p w14:paraId="3916CDAD" w14:textId="77777777" w:rsidR="0078270E" w:rsidRPr="00260E22" w:rsidRDefault="0078270E" w:rsidP="00DF7581">
      <w:pPr>
        <w:pStyle w:val="PargrafodaLista"/>
        <w:spacing w:line="240" w:lineRule="auto"/>
        <w:ind w:left="0" w:firstLine="0"/>
        <w:rPr>
          <w:rFonts w:cs="Times New Roman"/>
          <w:szCs w:val="24"/>
          <w:shd w:val="clear" w:color="auto" w:fill="FFFFFF"/>
        </w:rPr>
      </w:pPr>
    </w:p>
    <w:p w14:paraId="5267EB62" w14:textId="49976839" w:rsidR="00F52EF3" w:rsidRPr="00260E22" w:rsidRDefault="00436CB1" w:rsidP="00DF7581">
      <w:pPr>
        <w:spacing w:line="240" w:lineRule="auto"/>
        <w:ind w:firstLine="0"/>
        <w:rPr>
          <w:rFonts w:cs="Times New Roman"/>
          <w:szCs w:val="24"/>
          <w:shd w:val="clear" w:color="auto" w:fill="FFFFFF"/>
        </w:rPr>
      </w:pPr>
      <w:r w:rsidRPr="00436CB1">
        <w:rPr>
          <w:rFonts w:cs="Times New Roman"/>
          <w:szCs w:val="24"/>
          <w:shd w:val="clear" w:color="auto" w:fill="FFFFFF"/>
        </w:rPr>
        <w:t xml:space="preserve">ROLIM, </w:t>
      </w:r>
      <w:proofErr w:type="spellStart"/>
      <w:r w:rsidRPr="00436CB1">
        <w:rPr>
          <w:rFonts w:cs="Times New Roman"/>
          <w:szCs w:val="24"/>
          <w:shd w:val="clear" w:color="auto" w:fill="FFFFFF"/>
        </w:rPr>
        <w:t>Luckas</w:t>
      </w:r>
      <w:proofErr w:type="spellEnd"/>
      <w:r w:rsidRPr="00436CB1">
        <w:rPr>
          <w:rFonts w:cs="Times New Roman"/>
          <w:szCs w:val="24"/>
          <w:shd w:val="clear" w:color="auto" w:fill="FFFFFF"/>
        </w:rPr>
        <w:t xml:space="preserve"> Fernandes. </w:t>
      </w:r>
      <w:r w:rsidRPr="00436CB1">
        <w:rPr>
          <w:rFonts w:cs="Times New Roman"/>
          <w:b/>
          <w:bCs/>
          <w:szCs w:val="24"/>
          <w:shd w:val="clear" w:color="auto" w:fill="FFFFFF"/>
        </w:rPr>
        <w:t>Análise da Eficiência dos Gastos das Instituições Federais de Ensino Superior no Brasil</w:t>
      </w:r>
      <w:r w:rsidRPr="00436CB1">
        <w:rPr>
          <w:rFonts w:cs="Times New Roman"/>
          <w:szCs w:val="24"/>
          <w:shd w:val="clear" w:color="auto" w:fill="FFFFFF"/>
        </w:rPr>
        <w:t xml:space="preserve">. 2017. 44 f. TCC (Graduação) - Curso de Ciências Econômicas, Universidade Federal da Paraíba, João Pessoa, 2017. </w:t>
      </w:r>
    </w:p>
    <w:p w14:paraId="5FD2C719" w14:textId="342CFD2C" w:rsidR="00F52EF3" w:rsidRPr="00260E22" w:rsidRDefault="00F52EF3" w:rsidP="00DF7581">
      <w:pPr>
        <w:spacing w:line="240" w:lineRule="auto"/>
        <w:ind w:firstLine="0"/>
        <w:rPr>
          <w:rFonts w:cs="Times New Roman"/>
          <w:szCs w:val="24"/>
          <w:shd w:val="clear" w:color="auto" w:fill="FFFFFF"/>
        </w:rPr>
      </w:pPr>
    </w:p>
    <w:p w14:paraId="3CF95AD3" w14:textId="32D4BEE5" w:rsidR="00F52EF3" w:rsidRPr="00260E22" w:rsidRDefault="00F52EF3" w:rsidP="00DF7581">
      <w:pPr>
        <w:spacing w:line="240" w:lineRule="auto"/>
        <w:ind w:firstLine="0"/>
        <w:rPr>
          <w:rFonts w:cs="Times New Roman"/>
          <w:szCs w:val="24"/>
          <w:shd w:val="clear" w:color="auto" w:fill="FFFFFF"/>
        </w:rPr>
      </w:pPr>
      <w:r w:rsidRPr="00260E22">
        <w:rPr>
          <w:rFonts w:cs="Times New Roman"/>
          <w:shd w:val="clear" w:color="auto" w:fill="FFFFFF"/>
        </w:rPr>
        <w:t>ROSILHO, Andr</w:t>
      </w:r>
      <w:r w:rsidR="00C87A99" w:rsidRPr="00260E22">
        <w:rPr>
          <w:rFonts w:cs="Times New Roman"/>
          <w:shd w:val="clear" w:color="auto" w:fill="FFFFFF"/>
        </w:rPr>
        <w:t>é</w:t>
      </w:r>
      <w:r w:rsidRPr="00260E22">
        <w:rPr>
          <w:rFonts w:cs="Times New Roman"/>
          <w:shd w:val="clear" w:color="auto" w:fill="FFFFFF"/>
        </w:rPr>
        <w:t>. </w:t>
      </w:r>
      <w:r w:rsidRPr="00260E22">
        <w:rPr>
          <w:rStyle w:val="Forte"/>
          <w:rFonts w:cs="Times New Roman"/>
          <w:shd w:val="clear" w:color="auto" w:fill="FFFFFF"/>
        </w:rPr>
        <w:t xml:space="preserve">TCU: indutor da boa </w:t>
      </w:r>
      <w:proofErr w:type="gramStart"/>
      <w:r w:rsidRPr="00260E22">
        <w:rPr>
          <w:rStyle w:val="Forte"/>
          <w:rFonts w:cs="Times New Roman"/>
          <w:shd w:val="clear" w:color="auto" w:fill="FFFFFF"/>
        </w:rPr>
        <w:t>governança?:</w:t>
      </w:r>
      <w:proofErr w:type="gramEnd"/>
      <w:r w:rsidRPr="00260E22">
        <w:rPr>
          <w:rStyle w:val="Forte"/>
          <w:rFonts w:cs="Times New Roman"/>
          <w:shd w:val="clear" w:color="auto" w:fill="FFFFFF"/>
        </w:rPr>
        <w:t> </w:t>
      </w:r>
      <w:r w:rsidRPr="00260E22">
        <w:rPr>
          <w:rFonts w:cs="Times New Roman"/>
          <w:shd w:val="clear" w:color="auto" w:fill="FFFFFF"/>
        </w:rPr>
        <w:t>Estudos técnicos não vinculantes podem ajudar a gestão pública. 2018. Disponível em: &lt;https://www.jota.info/opiniao-e-analise/colunas/controle-publico/tcu-indutor-da-boa-governanca-09072018&gt;. Acesso em: 26 out. 2019.</w:t>
      </w:r>
    </w:p>
    <w:p w14:paraId="41B76A82" w14:textId="47AC99EB" w:rsidR="0078270E" w:rsidRPr="00260E22" w:rsidRDefault="0078270E" w:rsidP="00DF7581">
      <w:pPr>
        <w:spacing w:line="240" w:lineRule="auto"/>
        <w:ind w:firstLine="0"/>
        <w:rPr>
          <w:rFonts w:cs="Times New Roman"/>
          <w:szCs w:val="24"/>
          <w:shd w:val="clear" w:color="auto" w:fill="FFFFFF"/>
        </w:rPr>
      </w:pPr>
    </w:p>
    <w:p w14:paraId="27140FAC" w14:textId="18802D57" w:rsidR="00E63056" w:rsidRDefault="00E63056" w:rsidP="00DF7581">
      <w:pPr>
        <w:pStyle w:val="PargrafodaLista"/>
        <w:spacing w:line="240" w:lineRule="auto"/>
        <w:ind w:left="0" w:firstLine="0"/>
        <w:rPr>
          <w:rFonts w:eastAsia="Arial Unicode MS" w:cs="Times New Roman"/>
          <w:szCs w:val="24"/>
          <w:shd w:val="clear" w:color="auto" w:fill="FFFFFF"/>
        </w:rPr>
      </w:pPr>
      <w:r w:rsidRPr="00E63056">
        <w:rPr>
          <w:rFonts w:eastAsia="Arial Unicode MS" w:cs="Times New Roman"/>
          <w:szCs w:val="24"/>
          <w:shd w:val="clear" w:color="auto" w:fill="FFFFFF"/>
        </w:rPr>
        <w:t xml:space="preserve">SCAGLIONE, Vera Lucia Telles; COSTA, Marcello </w:t>
      </w:r>
      <w:proofErr w:type="spellStart"/>
      <w:r w:rsidRPr="00E63056">
        <w:rPr>
          <w:rFonts w:eastAsia="Arial Unicode MS" w:cs="Times New Roman"/>
          <w:szCs w:val="24"/>
          <w:shd w:val="clear" w:color="auto" w:fill="FFFFFF"/>
        </w:rPr>
        <w:t>Nitz</w:t>
      </w:r>
      <w:proofErr w:type="spellEnd"/>
      <w:r w:rsidRPr="00E63056">
        <w:rPr>
          <w:rFonts w:eastAsia="Arial Unicode MS" w:cs="Times New Roman"/>
          <w:szCs w:val="24"/>
          <w:shd w:val="clear" w:color="auto" w:fill="FFFFFF"/>
        </w:rPr>
        <w:t xml:space="preserve"> da. </w:t>
      </w:r>
      <w:r w:rsidR="008A5791" w:rsidRPr="00E63056">
        <w:rPr>
          <w:rFonts w:eastAsia="Arial Unicode MS" w:cs="Times New Roman"/>
          <w:szCs w:val="24"/>
          <w:shd w:val="clear" w:color="auto" w:fill="FFFFFF"/>
        </w:rPr>
        <w:t xml:space="preserve">Avaliação da educação superior e a gestão universitária: padrões de qualidade definidos pelas instituições de ensino superior, pelo </w:t>
      </w:r>
      <w:proofErr w:type="spellStart"/>
      <w:r w:rsidR="008A5791" w:rsidRPr="00E63056">
        <w:rPr>
          <w:rFonts w:eastAsia="Arial Unicode MS" w:cs="Times New Roman"/>
          <w:szCs w:val="24"/>
          <w:shd w:val="clear" w:color="auto" w:fill="FFFFFF"/>
        </w:rPr>
        <w:t>mec</w:t>
      </w:r>
      <w:proofErr w:type="spellEnd"/>
      <w:r w:rsidR="008A5791" w:rsidRPr="00E63056">
        <w:rPr>
          <w:rFonts w:eastAsia="Arial Unicode MS" w:cs="Times New Roman"/>
          <w:szCs w:val="24"/>
          <w:shd w:val="clear" w:color="auto" w:fill="FFFFFF"/>
        </w:rPr>
        <w:t xml:space="preserve"> e pela sociedade, incluindo </w:t>
      </w:r>
      <w:proofErr w:type="spellStart"/>
      <w:r w:rsidR="008A5791" w:rsidRPr="00E63056">
        <w:rPr>
          <w:rFonts w:eastAsia="Arial Unicode MS" w:cs="Times New Roman"/>
          <w:szCs w:val="24"/>
          <w:shd w:val="clear" w:color="auto" w:fill="FFFFFF"/>
        </w:rPr>
        <w:t>enade</w:t>
      </w:r>
      <w:proofErr w:type="spellEnd"/>
      <w:r w:rsidR="008A5791" w:rsidRPr="00E63056">
        <w:rPr>
          <w:rFonts w:eastAsia="Arial Unicode MS" w:cs="Times New Roman"/>
          <w:szCs w:val="24"/>
          <w:shd w:val="clear" w:color="auto" w:fill="FFFFFF"/>
        </w:rPr>
        <w:t xml:space="preserve">, </w:t>
      </w:r>
      <w:proofErr w:type="spellStart"/>
      <w:r w:rsidR="008A5791" w:rsidRPr="00E63056">
        <w:rPr>
          <w:rFonts w:eastAsia="Arial Unicode MS" w:cs="Times New Roman"/>
          <w:szCs w:val="24"/>
          <w:shd w:val="clear" w:color="auto" w:fill="FFFFFF"/>
        </w:rPr>
        <w:t>idd</w:t>
      </w:r>
      <w:proofErr w:type="spellEnd"/>
      <w:r w:rsidR="008A5791" w:rsidRPr="00E63056">
        <w:rPr>
          <w:rFonts w:eastAsia="Arial Unicode MS" w:cs="Times New Roman"/>
          <w:szCs w:val="24"/>
          <w:shd w:val="clear" w:color="auto" w:fill="FFFFFF"/>
        </w:rPr>
        <w:t xml:space="preserve">, </w:t>
      </w:r>
      <w:proofErr w:type="spellStart"/>
      <w:r w:rsidR="008A5791" w:rsidRPr="00E63056">
        <w:rPr>
          <w:rFonts w:eastAsia="Arial Unicode MS" w:cs="Times New Roman"/>
          <w:szCs w:val="24"/>
          <w:shd w:val="clear" w:color="auto" w:fill="FFFFFF"/>
        </w:rPr>
        <w:t>cpc</w:t>
      </w:r>
      <w:proofErr w:type="spellEnd"/>
      <w:r w:rsidR="008A5791" w:rsidRPr="00E63056">
        <w:rPr>
          <w:rFonts w:eastAsia="Arial Unicode MS" w:cs="Times New Roman"/>
          <w:szCs w:val="24"/>
          <w:shd w:val="clear" w:color="auto" w:fill="FFFFFF"/>
        </w:rPr>
        <w:t xml:space="preserve"> e </w:t>
      </w:r>
      <w:proofErr w:type="spellStart"/>
      <w:r w:rsidR="008A5791" w:rsidRPr="00E63056">
        <w:rPr>
          <w:rFonts w:eastAsia="Arial Unicode MS" w:cs="Times New Roman"/>
          <w:szCs w:val="24"/>
          <w:shd w:val="clear" w:color="auto" w:fill="FFFFFF"/>
        </w:rPr>
        <w:t>igc</w:t>
      </w:r>
      <w:proofErr w:type="spellEnd"/>
      <w:r w:rsidRPr="00E63056">
        <w:rPr>
          <w:rFonts w:eastAsia="Arial Unicode MS" w:cs="Times New Roman"/>
          <w:szCs w:val="24"/>
          <w:shd w:val="clear" w:color="auto" w:fill="FFFFFF"/>
        </w:rPr>
        <w:t xml:space="preserve">. </w:t>
      </w:r>
      <w:r w:rsidR="008A5791" w:rsidRPr="008A5791">
        <w:rPr>
          <w:rFonts w:eastAsia="Arial Unicode MS" w:cs="Times New Roman"/>
          <w:b/>
          <w:bCs/>
          <w:szCs w:val="24"/>
          <w:shd w:val="clear" w:color="auto" w:fill="FFFFFF"/>
        </w:rPr>
        <w:t>Colóquio internacional sobre gestão universitária na américa do su</w:t>
      </w:r>
      <w:r w:rsidR="008A5791">
        <w:rPr>
          <w:rFonts w:eastAsia="Arial Unicode MS" w:cs="Times New Roman"/>
          <w:szCs w:val="24"/>
          <w:shd w:val="clear" w:color="auto" w:fill="FFFFFF"/>
        </w:rPr>
        <w:t>l</w:t>
      </w:r>
      <w:r w:rsidRPr="00E63056">
        <w:rPr>
          <w:rFonts w:eastAsia="Arial Unicode MS" w:cs="Times New Roman"/>
          <w:szCs w:val="24"/>
          <w:shd w:val="clear" w:color="auto" w:fill="FFFFFF"/>
        </w:rPr>
        <w:t>, 11., 2011</w:t>
      </w:r>
      <w:r w:rsidR="008A5791">
        <w:rPr>
          <w:rFonts w:eastAsia="Arial Unicode MS" w:cs="Times New Roman"/>
          <w:szCs w:val="24"/>
          <w:shd w:val="clear" w:color="auto" w:fill="FFFFFF"/>
        </w:rPr>
        <w:t>.</w:t>
      </w:r>
      <w:r w:rsidRPr="00E63056">
        <w:rPr>
          <w:rFonts w:eastAsia="Arial Unicode MS" w:cs="Times New Roman"/>
          <w:b/>
          <w:bCs/>
          <w:szCs w:val="24"/>
        </w:rPr>
        <w:t> </w:t>
      </w:r>
      <w:r w:rsidRPr="00E63056">
        <w:rPr>
          <w:rFonts w:eastAsia="Arial Unicode MS" w:cs="Times New Roman"/>
          <w:szCs w:val="24"/>
          <w:shd w:val="clear" w:color="auto" w:fill="FFFFFF"/>
        </w:rPr>
        <w:t>Florianópolis: Iglu, 2011.</w:t>
      </w:r>
    </w:p>
    <w:p w14:paraId="5FF6C861" w14:textId="77777777" w:rsidR="00E63056" w:rsidRDefault="00E63056" w:rsidP="00DF7581">
      <w:pPr>
        <w:pStyle w:val="PargrafodaLista"/>
        <w:spacing w:line="240" w:lineRule="auto"/>
        <w:ind w:left="0" w:firstLine="0"/>
        <w:rPr>
          <w:rFonts w:eastAsia="Arial Unicode MS" w:cs="Times New Roman"/>
          <w:szCs w:val="24"/>
          <w:shd w:val="clear" w:color="auto" w:fill="FFFFFF"/>
        </w:rPr>
      </w:pPr>
    </w:p>
    <w:p w14:paraId="51553FDF" w14:textId="08581603" w:rsidR="0078270E" w:rsidRPr="00260E22" w:rsidRDefault="00EB5DE3" w:rsidP="00DF7581">
      <w:pPr>
        <w:pStyle w:val="PargrafodaLista"/>
        <w:spacing w:line="240" w:lineRule="auto"/>
        <w:ind w:left="0" w:firstLine="0"/>
        <w:rPr>
          <w:rFonts w:eastAsia="Arial Unicode MS" w:cs="Times New Roman"/>
          <w:szCs w:val="24"/>
          <w:shd w:val="clear" w:color="auto" w:fill="FFFFFF"/>
        </w:rPr>
      </w:pPr>
      <w:r w:rsidRPr="00EB5DE3">
        <w:rPr>
          <w:rFonts w:eastAsia="Arial Unicode MS" w:cs="Times New Roman"/>
          <w:szCs w:val="24"/>
          <w:shd w:val="clear" w:color="auto" w:fill="FFFFFF"/>
        </w:rPr>
        <w:t xml:space="preserve">SILVEIRA, Alexandre </w:t>
      </w:r>
      <w:proofErr w:type="spellStart"/>
      <w:r w:rsidRPr="00EB5DE3">
        <w:rPr>
          <w:rFonts w:eastAsia="Arial Unicode MS" w:cs="Times New Roman"/>
          <w:szCs w:val="24"/>
          <w:shd w:val="clear" w:color="auto" w:fill="FFFFFF"/>
        </w:rPr>
        <w:t>di</w:t>
      </w:r>
      <w:proofErr w:type="spellEnd"/>
      <w:r w:rsidRPr="00EB5DE3">
        <w:rPr>
          <w:rFonts w:eastAsia="Arial Unicode MS" w:cs="Times New Roman"/>
          <w:szCs w:val="24"/>
          <w:shd w:val="clear" w:color="auto" w:fill="FFFFFF"/>
        </w:rPr>
        <w:t xml:space="preserve"> </w:t>
      </w:r>
      <w:proofErr w:type="spellStart"/>
      <w:r w:rsidRPr="00EB5DE3">
        <w:rPr>
          <w:rFonts w:eastAsia="Arial Unicode MS" w:cs="Times New Roman"/>
          <w:szCs w:val="24"/>
          <w:shd w:val="clear" w:color="auto" w:fill="FFFFFF"/>
        </w:rPr>
        <w:t>Miceli</w:t>
      </w:r>
      <w:proofErr w:type="spellEnd"/>
      <w:r w:rsidRPr="00EB5DE3">
        <w:rPr>
          <w:rFonts w:eastAsia="Arial Unicode MS" w:cs="Times New Roman"/>
          <w:szCs w:val="24"/>
          <w:shd w:val="clear" w:color="auto" w:fill="FFFFFF"/>
        </w:rPr>
        <w:t xml:space="preserve"> da. </w:t>
      </w:r>
      <w:r w:rsidRPr="00FF7E4D">
        <w:rPr>
          <w:rFonts w:eastAsia="Arial Unicode MS" w:cs="Times New Roman"/>
          <w:b/>
          <w:bCs/>
          <w:szCs w:val="24"/>
          <w:shd w:val="clear" w:color="auto" w:fill="FFFFFF"/>
        </w:rPr>
        <w:t>Governança corporativa e estrutura de propriedade: determinantes e relação com o desempenho das empresas no Brasil</w:t>
      </w:r>
      <w:r w:rsidRPr="00EB5DE3">
        <w:rPr>
          <w:rFonts w:eastAsia="Arial Unicode MS" w:cs="Times New Roman"/>
          <w:szCs w:val="24"/>
          <w:shd w:val="clear" w:color="auto" w:fill="FFFFFF"/>
        </w:rPr>
        <w:t xml:space="preserve">. 2004. 250 f. Tese (Doutorado) - Curso de Administração, Faculdade de Economia, Administração e Contabilidade, Universidade de São Paulo, São Paulo, 2004. </w:t>
      </w:r>
    </w:p>
    <w:p w14:paraId="277CB13D" w14:textId="77777777" w:rsidR="0078270E" w:rsidRPr="00260E22" w:rsidRDefault="0078270E" w:rsidP="00DF7581">
      <w:pPr>
        <w:pStyle w:val="PargrafodaLista"/>
        <w:spacing w:line="240" w:lineRule="auto"/>
        <w:ind w:left="0" w:firstLine="0"/>
        <w:rPr>
          <w:rFonts w:eastAsia="Arial Unicode MS" w:cs="Times New Roman"/>
          <w:szCs w:val="24"/>
          <w:shd w:val="clear" w:color="auto" w:fill="FFFFFF"/>
        </w:rPr>
      </w:pPr>
    </w:p>
    <w:p w14:paraId="1FD6A291" w14:textId="77777777" w:rsidR="006E4A33" w:rsidRPr="00C12F2A" w:rsidRDefault="006E4A33" w:rsidP="006E4A33">
      <w:pPr>
        <w:spacing w:line="240" w:lineRule="auto"/>
        <w:ind w:firstLine="0"/>
        <w:rPr>
          <w:rFonts w:eastAsia="Arial Unicode MS" w:cs="Times New Roman"/>
          <w:szCs w:val="24"/>
          <w:shd w:val="clear" w:color="auto" w:fill="FFFFFF"/>
        </w:rPr>
      </w:pPr>
      <w:r w:rsidRPr="00C12F2A">
        <w:rPr>
          <w:rFonts w:eastAsia="Arial Unicode MS" w:cs="Times New Roman"/>
          <w:szCs w:val="24"/>
          <w:shd w:val="clear" w:color="auto" w:fill="FFFFFF"/>
        </w:rPr>
        <w:t>SOUZA, Celina. Políticas Públicas: uma revisão da literatura. </w:t>
      </w:r>
      <w:r w:rsidRPr="00C12F2A">
        <w:rPr>
          <w:rFonts w:eastAsia="Arial Unicode MS" w:cs="Times New Roman"/>
          <w:b/>
          <w:bCs/>
          <w:szCs w:val="24"/>
        </w:rPr>
        <w:t>Sociologias</w:t>
      </w:r>
      <w:r w:rsidRPr="00C12F2A">
        <w:rPr>
          <w:rFonts w:eastAsia="Arial Unicode MS" w:cs="Times New Roman"/>
          <w:szCs w:val="24"/>
          <w:shd w:val="clear" w:color="auto" w:fill="FFFFFF"/>
        </w:rPr>
        <w:t>, Porto Alegre, v. 16, n. 8, p.20-45, dez. 2006.</w:t>
      </w:r>
    </w:p>
    <w:p w14:paraId="6224261A" w14:textId="77777777" w:rsidR="006E4A33" w:rsidRDefault="006E4A33" w:rsidP="00DF7581">
      <w:pPr>
        <w:spacing w:line="240" w:lineRule="auto"/>
        <w:ind w:firstLine="0"/>
        <w:rPr>
          <w:rFonts w:cs="Times New Roman"/>
          <w:szCs w:val="24"/>
          <w:shd w:val="clear" w:color="auto" w:fill="FFFFFF"/>
        </w:rPr>
      </w:pPr>
    </w:p>
    <w:p w14:paraId="650A19F6" w14:textId="6167B1FD" w:rsidR="008F0EA8" w:rsidRPr="0078270E" w:rsidRDefault="00380B2E" w:rsidP="00DF7581">
      <w:pPr>
        <w:spacing w:line="240" w:lineRule="auto"/>
        <w:ind w:firstLine="0"/>
        <w:rPr>
          <w:rFonts w:cs="Times New Roman"/>
          <w:szCs w:val="24"/>
          <w:shd w:val="clear" w:color="auto" w:fill="FFFFFF"/>
        </w:rPr>
      </w:pPr>
      <w:r w:rsidRPr="00380B2E">
        <w:rPr>
          <w:rFonts w:cs="Times New Roman"/>
          <w:szCs w:val="24"/>
          <w:shd w:val="clear" w:color="auto" w:fill="FFFFFF"/>
        </w:rPr>
        <w:t xml:space="preserve">RODRÍGUEZ, </w:t>
      </w:r>
      <w:proofErr w:type="spellStart"/>
      <w:r w:rsidRPr="00380B2E">
        <w:rPr>
          <w:rFonts w:cs="Times New Roman"/>
          <w:szCs w:val="24"/>
          <w:shd w:val="clear" w:color="auto" w:fill="FFFFFF"/>
        </w:rPr>
        <w:t>Martius</w:t>
      </w:r>
      <w:proofErr w:type="spellEnd"/>
      <w:r w:rsidRPr="00380B2E">
        <w:rPr>
          <w:rFonts w:cs="Times New Roman"/>
          <w:szCs w:val="24"/>
          <w:shd w:val="clear" w:color="auto" w:fill="FFFFFF"/>
        </w:rPr>
        <w:t xml:space="preserve"> Vicente Rodriguez y; VIEIRA, Daniele Machado. GOVERNANÇA DE TI NO SETOR PÚBLICO – CASO DATAPREV. </w:t>
      </w:r>
      <w:r w:rsidRPr="00380B2E">
        <w:rPr>
          <w:rFonts w:cs="Times New Roman"/>
          <w:b/>
          <w:bCs/>
          <w:szCs w:val="24"/>
          <w:shd w:val="clear" w:color="auto" w:fill="FFFFFF"/>
        </w:rPr>
        <w:t xml:space="preserve">Revista Produção </w:t>
      </w:r>
      <w:proofErr w:type="spellStart"/>
      <w:r w:rsidRPr="00380B2E">
        <w:rPr>
          <w:rFonts w:cs="Times New Roman"/>
          <w:b/>
          <w:bCs/>
          <w:szCs w:val="24"/>
          <w:shd w:val="clear" w:color="auto" w:fill="FFFFFF"/>
        </w:rPr>
        <w:t>On</w:t>
      </w:r>
      <w:proofErr w:type="spellEnd"/>
      <w:r w:rsidRPr="00380B2E">
        <w:rPr>
          <w:rFonts w:cs="Times New Roman"/>
          <w:b/>
          <w:bCs/>
          <w:szCs w:val="24"/>
          <w:shd w:val="clear" w:color="auto" w:fill="FFFFFF"/>
        </w:rPr>
        <w:t xml:space="preserve"> </w:t>
      </w:r>
      <w:proofErr w:type="spellStart"/>
      <w:r w:rsidRPr="00380B2E">
        <w:rPr>
          <w:rFonts w:cs="Times New Roman"/>
          <w:b/>
          <w:bCs/>
          <w:szCs w:val="24"/>
          <w:shd w:val="clear" w:color="auto" w:fill="FFFFFF"/>
        </w:rPr>
        <w:t>Line</w:t>
      </w:r>
      <w:proofErr w:type="spellEnd"/>
      <w:r w:rsidRPr="00380B2E">
        <w:rPr>
          <w:rFonts w:cs="Times New Roman"/>
          <w:szCs w:val="24"/>
          <w:shd w:val="clear" w:color="auto" w:fill="FFFFFF"/>
        </w:rPr>
        <w:t xml:space="preserve">, Florianópolis, v. 7, n. 1, </w:t>
      </w:r>
      <w:proofErr w:type="spellStart"/>
      <w:r>
        <w:rPr>
          <w:rFonts w:cs="Times New Roman"/>
          <w:szCs w:val="24"/>
          <w:shd w:val="clear" w:color="auto" w:fill="FFFFFF"/>
        </w:rPr>
        <w:t>n.</w:t>
      </w:r>
      <w:r w:rsidRPr="00380B2E">
        <w:rPr>
          <w:rFonts w:cs="Times New Roman"/>
          <w:szCs w:val="24"/>
          <w:shd w:val="clear" w:color="auto" w:fill="FFFFFF"/>
        </w:rPr>
        <w:t>p</w:t>
      </w:r>
      <w:proofErr w:type="spellEnd"/>
      <w:r w:rsidRPr="00380B2E">
        <w:rPr>
          <w:rFonts w:cs="Times New Roman"/>
          <w:szCs w:val="24"/>
          <w:shd w:val="clear" w:color="auto" w:fill="FFFFFF"/>
        </w:rPr>
        <w:t xml:space="preserve">, abr. 2007. </w:t>
      </w:r>
    </w:p>
    <w:sectPr w:rsidR="008F0EA8" w:rsidRPr="0078270E" w:rsidSect="000D3661">
      <w:headerReference w:type="default" r:id="rId12"/>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83808" w14:textId="77777777" w:rsidR="0038410C" w:rsidRDefault="0038410C" w:rsidP="00CD7207">
      <w:pPr>
        <w:spacing w:after="168" w:line="240" w:lineRule="auto"/>
      </w:pPr>
      <w:r>
        <w:separator/>
      </w:r>
    </w:p>
  </w:endnote>
  <w:endnote w:type="continuationSeparator" w:id="0">
    <w:p w14:paraId="7E2A89F8" w14:textId="77777777" w:rsidR="0038410C" w:rsidRDefault="0038410C" w:rsidP="00CD7207">
      <w:pPr>
        <w:spacing w:after="168" w:line="240" w:lineRule="auto"/>
      </w:pPr>
      <w:r>
        <w:continuationSeparator/>
      </w:r>
    </w:p>
  </w:endnote>
  <w:endnote w:type="continuationNotice" w:id="1">
    <w:p w14:paraId="1C7F83B4" w14:textId="77777777" w:rsidR="0038410C" w:rsidRDefault="00384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08E3A" w14:textId="77777777" w:rsidR="0038410C" w:rsidRDefault="0038410C" w:rsidP="00CD7207">
      <w:pPr>
        <w:spacing w:after="168" w:line="240" w:lineRule="auto"/>
      </w:pPr>
      <w:r>
        <w:separator/>
      </w:r>
    </w:p>
  </w:footnote>
  <w:footnote w:type="continuationSeparator" w:id="0">
    <w:p w14:paraId="3CCD0214" w14:textId="77777777" w:rsidR="0038410C" w:rsidRDefault="0038410C" w:rsidP="00CD7207">
      <w:pPr>
        <w:spacing w:after="168" w:line="240" w:lineRule="auto"/>
      </w:pPr>
      <w:r>
        <w:continuationSeparator/>
      </w:r>
    </w:p>
  </w:footnote>
  <w:footnote w:type="continuationNotice" w:id="1">
    <w:p w14:paraId="61846CF1" w14:textId="77777777" w:rsidR="0038410C" w:rsidRDefault="003841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FDE5" w14:textId="77777777" w:rsidR="002F6BE9" w:rsidRDefault="002F6BE9">
    <w:pPr>
      <w:pStyle w:val="Cabealho"/>
      <w:jc w:val="right"/>
    </w:pPr>
  </w:p>
  <w:p w14:paraId="57DD3E70" w14:textId="77777777" w:rsidR="002F6BE9" w:rsidRDefault="002F6BE9" w:rsidP="00CD7207">
    <w:pPr>
      <w:pStyle w:val="Cabealho"/>
      <w:spacing w:after="1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09015"/>
      <w:docPartObj>
        <w:docPartGallery w:val="Page Numbers (Top of Page)"/>
        <w:docPartUnique/>
      </w:docPartObj>
    </w:sdtPr>
    <w:sdtEndPr/>
    <w:sdtContent>
      <w:p w14:paraId="278B703A" w14:textId="77777777" w:rsidR="002F6BE9" w:rsidRDefault="002F6BE9">
        <w:pPr>
          <w:pStyle w:val="Cabealho"/>
          <w:jc w:val="right"/>
        </w:pPr>
        <w:r>
          <w:fldChar w:fldCharType="begin"/>
        </w:r>
        <w:r>
          <w:instrText>PAGE   \* MERGEFORMAT</w:instrText>
        </w:r>
        <w:r>
          <w:fldChar w:fldCharType="separate"/>
        </w:r>
        <w:r w:rsidR="001C0B65">
          <w:rPr>
            <w:noProof/>
          </w:rPr>
          <w:t>iv</w:t>
        </w:r>
        <w:r>
          <w:fldChar w:fldCharType="end"/>
        </w:r>
      </w:p>
    </w:sdtContent>
  </w:sdt>
  <w:p w14:paraId="2B5D2003" w14:textId="77777777" w:rsidR="002F6BE9" w:rsidRDefault="002F6BE9" w:rsidP="00CD7207">
    <w:pPr>
      <w:pStyle w:val="Cabealho"/>
      <w:spacing w:after="1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347125"/>
      <w:docPartObj>
        <w:docPartGallery w:val="Page Numbers (Top of Page)"/>
        <w:docPartUnique/>
      </w:docPartObj>
    </w:sdtPr>
    <w:sdtEndPr/>
    <w:sdtContent>
      <w:p w14:paraId="6CCDE0B4" w14:textId="77777777" w:rsidR="000D3661" w:rsidRDefault="000D3661">
        <w:pPr>
          <w:pStyle w:val="Cabealho"/>
          <w:jc w:val="right"/>
        </w:pPr>
        <w:r>
          <w:fldChar w:fldCharType="begin"/>
        </w:r>
        <w:r>
          <w:instrText>PAGE   \* MERGEFORMAT</w:instrText>
        </w:r>
        <w:r>
          <w:fldChar w:fldCharType="separate"/>
        </w:r>
        <w:r>
          <w:rPr>
            <w:noProof/>
          </w:rPr>
          <w:t>iv</w:t>
        </w:r>
        <w:r>
          <w:fldChar w:fldCharType="end"/>
        </w:r>
      </w:p>
    </w:sdtContent>
  </w:sdt>
  <w:p w14:paraId="31324583" w14:textId="77777777" w:rsidR="000D3661" w:rsidRDefault="000D3661" w:rsidP="00CD7207">
    <w:pPr>
      <w:pStyle w:val="Cabealho"/>
      <w:spacing w:after="1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F7417E6"/>
    <w:lvl w:ilvl="0">
      <w:start w:val="1"/>
      <w:numFmt w:val="decimal"/>
      <w:lvlText w:val="%1 "/>
      <w:lvlJc w:val="left"/>
      <w:pPr>
        <w:tabs>
          <w:tab w:val="num" w:pos="3403"/>
        </w:tabs>
        <w:ind w:left="3403" w:firstLine="0"/>
      </w:pPr>
      <w:rPr>
        <w:rFonts w:hint="default"/>
      </w:rPr>
    </w:lvl>
    <w:lvl w:ilvl="1">
      <w:start w:val="2"/>
      <w:numFmt w:val="decimal"/>
      <w:lvlText w:val="%1.%2 "/>
      <w:lvlJc w:val="left"/>
      <w:pPr>
        <w:tabs>
          <w:tab w:val="num" w:pos="3403"/>
        </w:tabs>
        <w:ind w:left="3403" w:firstLine="0"/>
      </w:pPr>
      <w:rPr>
        <w:rFonts w:hint="default"/>
      </w:rPr>
    </w:lvl>
    <w:lvl w:ilvl="2">
      <w:start w:val="1"/>
      <w:numFmt w:val="decimal"/>
      <w:lvlText w:val="%1.%2.%3 "/>
      <w:lvlJc w:val="left"/>
      <w:pPr>
        <w:tabs>
          <w:tab w:val="num" w:pos="3403"/>
        </w:tabs>
        <w:ind w:left="3403" w:firstLine="0"/>
      </w:pPr>
      <w:rPr>
        <w:rFonts w:hint="default"/>
      </w:rPr>
    </w:lvl>
    <w:lvl w:ilvl="3">
      <w:start w:val="1"/>
      <w:numFmt w:val="decimal"/>
      <w:lvlText w:val="%1.%2.%3.%4 "/>
      <w:lvlJc w:val="left"/>
      <w:pPr>
        <w:tabs>
          <w:tab w:val="num" w:pos="3403"/>
        </w:tabs>
        <w:ind w:left="3403" w:firstLine="0"/>
      </w:pPr>
      <w:rPr>
        <w:rFonts w:hint="default"/>
      </w:rPr>
    </w:lvl>
    <w:lvl w:ilvl="4">
      <w:start w:val="1"/>
      <w:numFmt w:val="decimal"/>
      <w:lvlText w:val="%1.%2.%3.%4.%5 "/>
      <w:lvlJc w:val="left"/>
      <w:pPr>
        <w:tabs>
          <w:tab w:val="num" w:pos="3403"/>
        </w:tabs>
        <w:ind w:left="3403" w:firstLine="0"/>
      </w:pPr>
      <w:rPr>
        <w:rFonts w:hint="default"/>
      </w:rPr>
    </w:lvl>
    <w:lvl w:ilvl="5">
      <w:start w:val="1"/>
      <w:numFmt w:val="decimal"/>
      <w:lvlText w:val="%1.%2.%3.%4.%5.%6 "/>
      <w:lvlJc w:val="left"/>
      <w:pPr>
        <w:tabs>
          <w:tab w:val="num" w:pos="3403"/>
        </w:tabs>
        <w:ind w:left="3403" w:firstLine="0"/>
      </w:pPr>
      <w:rPr>
        <w:rFonts w:hint="default"/>
      </w:rPr>
    </w:lvl>
    <w:lvl w:ilvl="6">
      <w:start w:val="1"/>
      <w:numFmt w:val="decimal"/>
      <w:lvlText w:val="%1.%2.%3.%4.%5.%6.%7 "/>
      <w:lvlJc w:val="left"/>
      <w:pPr>
        <w:tabs>
          <w:tab w:val="num" w:pos="3403"/>
        </w:tabs>
        <w:ind w:left="3403" w:firstLine="0"/>
      </w:pPr>
      <w:rPr>
        <w:rFonts w:hint="default"/>
      </w:rPr>
    </w:lvl>
    <w:lvl w:ilvl="7">
      <w:start w:val="1"/>
      <w:numFmt w:val="decimal"/>
      <w:lvlText w:val="%1.%2.%3.%4.%5.%6.%7.%8 "/>
      <w:lvlJc w:val="left"/>
      <w:pPr>
        <w:tabs>
          <w:tab w:val="num" w:pos="3403"/>
        </w:tabs>
        <w:ind w:left="3403" w:firstLine="0"/>
      </w:pPr>
      <w:rPr>
        <w:rFonts w:hint="default"/>
      </w:rPr>
    </w:lvl>
    <w:lvl w:ilvl="8">
      <w:start w:val="1"/>
      <w:numFmt w:val="decimal"/>
      <w:lvlText w:val="%1.%2.%3.%4.%5.%6.%7.%8.%9 "/>
      <w:lvlJc w:val="left"/>
      <w:pPr>
        <w:tabs>
          <w:tab w:val="num" w:pos="3403"/>
        </w:tabs>
        <w:ind w:left="3403" w:firstLine="0"/>
      </w:pPr>
      <w:rPr>
        <w:rFonts w:hint="default"/>
      </w:rPr>
    </w:lvl>
  </w:abstractNum>
  <w:abstractNum w:abstractNumId="1" w15:restartNumberingAfterBreak="0">
    <w:nsid w:val="041B36EB"/>
    <w:multiLevelType w:val="multilevel"/>
    <w:tmpl w:val="C060C53C"/>
    <w:lvl w:ilvl="0">
      <w:start w:val="2"/>
      <w:numFmt w:val="decimal"/>
      <w:lvlText w:val="%1 "/>
      <w:lvlJc w:val="left"/>
      <w:pPr>
        <w:tabs>
          <w:tab w:val="num" w:pos="0"/>
        </w:tabs>
        <w:ind w:left="0" w:firstLine="0"/>
      </w:pPr>
      <w:rPr>
        <w:rFonts w:hint="default"/>
      </w:rPr>
    </w:lvl>
    <w:lvl w:ilvl="1">
      <w:start w:val="1"/>
      <w:numFmt w:val="decimal"/>
      <w:lvlText w:val="%1.%2 "/>
      <w:lvlJc w:val="left"/>
      <w:pPr>
        <w:tabs>
          <w:tab w:val="num" w:pos="426"/>
        </w:tabs>
        <w:ind w:left="426"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
      <w:lvlJc w:val="left"/>
      <w:pPr>
        <w:tabs>
          <w:tab w:val="num" w:pos="0"/>
        </w:tabs>
        <w:ind w:left="0" w:firstLine="0"/>
      </w:pPr>
      <w:rPr>
        <w:rFonts w:hint="default"/>
      </w:rPr>
    </w:lvl>
    <w:lvl w:ilvl="5">
      <w:start w:val="1"/>
      <w:numFmt w:val="decimal"/>
      <w:lvlText w:val="%1.%2.%3.%4.%5.%6 "/>
      <w:lvlJc w:val="left"/>
      <w:pPr>
        <w:tabs>
          <w:tab w:val="num" w:pos="0"/>
        </w:tabs>
        <w:ind w:left="0" w:firstLine="0"/>
      </w:pPr>
      <w:rPr>
        <w:rFonts w:hint="default"/>
      </w:rPr>
    </w:lvl>
    <w:lvl w:ilvl="6">
      <w:start w:val="1"/>
      <w:numFmt w:val="decimal"/>
      <w:lvlText w:val="%1.%2.%3.%4.%5.%6.%7 "/>
      <w:lvlJc w:val="left"/>
      <w:pPr>
        <w:tabs>
          <w:tab w:val="num" w:pos="0"/>
        </w:tabs>
        <w:ind w:left="0" w:firstLine="0"/>
      </w:pPr>
      <w:rPr>
        <w:rFonts w:hint="default"/>
      </w:rPr>
    </w:lvl>
    <w:lvl w:ilvl="7">
      <w:start w:val="1"/>
      <w:numFmt w:val="decimal"/>
      <w:lvlText w:val="%1.%2.%3.%4.%5.%6.%7.%8 "/>
      <w:lvlJc w:val="left"/>
      <w:pPr>
        <w:tabs>
          <w:tab w:val="num" w:pos="0"/>
        </w:tabs>
        <w:ind w:left="0" w:firstLine="0"/>
      </w:pPr>
      <w:rPr>
        <w:rFonts w:hint="default"/>
      </w:rPr>
    </w:lvl>
    <w:lvl w:ilvl="8">
      <w:start w:val="1"/>
      <w:numFmt w:val="decimal"/>
      <w:lvlText w:val="%1.%2.%3.%4.%5.%6.%7.%8.%9 "/>
      <w:lvlJc w:val="left"/>
      <w:pPr>
        <w:tabs>
          <w:tab w:val="num" w:pos="0"/>
        </w:tabs>
        <w:ind w:left="0" w:firstLine="0"/>
      </w:pPr>
      <w:rPr>
        <w:rFonts w:hint="default"/>
      </w:rPr>
    </w:lvl>
  </w:abstractNum>
  <w:abstractNum w:abstractNumId="2" w15:restartNumberingAfterBreak="0">
    <w:nsid w:val="10E305DB"/>
    <w:multiLevelType w:val="multilevel"/>
    <w:tmpl w:val="B4F47EE2"/>
    <w:lvl w:ilvl="0">
      <w:start w:val="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B3705"/>
    <w:multiLevelType w:val="multilevel"/>
    <w:tmpl w:val="0888BE64"/>
    <w:lvl w:ilvl="0">
      <w:start w:val="3"/>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3E504B3D"/>
    <w:multiLevelType w:val="hybridMultilevel"/>
    <w:tmpl w:val="5178EB8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48A47250"/>
    <w:multiLevelType w:val="multilevel"/>
    <w:tmpl w:val="D52EE56A"/>
    <w:lvl w:ilvl="0">
      <w:start w:val="6"/>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4B181641"/>
    <w:multiLevelType w:val="hybridMultilevel"/>
    <w:tmpl w:val="D1FE9A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680424E5"/>
    <w:multiLevelType w:val="hybridMultilevel"/>
    <w:tmpl w:val="5672C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D21506F"/>
    <w:multiLevelType w:val="multilevel"/>
    <w:tmpl w:val="00000001"/>
    <w:lvl w:ilvl="0">
      <w:start w:val="1"/>
      <w:numFmt w:val="decimal"/>
      <w:lvlText w:val="%1 "/>
      <w:lvlJc w:val="left"/>
      <w:pPr>
        <w:tabs>
          <w:tab w:val="num" w:pos="3403"/>
        </w:tabs>
        <w:ind w:left="3403" w:firstLine="0"/>
      </w:pPr>
    </w:lvl>
    <w:lvl w:ilvl="1">
      <w:start w:val="1"/>
      <w:numFmt w:val="decimal"/>
      <w:lvlText w:val="%1.%2 "/>
      <w:lvlJc w:val="left"/>
      <w:pPr>
        <w:tabs>
          <w:tab w:val="num" w:pos="3403"/>
        </w:tabs>
        <w:ind w:left="3403" w:firstLine="0"/>
      </w:pPr>
    </w:lvl>
    <w:lvl w:ilvl="2">
      <w:start w:val="1"/>
      <w:numFmt w:val="decimal"/>
      <w:lvlText w:val="%1.%2.%3 "/>
      <w:lvlJc w:val="left"/>
      <w:pPr>
        <w:tabs>
          <w:tab w:val="num" w:pos="3403"/>
        </w:tabs>
        <w:ind w:left="3403" w:firstLine="0"/>
      </w:pPr>
    </w:lvl>
    <w:lvl w:ilvl="3">
      <w:start w:val="1"/>
      <w:numFmt w:val="decimal"/>
      <w:lvlText w:val="%1.%2.%3.%4 "/>
      <w:lvlJc w:val="left"/>
      <w:pPr>
        <w:tabs>
          <w:tab w:val="num" w:pos="3403"/>
        </w:tabs>
        <w:ind w:left="3403" w:firstLine="0"/>
      </w:pPr>
    </w:lvl>
    <w:lvl w:ilvl="4">
      <w:start w:val="1"/>
      <w:numFmt w:val="decimal"/>
      <w:lvlText w:val="%1.%2.%3.%4.%5 "/>
      <w:lvlJc w:val="left"/>
      <w:pPr>
        <w:tabs>
          <w:tab w:val="num" w:pos="3403"/>
        </w:tabs>
        <w:ind w:left="3403" w:firstLine="0"/>
      </w:pPr>
    </w:lvl>
    <w:lvl w:ilvl="5">
      <w:start w:val="1"/>
      <w:numFmt w:val="decimal"/>
      <w:lvlText w:val="%1.%2.%3.%4.%5.%6 "/>
      <w:lvlJc w:val="left"/>
      <w:pPr>
        <w:tabs>
          <w:tab w:val="num" w:pos="3403"/>
        </w:tabs>
        <w:ind w:left="3403" w:firstLine="0"/>
      </w:pPr>
    </w:lvl>
    <w:lvl w:ilvl="6">
      <w:start w:val="1"/>
      <w:numFmt w:val="decimal"/>
      <w:lvlText w:val="%1.%2.%3.%4.%5.%6.%7 "/>
      <w:lvlJc w:val="left"/>
      <w:pPr>
        <w:tabs>
          <w:tab w:val="num" w:pos="3403"/>
        </w:tabs>
        <w:ind w:left="3403" w:firstLine="0"/>
      </w:pPr>
    </w:lvl>
    <w:lvl w:ilvl="7">
      <w:start w:val="1"/>
      <w:numFmt w:val="decimal"/>
      <w:lvlText w:val="%1.%2.%3.%4.%5.%6.%7.%8 "/>
      <w:lvlJc w:val="left"/>
      <w:pPr>
        <w:tabs>
          <w:tab w:val="num" w:pos="3403"/>
        </w:tabs>
        <w:ind w:left="3403" w:firstLine="0"/>
      </w:pPr>
    </w:lvl>
    <w:lvl w:ilvl="8">
      <w:start w:val="1"/>
      <w:numFmt w:val="decimal"/>
      <w:lvlText w:val="%1.%2.%3.%4.%5.%6.%7.%8.%9 "/>
      <w:lvlJc w:val="left"/>
      <w:pPr>
        <w:tabs>
          <w:tab w:val="num" w:pos="3403"/>
        </w:tabs>
        <w:ind w:left="3403" w:firstLine="0"/>
      </w:pPr>
    </w:lvl>
  </w:abstractNum>
  <w:abstractNum w:abstractNumId="9" w15:restartNumberingAfterBreak="0">
    <w:nsid w:val="728C3C56"/>
    <w:multiLevelType w:val="hybridMultilevel"/>
    <w:tmpl w:val="03E01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73C933B0"/>
    <w:multiLevelType w:val="hybridMultilevel"/>
    <w:tmpl w:val="3C20E3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76392770"/>
    <w:multiLevelType w:val="multilevel"/>
    <w:tmpl w:val="573038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4A5DF6"/>
    <w:multiLevelType w:val="multilevel"/>
    <w:tmpl w:val="02BC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5B587B"/>
    <w:multiLevelType w:val="multilevel"/>
    <w:tmpl w:val="644C3444"/>
    <w:lvl w:ilvl="0">
      <w:start w:val="2"/>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8"/>
  </w:num>
  <w:num w:numId="3">
    <w:abstractNumId w:val="2"/>
  </w:num>
  <w:num w:numId="4">
    <w:abstractNumId w:val="1"/>
  </w:num>
  <w:num w:numId="5">
    <w:abstractNumId w:val="13"/>
  </w:num>
  <w:num w:numId="6">
    <w:abstractNumId w:val="3"/>
  </w:num>
  <w:num w:numId="7">
    <w:abstractNumId w:val="5"/>
  </w:num>
  <w:num w:numId="8">
    <w:abstractNumId w:val="7"/>
  </w:num>
  <w:num w:numId="9">
    <w:abstractNumId w:val="11"/>
  </w:num>
  <w:num w:numId="10">
    <w:abstractNumId w:val="6"/>
  </w:num>
  <w:num w:numId="11">
    <w:abstractNumId w:val="4"/>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C7"/>
    <w:rsid w:val="000023B6"/>
    <w:rsid w:val="00002AD7"/>
    <w:rsid w:val="00003110"/>
    <w:rsid w:val="00003536"/>
    <w:rsid w:val="0000387F"/>
    <w:rsid w:val="00011531"/>
    <w:rsid w:val="00015FFF"/>
    <w:rsid w:val="000166CE"/>
    <w:rsid w:val="000178A6"/>
    <w:rsid w:val="000236E9"/>
    <w:rsid w:val="00026A17"/>
    <w:rsid w:val="00030469"/>
    <w:rsid w:val="00031D61"/>
    <w:rsid w:val="00031EBD"/>
    <w:rsid w:val="00032698"/>
    <w:rsid w:val="00034877"/>
    <w:rsid w:val="00037A89"/>
    <w:rsid w:val="00041BF1"/>
    <w:rsid w:val="00043CB1"/>
    <w:rsid w:val="00046A1C"/>
    <w:rsid w:val="000500AF"/>
    <w:rsid w:val="0005066F"/>
    <w:rsid w:val="00050DED"/>
    <w:rsid w:val="00051E2F"/>
    <w:rsid w:val="000533AE"/>
    <w:rsid w:val="00053D3A"/>
    <w:rsid w:val="00055A78"/>
    <w:rsid w:val="00055D65"/>
    <w:rsid w:val="000618D9"/>
    <w:rsid w:val="0006536C"/>
    <w:rsid w:val="00075361"/>
    <w:rsid w:val="00075376"/>
    <w:rsid w:val="000765C6"/>
    <w:rsid w:val="000773D5"/>
    <w:rsid w:val="0008158F"/>
    <w:rsid w:val="0008310F"/>
    <w:rsid w:val="00084349"/>
    <w:rsid w:val="00091C39"/>
    <w:rsid w:val="00091EA9"/>
    <w:rsid w:val="00093CA5"/>
    <w:rsid w:val="00096989"/>
    <w:rsid w:val="0009737B"/>
    <w:rsid w:val="000974DC"/>
    <w:rsid w:val="000A42DA"/>
    <w:rsid w:val="000A5DCC"/>
    <w:rsid w:val="000A67F6"/>
    <w:rsid w:val="000A68DD"/>
    <w:rsid w:val="000A7B8A"/>
    <w:rsid w:val="000B04BE"/>
    <w:rsid w:val="000B1D44"/>
    <w:rsid w:val="000B4754"/>
    <w:rsid w:val="000B47C9"/>
    <w:rsid w:val="000B4DAA"/>
    <w:rsid w:val="000B6B3A"/>
    <w:rsid w:val="000B75E3"/>
    <w:rsid w:val="000C4CF6"/>
    <w:rsid w:val="000C5D2B"/>
    <w:rsid w:val="000C61BE"/>
    <w:rsid w:val="000C79BB"/>
    <w:rsid w:val="000D0764"/>
    <w:rsid w:val="000D337E"/>
    <w:rsid w:val="000D349E"/>
    <w:rsid w:val="000D3661"/>
    <w:rsid w:val="000D3A2B"/>
    <w:rsid w:val="000D3EFA"/>
    <w:rsid w:val="000D4B92"/>
    <w:rsid w:val="000D6D35"/>
    <w:rsid w:val="000D7540"/>
    <w:rsid w:val="000E1044"/>
    <w:rsid w:val="000E16CB"/>
    <w:rsid w:val="000E4E26"/>
    <w:rsid w:val="000F0DB0"/>
    <w:rsid w:val="000F1880"/>
    <w:rsid w:val="000F1EE3"/>
    <w:rsid w:val="000F2D1F"/>
    <w:rsid w:val="000F4CBA"/>
    <w:rsid w:val="000F6285"/>
    <w:rsid w:val="000F7130"/>
    <w:rsid w:val="00100F8A"/>
    <w:rsid w:val="00101012"/>
    <w:rsid w:val="00103C2E"/>
    <w:rsid w:val="00105653"/>
    <w:rsid w:val="001078C7"/>
    <w:rsid w:val="00110412"/>
    <w:rsid w:val="001108DE"/>
    <w:rsid w:val="00114A0C"/>
    <w:rsid w:val="00115695"/>
    <w:rsid w:val="00117D12"/>
    <w:rsid w:val="00120323"/>
    <w:rsid w:val="001258AC"/>
    <w:rsid w:val="0012695A"/>
    <w:rsid w:val="00130671"/>
    <w:rsid w:val="00130E26"/>
    <w:rsid w:val="0013274C"/>
    <w:rsid w:val="00133357"/>
    <w:rsid w:val="001350DF"/>
    <w:rsid w:val="0014212F"/>
    <w:rsid w:val="00150195"/>
    <w:rsid w:val="001523CC"/>
    <w:rsid w:val="001556DC"/>
    <w:rsid w:val="001559B7"/>
    <w:rsid w:val="00155F0E"/>
    <w:rsid w:val="00155F1C"/>
    <w:rsid w:val="0015627F"/>
    <w:rsid w:val="00156B1C"/>
    <w:rsid w:val="0016018C"/>
    <w:rsid w:val="00160C2E"/>
    <w:rsid w:val="00160D86"/>
    <w:rsid w:val="00160DF5"/>
    <w:rsid w:val="0017313E"/>
    <w:rsid w:val="00175D9D"/>
    <w:rsid w:val="0017728D"/>
    <w:rsid w:val="001802F7"/>
    <w:rsid w:val="0018055E"/>
    <w:rsid w:val="001831B9"/>
    <w:rsid w:val="00186CDB"/>
    <w:rsid w:val="001902E7"/>
    <w:rsid w:val="00191A68"/>
    <w:rsid w:val="00193131"/>
    <w:rsid w:val="00193EB1"/>
    <w:rsid w:val="00194284"/>
    <w:rsid w:val="001A2655"/>
    <w:rsid w:val="001A2D71"/>
    <w:rsid w:val="001A52A8"/>
    <w:rsid w:val="001A5AB9"/>
    <w:rsid w:val="001A6ECE"/>
    <w:rsid w:val="001A710A"/>
    <w:rsid w:val="001B0E01"/>
    <w:rsid w:val="001B25A9"/>
    <w:rsid w:val="001B40FE"/>
    <w:rsid w:val="001B4501"/>
    <w:rsid w:val="001C0450"/>
    <w:rsid w:val="001C04D5"/>
    <w:rsid w:val="001C0B65"/>
    <w:rsid w:val="001C0E92"/>
    <w:rsid w:val="001C1B44"/>
    <w:rsid w:val="001C7D3B"/>
    <w:rsid w:val="001D0663"/>
    <w:rsid w:val="001D0C53"/>
    <w:rsid w:val="001D1A3E"/>
    <w:rsid w:val="001D2B7A"/>
    <w:rsid w:val="001D35E5"/>
    <w:rsid w:val="001D3B25"/>
    <w:rsid w:val="001D6B3C"/>
    <w:rsid w:val="001E2081"/>
    <w:rsid w:val="001E3260"/>
    <w:rsid w:val="001E32A9"/>
    <w:rsid w:val="001E3309"/>
    <w:rsid w:val="001E4F8C"/>
    <w:rsid w:val="001F0DEC"/>
    <w:rsid w:val="001F1A5F"/>
    <w:rsid w:val="0020295D"/>
    <w:rsid w:val="00203AF2"/>
    <w:rsid w:val="00204D20"/>
    <w:rsid w:val="0020554B"/>
    <w:rsid w:val="00212045"/>
    <w:rsid w:val="00212B64"/>
    <w:rsid w:val="002134BA"/>
    <w:rsid w:val="00216119"/>
    <w:rsid w:val="00217218"/>
    <w:rsid w:val="00221216"/>
    <w:rsid w:val="00222137"/>
    <w:rsid w:val="00222AE0"/>
    <w:rsid w:val="00230DFC"/>
    <w:rsid w:val="002326CF"/>
    <w:rsid w:val="002330CD"/>
    <w:rsid w:val="002374B5"/>
    <w:rsid w:val="00241BBC"/>
    <w:rsid w:val="00241CAA"/>
    <w:rsid w:val="00243D9C"/>
    <w:rsid w:val="002449FE"/>
    <w:rsid w:val="00245972"/>
    <w:rsid w:val="00247F95"/>
    <w:rsid w:val="00250C08"/>
    <w:rsid w:val="00253414"/>
    <w:rsid w:val="002546A0"/>
    <w:rsid w:val="00255013"/>
    <w:rsid w:val="00256675"/>
    <w:rsid w:val="00260107"/>
    <w:rsid w:val="0026064D"/>
    <w:rsid w:val="00260E22"/>
    <w:rsid w:val="002619FA"/>
    <w:rsid w:val="00265B5A"/>
    <w:rsid w:val="00266627"/>
    <w:rsid w:val="00267B37"/>
    <w:rsid w:val="002706F4"/>
    <w:rsid w:val="00280324"/>
    <w:rsid w:val="0028227F"/>
    <w:rsid w:val="002846CA"/>
    <w:rsid w:val="00285958"/>
    <w:rsid w:val="00291529"/>
    <w:rsid w:val="0029323F"/>
    <w:rsid w:val="00296247"/>
    <w:rsid w:val="00296A76"/>
    <w:rsid w:val="002A1F08"/>
    <w:rsid w:val="002A6C16"/>
    <w:rsid w:val="002B598F"/>
    <w:rsid w:val="002B6AD9"/>
    <w:rsid w:val="002C08B5"/>
    <w:rsid w:val="002C1EC5"/>
    <w:rsid w:val="002C2D7C"/>
    <w:rsid w:val="002C33C1"/>
    <w:rsid w:val="002C4A86"/>
    <w:rsid w:val="002C61AC"/>
    <w:rsid w:val="002D2D0D"/>
    <w:rsid w:val="002D2DBE"/>
    <w:rsid w:val="002D3AE6"/>
    <w:rsid w:val="002E4320"/>
    <w:rsid w:val="002E5584"/>
    <w:rsid w:val="002E74E9"/>
    <w:rsid w:val="002E7A66"/>
    <w:rsid w:val="002F1ED8"/>
    <w:rsid w:val="002F23AE"/>
    <w:rsid w:val="002F46F2"/>
    <w:rsid w:val="002F64CF"/>
    <w:rsid w:val="002F69BE"/>
    <w:rsid w:val="002F6BE9"/>
    <w:rsid w:val="0030160F"/>
    <w:rsid w:val="00306A41"/>
    <w:rsid w:val="00310B69"/>
    <w:rsid w:val="003129C2"/>
    <w:rsid w:val="00314317"/>
    <w:rsid w:val="003205D3"/>
    <w:rsid w:val="00322F9C"/>
    <w:rsid w:val="00327964"/>
    <w:rsid w:val="00331C5F"/>
    <w:rsid w:val="003324C8"/>
    <w:rsid w:val="003329E7"/>
    <w:rsid w:val="00333694"/>
    <w:rsid w:val="00340527"/>
    <w:rsid w:val="003409B3"/>
    <w:rsid w:val="003427DF"/>
    <w:rsid w:val="00342A5B"/>
    <w:rsid w:val="00342DB2"/>
    <w:rsid w:val="003437C3"/>
    <w:rsid w:val="003453E0"/>
    <w:rsid w:val="003455BD"/>
    <w:rsid w:val="00350122"/>
    <w:rsid w:val="0035356A"/>
    <w:rsid w:val="00354FAB"/>
    <w:rsid w:val="00355526"/>
    <w:rsid w:val="00355F3B"/>
    <w:rsid w:val="003607F2"/>
    <w:rsid w:val="00361C8F"/>
    <w:rsid w:val="00361CD9"/>
    <w:rsid w:val="0036488F"/>
    <w:rsid w:val="00366C9E"/>
    <w:rsid w:val="00374BCD"/>
    <w:rsid w:val="00380B2E"/>
    <w:rsid w:val="00382A53"/>
    <w:rsid w:val="00383179"/>
    <w:rsid w:val="0038410C"/>
    <w:rsid w:val="003848ED"/>
    <w:rsid w:val="0038730F"/>
    <w:rsid w:val="00391E8F"/>
    <w:rsid w:val="003921EF"/>
    <w:rsid w:val="003A0359"/>
    <w:rsid w:val="003A1F2B"/>
    <w:rsid w:val="003A2F33"/>
    <w:rsid w:val="003A367F"/>
    <w:rsid w:val="003A3CC6"/>
    <w:rsid w:val="003B040D"/>
    <w:rsid w:val="003B125B"/>
    <w:rsid w:val="003B28DF"/>
    <w:rsid w:val="003B2D13"/>
    <w:rsid w:val="003B3F1B"/>
    <w:rsid w:val="003B405F"/>
    <w:rsid w:val="003B4DC2"/>
    <w:rsid w:val="003B5202"/>
    <w:rsid w:val="003B54EC"/>
    <w:rsid w:val="003B55B6"/>
    <w:rsid w:val="003B7F80"/>
    <w:rsid w:val="003C2054"/>
    <w:rsid w:val="003C22A6"/>
    <w:rsid w:val="003C3EF1"/>
    <w:rsid w:val="003D1F9C"/>
    <w:rsid w:val="003D2C66"/>
    <w:rsid w:val="003D7C2C"/>
    <w:rsid w:val="003E24BE"/>
    <w:rsid w:val="003E3908"/>
    <w:rsid w:val="003E3B7E"/>
    <w:rsid w:val="003F0B48"/>
    <w:rsid w:val="003F7061"/>
    <w:rsid w:val="003F7CA9"/>
    <w:rsid w:val="004002F0"/>
    <w:rsid w:val="004047D9"/>
    <w:rsid w:val="00405EB4"/>
    <w:rsid w:val="004118ED"/>
    <w:rsid w:val="00413231"/>
    <w:rsid w:val="00414F42"/>
    <w:rsid w:val="00415AD6"/>
    <w:rsid w:val="00417B59"/>
    <w:rsid w:val="00422F88"/>
    <w:rsid w:val="00425467"/>
    <w:rsid w:val="00430AB5"/>
    <w:rsid w:val="00430F91"/>
    <w:rsid w:val="004311BE"/>
    <w:rsid w:val="0043191B"/>
    <w:rsid w:val="0043233D"/>
    <w:rsid w:val="004334AB"/>
    <w:rsid w:val="00436CB1"/>
    <w:rsid w:val="00437298"/>
    <w:rsid w:val="00442992"/>
    <w:rsid w:val="00445665"/>
    <w:rsid w:val="004459A8"/>
    <w:rsid w:val="00446716"/>
    <w:rsid w:val="00455559"/>
    <w:rsid w:val="00462804"/>
    <w:rsid w:val="004654FF"/>
    <w:rsid w:val="00470AF4"/>
    <w:rsid w:val="0047190A"/>
    <w:rsid w:val="004728C2"/>
    <w:rsid w:val="00484499"/>
    <w:rsid w:val="00490A4A"/>
    <w:rsid w:val="00490A86"/>
    <w:rsid w:val="00490D86"/>
    <w:rsid w:val="00492D17"/>
    <w:rsid w:val="00494B11"/>
    <w:rsid w:val="00497437"/>
    <w:rsid w:val="004A4B79"/>
    <w:rsid w:val="004A4FD1"/>
    <w:rsid w:val="004A564C"/>
    <w:rsid w:val="004A5E37"/>
    <w:rsid w:val="004B0D75"/>
    <w:rsid w:val="004B2E51"/>
    <w:rsid w:val="004B3A55"/>
    <w:rsid w:val="004B467F"/>
    <w:rsid w:val="004B791B"/>
    <w:rsid w:val="004C4DFD"/>
    <w:rsid w:val="004C6967"/>
    <w:rsid w:val="004C6F3F"/>
    <w:rsid w:val="004D00E7"/>
    <w:rsid w:val="004E00CF"/>
    <w:rsid w:val="004E23A4"/>
    <w:rsid w:val="004E3B44"/>
    <w:rsid w:val="004E4960"/>
    <w:rsid w:val="004E72AC"/>
    <w:rsid w:val="004E7775"/>
    <w:rsid w:val="004F0689"/>
    <w:rsid w:val="004F458B"/>
    <w:rsid w:val="004F4F9F"/>
    <w:rsid w:val="004F664F"/>
    <w:rsid w:val="0050063E"/>
    <w:rsid w:val="005013E0"/>
    <w:rsid w:val="00502D63"/>
    <w:rsid w:val="00505948"/>
    <w:rsid w:val="00506995"/>
    <w:rsid w:val="00510434"/>
    <w:rsid w:val="005122A8"/>
    <w:rsid w:val="0051362D"/>
    <w:rsid w:val="00514ADD"/>
    <w:rsid w:val="0052008E"/>
    <w:rsid w:val="005224D6"/>
    <w:rsid w:val="00522D94"/>
    <w:rsid w:val="00523BC6"/>
    <w:rsid w:val="00524860"/>
    <w:rsid w:val="00525513"/>
    <w:rsid w:val="00526063"/>
    <w:rsid w:val="00526AC0"/>
    <w:rsid w:val="005270B7"/>
    <w:rsid w:val="0053364F"/>
    <w:rsid w:val="00542956"/>
    <w:rsid w:val="005436DE"/>
    <w:rsid w:val="0054522C"/>
    <w:rsid w:val="00546008"/>
    <w:rsid w:val="005512E8"/>
    <w:rsid w:val="005524E6"/>
    <w:rsid w:val="00557E7A"/>
    <w:rsid w:val="005605F4"/>
    <w:rsid w:val="00560C1B"/>
    <w:rsid w:val="0056401F"/>
    <w:rsid w:val="00567FB8"/>
    <w:rsid w:val="00570BCE"/>
    <w:rsid w:val="00570F06"/>
    <w:rsid w:val="005741C2"/>
    <w:rsid w:val="00580001"/>
    <w:rsid w:val="00581F39"/>
    <w:rsid w:val="005821D8"/>
    <w:rsid w:val="00585755"/>
    <w:rsid w:val="00585963"/>
    <w:rsid w:val="005875AC"/>
    <w:rsid w:val="005877A8"/>
    <w:rsid w:val="00590B48"/>
    <w:rsid w:val="00593AB9"/>
    <w:rsid w:val="00596EF6"/>
    <w:rsid w:val="005A0274"/>
    <w:rsid w:val="005A3D87"/>
    <w:rsid w:val="005A439D"/>
    <w:rsid w:val="005A4BFC"/>
    <w:rsid w:val="005A5B48"/>
    <w:rsid w:val="005B0830"/>
    <w:rsid w:val="005C31DC"/>
    <w:rsid w:val="005C47BF"/>
    <w:rsid w:val="005D00EC"/>
    <w:rsid w:val="005D01DC"/>
    <w:rsid w:val="005D0BB2"/>
    <w:rsid w:val="005D4512"/>
    <w:rsid w:val="005D4B78"/>
    <w:rsid w:val="005E0944"/>
    <w:rsid w:val="005E09ED"/>
    <w:rsid w:val="005E0C49"/>
    <w:rsid w:val="005E222E"/>
    <w:rsid w:val="005E6636"/>
    <w:rsid w:val="005F5BE5"/>
    <w:rsid w:val="005F7883"/>
    <w:rsid w:val="00600FC9"/>
    <w:rsid w:val="006031B0"/>
    <w:rsid w:val="00603C33"/>
    <w:rsid w:val="00605B9D"/>
    <w:rsid w:val="00610E23"/>
    <w:rsid w:val="006115BE"/>
    <w:rsid w:val="006148E0"/>
    <w:rsid w:val="0061491F"/>
    <w:rsid w:val="00626C42"/>
    <w:rsid w:val="006312E1"/>
    <w:rsid w:val="0063137C"/>
    <w:rsid w:val="00640729"/>
    <w:rsid w:val="00642174"/>
    <w:rsid w:val="00643259"/>
    <w:rsid w:val="00660635"/>
    <w:rsid w:val="00664635"/>
    <w:rsid w:val="006671D6"/>
    <w:rsid w:val="0067136D"/>
    <w:rsid w:val="00671A6F"/>
    <w:rsid w:val="00674A6F"/>
    <w:rsid w:val="00675B88"/>
    <w:rsid w:val="006804A4"/>
    <w:rsid w:val="00680B79"/>
    <w:rsid w:val="0068177A"/>
    <w:rsid w:val="00682F9D"/>
    <w:rsid w:val="00684A10"/>
    <w:rsid w:val="006856F1"/>
    <w:rsid w:val="006860F9"/>
    <w:rsid w:val="006868EF"/>
    <w:rsid w:val="0069184C"/>
    <w:rsid w:val="0069336D"/>
    <w:rsid w:val="00693E56"/>
    <w:rsid w:val="00695271"/>
    <w:rsid w:val="00695D52"/>
    <w:rsid w:val="00696074"/>
    <w:rsid w:val="00697D9B"/>
    <w:rsid w:val="006A3EBC"/>
    <w:rsid w:val="006A4D21"/>
    <w:rsid w:val="006A545E"/>
    <w:rsid w:val="006A712D"/>
    <w:rsid w:val="006B0519"/>
    <w:rsid w:val="006B382B"/>
    <w:rsid w:val="006B3DD2"/>
    <w:rsid w:val="006B43EE"/>
    <w:rsid w:val="006C1611"/>
    <w:rsid w:val="006C2812"/>
    <w:rsid w:val="006C2C55"/>
    <w:rsid w:val="006C6033"/>
    <w:rsid w:val="006C61ED"/>
    <w:rsid w:val="006C68A7"/>
    <w:rsid w:val="006D786D"/>
    <w:rsid w:val="006E3282"/>
    <w:rsid w:val="006E4A33"/>
    <w:rsid w:val="006E655E"/>
    <w:rsid w:val="006E7D16"/>
    <w:rsid w:val="006F04D0"/>
    <w:rsid w:val="006F39F9"/>
    <w:rsid w:val="006F407E"/>
    <w:rsid w:val="006F4B39"/>
    <w:rsid w:val="006F572C"/>
    <w:rsid w:val="006F5D62"/>
    <w:rsid w:val="006F637F"/>
    <w:rsid w:val="007020AE"/>
    <w:rsid w:val="00705EE0"/>
    <w:rsid w:val="00706C91"/>
    <w:rsid w:val="00707556"/>
    <w:rsid w:val="0071080E"/>
    <w:rsid w:val="0071125D"/>
    <w:rsid w:val="00711614"/>
    <w:rsid w:val="00711C3B"/>
    <w:rsid w:val="00711CE5"/>
    <w:rsid w:val="0071452D"/>
    <w:rsid w:val="00724719"/>
    <w:rsid w:val="007272D3"/>
    <w:rsid w:val="00727AE0"/>
    <w:rsid w:val="00731F3B"/>
    <w:rsid w:val="00732254"/>
    <w:rsid w:val="00733F6F"/>
    <w:rsid w:val="007342E0"/>
    <w:rsid w:val="00740119"/>
    <w:rsid w:val="007416C5"/>
    <w:rsid w:val="00742FA1"/>
    <w:rsid w:val="0074323D"/>
    <w:rsid w:val="00743D34"/>
    <w:rsid w:val="00745EFE"/>
    <w:rsid w:val="007462B6"/>
    <w:rsid w:val="00746863"/>
    <w:rsid w:val="00752F08"/>
    <w:rsid w:val="00753F60"/>
    <w:rsid w:val="00754624"/>
    <w:rsid w:val="00755032"/>
    <w:rsid w:val="00760831"/>
    <w:rsid w:val="00761448"/>
    <w:rsid w:val="00762B3C"/>
    <w:rsid w:val="00762E32"/>
    <w:rsid w:val="00763EA2"/>
    <w:rsid w:val="0076586B"/>
    <w:rsid w:val="007713FB"/>
    <w:rsid w:val="00773296"/>
    <w:rsid w:val="007735F7"/>
    <w:rsid w:val="0078270E"/>
    <w:rsid w:val="00783CA0"/>
    <w:rsid w:val="00784FA3"/>
    <w:rsid w:val="00785CC5"/>
    <w:rsid w:val="007861D6"/>
    <w:rsid w:val="007867E3"/>
    <w:rsid w:val="00786D4E"/>
    <w:rsid w:val="007879E5"/>
    <w:rsid w:val="00787F9C"/>
    <w:rsid w:val="00792D84"/>
    <w:rsid w:val="00793679"/>
    <w:rsid w:val="00793DFC"/>
    <w:rsid w:val="00794AFC"/>
    <w:rsid w:val="00795A5D"/>
    <w:rsid w:val="00796D99"/>
    <w:rsid w:val="007A2A4F"/>
    <w:rsid w:val="007A40BA"/>
    <w:rsid w:val="007A712E"/>
    <w:rsid w:val="007B1E45"/>
    <w:rsid w:val="007B3913"/>
    <w:rsid w:val="007B6CBA"/>
    <w:rsid w:val="007C083B"/>
    <w:rsid w:val="007C0B35"/>
    <w:rsid w:val="007C1698"/>
    <w:rsid w:val="007C2CCC"/>
    <w:rsid w:val="007C3757"/>
    <w:rsid w:val="007C3DC2"/>
    <w:rsid w:val="007C7CE2"/>
    <w:rsid w:val="007D08BB"/>
    <w:rsid w:val="007D287B"/>
    <w:rsid w:val="007D5C61"/>
    <w:rsid w:val="007D649E"/>
    <w:rsid w:val="007D767C"/>
    <w:rsid w:val="007D7BDA"/>
    <w:rsid w:val="007E308C"/>
    <w:rsid w:val="007E78C8"/>
    <w:rsid w:val="007E799B"/>
    <w:rsid w:val="007E7C9B"/>
    <w:rsid w:val="007F0A9F"/>
    <w:rsid w:val="007F44AF"/>
    <w:rsid w:val="00800654"/>
    <w:rsid w:val="00800A1A"/>
    <w:rsid w:val="00804E9F"/>
    <w:rsid w:val="0081039E"/>
    <w:rsid w:val="00814978"/>
    <w:rsid w:val="008156B1"/>
    <w:rsid w:val="00817A3A"/>
    <w:rsid w:val="008261AF"/>
    <w:rsid w:val="008316F0"/>
    <w:rsid w:val="00832A67"/>
    <w:rsid w:val="00833F9C"/>
    <w:rsid w:val="008360B1"/>
    <w:rsid w:val="008363D6"/>
    <w:rsid w:val="00837B99"/>
    <w:rsid w:val="00840B67"/>
    <w:rsid w:val="00844384"/>
    <w:rsid w:val="00844A22"/>
    <w:rsid w:val="00845640"/>
    <w:rsid w:val="00846FF5"/>
    <w:rsid w:val="00847959"/>
    <w:rsid w:val="00853255"/>
    <w:rsid w:val="008535D4"/>
    <w:rsid w:val="0085425E"/>
    <w:rsid w:val="00854FB6"/>
    <w:rsid w:val="0085600A"/>
    <w:rsid w:val="00857E2C"/>
    <w:rsid w:val="00861C2C"/>
    <w:rsid w:val="00862146"/>
    <w:rsid w:val="008638F1"/>
    <w:rsid w:val="00863956"/>
    <w:rsid w:val="00867C29"/>
    <w:rsid w:val="00872788"/>
    <w:rsid w:val="00873C98"/>
    <w:rsid w:val="00876CD1"/>
    <w:rsid w:val="00876FD9"/>
    <w:rsid w:val="00877483"/>
    <w:rsid w:val="00880357"/>
    <w:rsid w:val="00880467"/>
    <w:rsid w:val="00880B27"/>
    <w:rsid w:val="00881A18"/>
    <w:rsid w:val="00884DB2"/>
    <w:rsid w:val="00885010"/>
    <w:rsid w:val="00887CAC"/>
    <w:rsid w:val="008925CA"/>
    <w:rsid w:val="00896726"/>
    <w:rsid w:val="008A12EF"/>
    <w:rsid w:val="008A16A9"/>
    <w:rsid w:val="008A2084"/>
    <w:rsid w:val="008A3136"/>
    <w:rsid w:val="008A47FB"/>
    <w:rsid w:val="008A5791"/>
    <w:rsid w:val="008B0C1B"/>
    <w:rsid w:val="008B3137"/>
    <w:rsid w:val="008B3171"/>
    <w:rsid w:val="008B36E0"/>
    <w:rsid w:val="008B390D"/>
    <w:rsid w:val="008C134D"/>
    <w:rsid w:val="008C535D"/>
    <w:rsid w:val="008C7231"/>
    <w:rsid w:val="008C780B"/>
    <w:rsid w:val="008D038B"/>
    <w:rsid w:val="008D03A1"/>
    <w:rsid w:val="008D05CD"/>
    <w:rsid w:val="008D17E5"/>
    <w:rsid w:val="008D1FBA"/>
    <w:rsid w:val="008D26B2"/>
    <w:rsid w:val="008D4911"/>
    <w:rsid w:val="008D4D44"/>
    <w:rsid w:val="008D5CAC"/>
    <w:rsid w:val="008D5EB9"/>
    <w:rsid w:val="008D7572"/>
    <w:rsid w:val="008E0512"/>
    <w:rsid w:val="008E609B"/>
    <w:rsid w:val="008E7B35"/>
    <w:rsid w:val="008F0C87"/>
    <w:rsid w:val="008F0EA8"/>
    <w:rsid w:val="008F2023"/>
    <w:rsid w:val="008F32CE"/>
    <w:rsid w:val="008F3CFA"/>
    <w:rsid w:val="008F70FB"/>
    <w:rsid w:val="008F7906"/>
    <w:rsid w:val="008F7C46"/>
    <w:rsid w:val="009019E0"/>
    <w:rsid w:val="00903B85"/>
    <w:rsid w:val="0090529F"/>
    <w:rsid w:val="00906067"/>
    <w:rsid w:val="00906DB9"/>
    <w:rsid w:val="0090709A"/>
    <w:rsid w:val="00907D6E"/>
    <w:rsid w:val="00912148"/>
    <w:rsid w:val="009132E9"/>
    <w:rsid w:val="009139C7"/>
    <w:rsid w:val="00917684"/>
    <w:rsid w:val="009243DF"/>
    <w:rsid w:val="00924E3A"/>
    <w:rsid w:val="009268D3"/>
    <w:rsid w:val="00930C2C"/>
    <w:rsid w:val="009314E6"/>
    <w:rsid w:val="009318C7"/>
    <w:rsid w:val="00931FB1"/>
    <w:rsid w:val="00932B08"/>
    <w:rsid w:val="00935A1B"/>
    <w:rsid w:val="00940AC8"/>
    <w:rsid w:val="00940C99"/>
    <w:rsid w:val="00942383"/>
    <w:rsid w:val="00944E2E"/>
    <w:rsid w:val="0094699C"/>
    <w:rsid w:val="0095446A"/>
    <w:rsid w:val="00954E3F"/>
    <w:rsid w:val="00956B63"/>
    <w:rsid w:val="00962C6A"/>
    <w:rsid w:val="00963F10"/>
    <w:rsid w:val="00964D1F"/>
    <w:rsid w:val="00971DA8"/>
    <w:rsid w:val="0097204D"/>
    <w:rsid w:val="00972CAB"/>
    <w:rsid w:val="00973D1B"/>
    <w:rsid w:val="00974DD8"/>
    <w:rsid w:val="00974ECC"/>
    <w:rsid w:val="00975B27"/>
    <w:rsid w:val="009777B5"/>
    <w:rsid w:val="00977F47"/>
    <w:rsid w:val="00980D4C"/>
    <w:rsid w:val="00982CDC"/>
    <w:rsid w:val="009838E6"/>
    <w:rsid w:val="009843D6"/>
    <w:rsid w:val="009857A9"/>
    <w:rsid w:val="00986610"/>
    <w:rsid w:val="00991E21"/>
    <w:rsid w:val="00994E90"/>
    <w:rsid w:val="009A09EC"/>
    <w:rsid w:val="009A0CBB"/>
    <w:rsid w:val="009A3649"/>
    <w:rsid w:val="009A3890"/>
    <w:rsid w:val="009A48EB"/>
    <w:rsid w:val="009A4EE4"/>
    <w:rsid w:val="009A5391"/>
    <w:rsid w:val="009A60A2"/>
    <w:rsid w:val="009A6FF8"/>
    <w:rsid w:val="009B271F"/>
    <w:rsid w:val="009B375A"/>
    <w:rsid w:val="009B3F22"/>
    <w:rsid w:val="009B5FCF"/>
    <w:rsid w:val="009B6C39"/>
    <w:rsid w:val="009C0123"/>
    <w:rsid w:val="009C3FCA"/>
    <w:rsid w:val="009C5D3A"/>
    <w:rsid w:val="009C6C09"/>
    <w:rsid w:val="009D032F"/>
    <w:rsid w:val="009D0780"/>
    <w:rsid w:val="009E0958"/>
    <w:rsid w:val="009E0AB1"/>
    <w:rsid w:val="009E22C9"/>
    <w:rsid w:val="009E24C2"/>
    <w:rsid w:val="009E2A95"/>
    <w:rsid w:val="009E7068"/>
    <w:rsid w:val="009E7D76"/>
    <w:rsid w:val="009F2126"/>
    <w:rsid w:val="009F57A6"/>
    <w:rsid w:val="009F5B03"/>
    <w:rsid w:val="009F6F78"/>
    <w:rsid w:val="009F76C2"/>
    <w:rsid w:val="00A00CB3"/>
    <w:rsid w:val="00A04627"/>
    <w:rsid w:val="00A04F1B"/>
    <w:rsid w:val="00A060B5"/>
    <w:rsid w:val="00A06737"/>
    <w:rsid w:val="00A07169"/>
    <w:rsid w:val="00A142C6"/>
    <w:rsid w:val="00A147C3"/>
    <w:rsid w:val="00A1577F"/>
    <w:rsid w:val="00A2252B"/>
    <w:rsid w:val="00A249C6"/>
    <w:rsid w:val="00A25435"/>
    <w:rsid w:val="00A2771F"/>
    <w:rsid w:val="00A303C9"/>
    <w:rsid w:val="00A31245"/>
    <w:rsid w:val="00A322D8"/>
    <w:rsid w:val="00A3530E"/>
    <w:rsid w:val="00A36534"/>
    <w:rsid w:val="00A37E47"/>
    <w:rsid w:val="00A40859"/>
    <w:rsid w:val="00A40D3C"/>
    <w:rsid w:val="00A42010"/>
    <w:rsid w:val="00A4237E"/>
    <w:rsid w:val="00A426AB"/>
    <w:rsid w:val="00A432D2"/>
    <w:rsid w:val="00A44AF3"/>
    <w:rsid w:val="00A5068C"/>
    <w:rsid w:val="00A520A1"/>
    <w:rsid w:val="00A55D3F"/>
    <w:rsid w:val="00A57B02"/>
    <w:rsid w:val="00A60214"/>
    <w:rsid w:val="00A74030"/>
    <w:rsid w:val="00A74092"/>
    <w:rsid w:val="00A7486B"/>
    <w:rsid w:val="00A74D74"/>
    <w:rsid w:val="00A75232"/>
    <w:rsid w:val="00A75BFC"/>
    <w:rsid w:val="00A75FBF"/>
    <w:rsid w:val="00A76B61"/>
    <w:rsid w:val="00A77438"/>
    <w:rsid w:val="00A858D3"/>
    <w:rsid w:val="00A86646"/>
    <w:rsid w:val="00A9055D"/>
    <w:rsid w:val="00A90769"/>
    <w:rsid w:val="00A90976"/>
    <w:rsid w:val="00A912D5"/>
    <w:rsid w:val="00A926BB"/>
    <w:rsid w:val="00A93BC7"/>
    <w:rsid w:val="00A94448"/>
    <w:rsid w:val="00A95B42"/>
    <w:rsid w:val="00A96ECE"/>
    <w:rsid w:val="00A9773D"/>
    <w:rsid w:val="00AA0286"/>
    <w:rsid w:val="00AA0565"/>
    <w:rsid w:val="00AA1680"/>
    <w:rsid w:val="00AA2746"/>
    <w:rsid w:val="00AA6010"/>
    <w:rsid w:val="00AB3E68"/>
    <w:rsid w:val="00AC1207"/>
    <w:rsid w:val="00AC27D9"/>
    <w:rsid w:val="00AC2DB4"/>
    <w:rsid w:val="00AC47D3"/>
    <w:rsid w:val="00AD0C9C"/>
    <w:rsid w:val="00AD19A0"/>
    <w:rsid w:val="00AD68B7"/>
    <w:rsid w:val="00AD6C54"/>
    <w:rsid w:val="00AE194D"/>
    <w:rsid w:val="00AE19C7"/>
    <w:rsid w:val="00AE1CEE"/>
    <w:rsid w:val="00AE2A8F"/>
    <w:rsid w:val="00AE2CF6"/>
    <w:rsid w:val="00AF0403"/>
    <w:rsid w:val="00AF098A"/>
    <w:rsid w:val="00AF2739"/>
    <w:rsid w:val="00AF376F"/>
    <w:rsid w:val="00AF3C97"/>
    <w:rsid w:val="00AF6E1E"/>
    <w:rsid w:val="00AF7F04"/>
    <w:rsid w:val="00B06A14"/>
    <w:rsid w:val="00B11261"/>
    <w:rsid w:val="00B12660"/>
    <w:rsid w:val="00B12A31"/>
    <w:rsid w:val="00B12EEB"/>
    <w:rsid w:val="00B15606"/>
    <w:rsid w:val="00B24243"/>
    <w:rsid w:val="00B24518"/>
    <w:rsid w:val="00B25516"/>
    <w:rsid w:val="00B26452"/>
    <w:rsid w:val="00B329A0"/>
    <w:rsid w:val="00B33BA1"/>
    <w:rsid w:val="00B35540"/>
    <w:rsid w:val="00B35B8E"/>
    <w:rsid w:val="00B37034"/>
    <w:rsid w:val="00B43769"/>
    <w:rsid w:val="00B44687"/>
    <w:rsid w:val="00B44AC2"/>
    <w:rsid w:val="00B46155"/>
    <w:rsid w:val="00B5631E"/>
    <w:rsid w:val="00B57588"/>
    <w:rsid w:val="00B579A1"/>
    <w:rsid w:val="00B61DA2"/>
    <w:rsid w:val="00B62177"/>
    <w:rsid w:val="00B62248"/>
    <w:rsid w:val="00B6238E"/>
    <w:rsid w:val="00B6268D"/>
    <w:rsid w:val="00B64FC5"/>
    <w:rsid w:val="00B6530A"/>
    <w:rsid w:val="00B7152B"/>
    <w:rsid w:val="00B73486"/>
    <w:rsid w:val="00B826CC"/>
    <w:rsid w:val="00B828AC"/>
    <w:rsid w:val="00B83238"/>
    <w:rsid w:val="00B95E05"/>
    <w:rsid w:val="00B9740B"/>
    <w:rsid w:val="00B979C7"/>
    <w:rsid w:val="00BA333A"/>
    <w:rsid w:val="00BA4353"/>
    <w:rsid w:val="00BA7159"/>
    <w:rsid w:val="00BB0418"/>
    <w:rsid w:val="00BB1409"/>
    <w:rsid w:val="00BB35DC"/>
    <w:rsid w:val="00BB6FB0"/>
    <w:rsid w:val="00BC0236"/>
    <w:rsid w:val="00BC03F4"/>
    <w:rsid w:val="00BC1460"/>
    <w:rsid w:val="00BC46F5"/>
    <w:rsid w:val="00BC549D"/>
    <w:rsid w:val="00BC66D0"/>
    <w:rsid w:val="00BC7F54"/>
    <w:rsid w:val="00BD0A1B"/>
    <w:rsid w:val="00BD1315"/>
    <w:rsid w:val="00BD42FC"/>
    <w:rsid w:val="00BD71A7"/>
    <w:rsid w:val="00BE3850"/>
    <w:rsid w:val="00BE4434"/>
    <w:rsid w:val="00BF1462"/>
    <w:rsid w:val="00BF3738"/>
    <w:rsid w:val="00BF7765"/>
    <w:rsid w:val="00C0141D"/>
    <w:rsid w:val="00C017AE"/>
    <w:rsid w:val="00C01D63"/>
    <w:rsid w:val="00C05C0A"/>
    <w:rsid w:val="00C07DDF"/>
    <w:rsid w:val="00C10077"/>
    <w:rsid w:val="00C12F2A"/>
    <w:rsid w:val="00C15154"/>
    <w:rsid w:val="00C21C80"/>
    <w:rsid w:val="00C22831"/>
    <w:rsid w:val="00C30154"/>
    <w:rsid w:val="00C30BF0"/>
    <w:rsid w:val="00C32A8F"/>
    <w:rsid w:val="00C34CD4"/>
    <w:rsid w:val="00C35174"/>
    <w:rsid w:val="00C356E0"/>
    <w:rsid w:val="00C40A08"/>
    <w:rsid w:val="00C40EEF"/>
    <w:rsid w:val="00C41F97"/>
    <w:rsid w:val="00C5101A"/>
    <w:rsid w:val="00C53253"/>
    <w:rsid w:val="00C53449"/>
    <w:rsid w:val="00C559D5"/>
    <w:rsid w:val="00C57951"/>
    <w:rsid w:val="00C60F37"/>
    <w:rsid w:val="00C6220F"/>
    <w:rsid w:val="00C63FBA"/>
    <w:rsid w:val="00C643CE"/>
    <w:rsid w:val="00C6457C"/>
    <w:rsid w:val="00C70F9A"/>
    <w:rsid w:val="00C718DF"/>
    <w:rsid w:val="00C74639"/>
    <w:rsid w:val="00C77865"/>
    <w:rsid w:val="00C83C25"/>
    <w:rsid w:val="00C85B14"/>
    <w:rsid w:val="00C864EC"/>
    <w:rsid w:val="00C86AAF"/>
    <w:rsid w:val="00C87A99"/>
    <w:rsid w:val="00C906AE"/>
    <w:rsid w:val="00C91C96"/>
    <w:rsid w:val="00C92653"/>
    <w:rsid w:val="00C926B6"/>
    <w:rsid w:val="00C961EE"/>
    <w:rsid w:val="00C96361"/>
    <w:rsid w:val="00C97774"/>
    <w:rsid w:val="00C977D1"/>
    <w:rsid w:val="00CA16D7"/>
    <w:rsid w:val="00CA1EA9"/>
    <w:rsid w:val="00CA31B0"/>
    <w:rsid w:val="00CA3627"/>
    <w:rsid w:val="00CA66AF"/>
    <w:rsid w:val="00CB1E72"/>
    <w:rsid w:val="00CB1E8B"/>
    <w:rsid w:val="00CB2773"/>
    <w:rsid w:val="00CB4AEA"/>
    <w:rsid w:val="00CB5BBF"/>
    <w:rsid w:val="00CB7398"/>
    <w:rsid w:val="00CB7EE2"/>
    <w:rsid w:val="00CC3D49"/>
    <w:rsid w:val="00CD07C8"/>
    <w:rsid w:val="00CD12CC"/>
    <w:rsid w:val="00CD2A44"/>
    <w:rsid w:val="00CD680B"/>
    <w:rsid w:val="00CD7207"/>
    <w:rsid w:val="00CE2C91"/>
    <w:rsid w:val="00CE78D8"/>
    <w:rsid w:val="00CE7963"/>
    <w:rsid w:val="00CF5B8E"/>
    <w:rsid w:val="00CF6448"/>
    <w:rsid w:val="00CF689F"/>
    <w:rsid w:val="00CF7676"/>
    <w:rsid w:val="00D107F5"/>
    <w:rsid w:val="00D11069"/>
    <w:rsid w:val="00D11216"/>
    <w:rsid w:val="00D12E08"/>
    <w:rsid w:val="00D13E0D"/>
    <w:rsid w:val="00D15197"/>
    <w:rsid w:val="00D15CDB"/>
    <w:rsid w:val="00D161F4"/>
    <w:rsid w:val="00D2045D"/>
    <w:rsid w:val="00D23127"/>
    <w:rsid w:val="00D24713"/>
    <w:rsid w:val="00D26432"/>
    <w:rsid w:val="00D2683C"/>
    <w:rsid w:val="00D26A0A"/>
    <w:rsid w:val="00D27B29"/>
    <w:rsid w:val="00D3076E"/>
    <w:rsid w:val="00D30791"/>
    <w:rsid w:val="00D357B8"/>
    <w:rsid w:val="00D3685F"/>
    <w:rsid w:val="00D441E6"/>
    <w:rsid w:val="00D45B50"/>
    <w:rsid w:val="00D460CB"/>
    <w:rsid w:val="00D46BF8"/>
    <w:rsid w:val="00D518B9"/>
    <w:rsid w:val="00D5486F"/>
    <w:rsid w:val="00D600BB"/>
    <w:rsid w:val="00D60A03"/>
    <w:rsid w:val="00D64C9B"/>
    <w:rsid w:val="00D65CAD"/>
    <w:rsid w:val="00D71DC0"/>
    <w:rsid w:val="00D730C5"/>
    <w:rsid w:val="00D74CEB"/>
    <w:rsid w:val="00D74D50"/>
    <w:rsid w:val="00D763DF"/>
    <w:rsid w:val="00D7680F"/>
    <w:rsid w:val="00D7748B"/>
    <w:rsid w:val="00D77737"/>
    <w:rsid w:val="00D840C4"/>
    <w:rsid w:val="00D86F4B"/>
    <w:rsid w:val="00D8716B"/>
    <w:rsid w:val="00D9114A"/>
    <w:rsid w:val="00D91B74"/>
    <w:rsid w:val="00D92396"/>
    <w:rsid w:val="00D93479"/>
    <w:rsid w:val="00D95CD0"/>
    <w:rsid w:val="00D95D49"/>
    <w:rsid w:val="00D97164"/>
    <w:rsid w:val="00D978A2"/>
    <w:rsid w:val="00D97A87"/>
    <w:rsid w:val="00DA215F"/>
    <w:rsid w:val="00DA2491"/>
    <w:rsid w:val="00DA56E5"/>
    <w:rsid w:val="00DB3387"/>
    <w:rsid w:val="00DB37BC"/>
    <w:rsid w:val="00DB4862"/>
    <w:rsid w:val="00DB521C"/>
    <w:rsid w:val="00DC30F0"/>
    <w:rsid w:val="00DC3894"/>
    <w:rsid w:val="00DC786E"/>
    <w:rsid w:val="00DD1168"/>
    <w:rsid w:val="00DD650F"/>
    <w:rsid w:val="00DD6E54"/>
    <w:rsid w:val="00DD7728"/>
    <w:rsid w:val="00DD7953"/>
    <w:rsid w:val="00DE0607"/>
    <w:rsid w:val="00DE0D30"/>
    <w:rsid w:val="00DE4B5D"/>
    <w:rsid w:val="00DE4F1C"/>
    <w:rsid w:val="00DE543F"/>
    <w:rsid w:val="00DE7BFC"/>
    <w:rsid w:val="00DF1D78"/>
    <w:rsid w:val="00DF1DF1"/>
    <w:rsid w:val="00DF307C"/>
    <w:rsid w:val="00DF3150"/>
    <w:rsid w:val="00DF3AA4"/>
    <w:rsid w:val="00DF6644"/>
    <w:rsid w:val="00DF7581"/>
    <w:rsid w:val="00DF7FB3"/>
    <w:rsid w:val="00E008A5"/>
    <w:rsid w:val="00E01FE6"/>
    <w:rsid w:val="00E057E3"/>
    <w:rsid w:val="00E06AE8"/>
    <w:rsid w:val="00E11266"/>
    <w:rsid w:val="00E13FF7"/>
    <w:rsid w:val="00E14266"/>
    <w:rsid w:val="00E145BF"/>
    <w:rsid w:val="00E14662"/>
    <w:rsid w:val="00E20AB9"/>
    <w:rsid w:val="00E24937"/>
    <w:rsid w:val="00E3429C"/>
    <w:rsid w:val="00E36731"/>
    <w:rsid w:val="00E371CF"/>
    <w:rsid w:val="00E377FE"/>
    <w:rsid w:val="00E37A43"/>
    <w:rsid w:val="00E37B99"/>
    <w:rsid w:val="00E42DAE"/>
    <w:rsid w:val="00E4401B"/>
    <w:rsid w:val="00E47300"/>
    <w:rsid w:val="00E5007C"/>
    <w:rsid w:val="00E50CE1"/>
    <w:rsid w:val="00E520ED"/>
    <w:rsid w:val="00E53A31"/>
    <w:rsid w:val="00E56FE6"/>
    <w:rsid w:val="00E607AE"/>
    <w:rsid w:val="00E61EEA"/>
    <w:rsid w:val="00E63056"/>
    <w:rsid w:val="00E63A1D"/>
    <w:rsid w:val="00E66286"/>
    <w:rsid w:val="00E668EB"/>
    <w:rsid w:val="00E82D42"/>
    <w:rsid w:val="00E832EB"/>
    <w:rsid w:val="00E85A47"/>
    <w:rsid w:val="00E912C0"/>
    <w:rsid w:val="00E92682"/>
    <w:rsid w:val="00E94D24"/>
    <w:rsid w:val="00E94E61"/>
    <w:rsid w:val="00E9571A"/>
    <w:rsid w:val="00E9627C"/>
    <w:rsid w:val="00EA1901"/>
    <w:rsid w:val="00EA3C31"/>
    <w:rsid w:val="00EA41F6"/>
    <w:rsid w:val="00EA4264"/>
    <w:rsid w:val="00EA485D"/>
    <w:rsid w:val="00EA48B8"/>
    <w:rsid w:val="00EA54E4"/>
    <w:rsid w:val="00EB123C"/>
    <w:rsid w:val="00EB4143"/>
    <w:rsid w:val="00EB5DE3"/>
    <w:rsid w:val="00EB61AC"/>
    <w:rsid w:val="00EC062B"/>
    <w:rsid w:val="00EC0A78"/>
    <w:rsid w:val="00EC0FB9"/>
    <w:rsid w:val="00EC3C0F"/>
    <w:rsid w:val="00EC43A9"/>
    <w:rsid w:val="00ED2DDD"/>
    <w:rsid w:val="00ED41DD"/>
    <w:rsid w:val="00ED4AF1"/>
    <w:rsid w:val="00ED6F71"/>
    <w:rsid w:val="00EE02A8"/>
    <w:rsid w:val="00EE3D9A"/>
    <w:rsid w:val="00EE59A7"/>
    <w:rsid w:val="00EE6258"/>
    <w:rsid w:val="00EE62D6"/>
    <w:rsid w:val="00EE7F0B"/>
    <w:rsid w:val="00EF0ED7"/>
    <w:rsid w:val="00EF20A9"/>
    <w:rsid w:val="00EF3BCC"/>
    <w:rsid w:val="00EF5943"/>
    <w:rsid w:val="00F033C2"/>
    <w:rsid w:val="00F0539F"/>
    <w:rsid w:val="00F06978"/>
    <w:rsid w:val="00F07A11"/>
    <w:rsid w:val="00F10387"/>
    <w:rsid w:val="00F1223B"/>
    <w:rsid w:val="00F142DA"/>
    <w:rsid w:val="00F17B56"/>
    <w:rsid w:val="00F20ECF"/>
    <w:rsid w:val="00F241C6"/>
    <w:rsid w:val="00F26649"/>
    <w:rsid w:val="00F333B7"/>
    <w:rsid w:val="00F34FC1"/>
    <w:rsid w:val="00F357E9"/>
    <w:rsid w:val="00F37EE2"/>
    <w:rsid w:val="00F50AD3"/>
    <w:rsid w:val="00F516DE"/>
    <w:rsid w:val="00F52EF3"/>
    <w:rsid w:val="00F53840"/>
    <w:rsid w:val="00F54937"/>
    <w:rsid w:val="00F5505E"/>
    <w:rsid w:val="00F56B06"/>
    <w:rsid w:val="00F57412"/>
    <w:rsid w:val="00F61AC3"/>
    <w:rsid w:val="00F629C7"/>
    <w:rsid w:val="00F63DDB"/>
    <w:rsid w:val="00F64530"/>
    <w:rsid w:val="00F6589F"/>
    <w:rsid w:val="00F66E49"/>
    <w:rsid w:val="00F678B0"/>
    <w:rsid w:val="00F70E74"/>
    <w:rsid w:val="00F720BF"/>
    <w:rsid w:val="00F74C7B"/>
    <w:rsid w:val="00F7693D"/>
    <w:rsid w:val="00F81334"/>
    <w:rsid w:val="00F82EED"/>
    <w:rsid w:val="00F860EB"/>
    <w:rsid w:val="00F90C5A"/>
    <w:rsid w:val="00F90D70"/>
    <w:rsid w:val="00F91D2C"/>
    <w:rsid w:val="00F92526"/>
    <w:rsid w:val="00F94C14"/>
    <w:rsid w:val="00F9532F"/>
    <w:rsid w:val="00FA093D"/>
    <w:rsid w:val="00FA12BE"/>
    <w:rsid w:val="00FA15A2"/>
    <w:rsid w:val="00FA5C5D"/>
    <w:rsid w:val="00FB230E"/>
    <w:rsid w:val="00FB253E"/>
    <w:rsid w:val="00FB2EEB"/>
    <w:rsid w:val="00FB37C9"/>
    <w:rsid w:val="00FB3EA5"/>
    <w:rsid w:val="00FB4D07"/>
    <w:rsid w:val="00FB4E38"/>
    <w:rsid w:val="00FB5384"/>
    <w:rsid w:val="00FC55DD"/>
    <w:rsid w:val="00FD04C5"/>
    <w:rsid w:val="00FD06BA"/>
    <w:rsid w:val="00FD1FF7"/>
    <w:rsid w:val="00FD2120"/>
    <w:rsid w:val="00FD3386"/>
    <w:rsid w:val="00FD597F"/>
    <w:rsid w:val="00FD62C3"/>
    <w:rsid w:val="00FD6EC9"/>
    <w:rsid w:val="00FE16B3"/>
    <w:rsid w:val="00FE1B6C"/>
    <w:rsid w:val="00FE39FF"/>
    <w:rsid w:val="00FE3A93"/>
    <w:rsid w:val="00FE5462"/>
    <w:rsid w:val="00FE5B25"/>
    <w:rsid w:val="00FE61CA"/>
    <w:rsid w:val="00FE6221"/>
    <w:rsid w:val="00FE7845"/>
    <w:rsid w:val="00FF1D31"/>
    <w:rsid w:val="00FF2927"/>
    <w:rsid w:val="00FF2E6F"/>
    <w:rsid w:val="00FF3E50"/>
    <w:rsid w:val="00FF7E4D"/>
    <w:rsid w:val="4FAD4B60"/>
    <w:rsid w:val="6A597CEC"/>
    <w:rsid w:val="70C77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6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0780"/>
    <w:pPr>
      <w:spacing w:after="0"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DD7728"/>
    <w:pPr>
      <w:keepNext/>
      <w:keepLines/>
      <w:spacing w:line="240" w:lineRule="auto"/>
      <w:ind w:firstLine="0"/>
      <w:outlineLvl w:val="0"/>
    </w:pPr>
    <w:rPr>
      <w:rFonts w:eastAsiaTheme="majorEastAsia" w:cstheme="majorBidi"/>
      <w:b/>
      <w:bCs/>
      <w:caps/>
      <w:sz w:val="28"/>
      <w:szCs w:val="28"/>
    </w:rPr>
  </w:style>
  <w:style w:type="paragraph" w:styleId="Ttulo2">
    <w:name w:val="heading 2"/>
    <w:basedOn w:val="Ttulo1"/>
    <w:next w:val="Normal"/>
    <w:link w:val="Ttulo2Char"/>
    <w:qFormat/>
    <w:rsid w:val="00BF7765"/>
    <w:pPr>
      <w:keepLines w:val="0"/>
      <w:widowControl w:val="0"/>
      <w:tabs>
        <w:tab w:val="num" w:pos="0"/>
      </w:tabs>
      <w:overflowPunct w:val="0"/>
      <w:autoSpaceDE w:val="0"/>
      <w:textAlignment w:val="baseline"/>
      <w:outlineLvl w:val="1"/>
    </w:pPr>
    <w:rPr>
      <w:rFonts w:eastAsia="Times New Roman" w:cs="Arial"/>
      <w:caps w:val="0"/>
      <w:kern w:val="28"/>
      <w:sz w:val="24"/>
      <w:lang w:eastAsia="ar-SA"/>
    </w:rPr>
  </w:style>
  <w:style w:type="paragraph" w:styleId="Ttulo3">
    <w:name w:val="heading 3"/>
    <w:basedOn w:val="Normal"/>
    <w:next w:val="Normal"/>
    <w:link w:val="Ttulo3Char"/>
    <w:uiPriority w:val="9"/>
    <w:unhideWhenUsed/>
    <w:qFormat/>
    <w:rsid w:val="00DD7728"/>
    <w:pPr>
      <w:keepNext/>
      <w:keepLines/>
      <w:spacing w:line="240" w:lineRule="auto"/>
      <w:ind w:firstLine="0"/>
      <w:outlineLvl w:val="2"/>
    </w:pPr>
    <w:rPr>
      <w:rFonts w:eastAsiaTheme="majorEastAsia"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apa"/>
    <w:next w:val="Normal"/>
    <w:qFormat/>
    <w:rsid w:val="00745EFE"/>
    <w:pPr>
      <w:suppressAutoHyphens/>
      <w:spacing w:after="0" w:line="360" w:lineRule="auto"/>
      <w:jc w:val="center"/>
    </w:pPr>
    <w:rPr>
      <w:rFonts w:ascii="Times New Roman" w:eastAsia="Times New Roman" w:hAnsi="Times New Roman" w:cs="Times New Roman"/>
      <w:b/>
      <w:caps/>
      <w:sz w:val="24"/>
      <w:szCs w:val="20"/>
      <w:lang w:eastAsia="ar-SA"/>
    </w:rPr>
  </w:style>
  <w:style w:type="paragraph" w:styleId="Cabealho">
    <w:name w:val="header"/>
    <w:basedOn w:val="Normal"/>
    <w:link w:val="CabealhoChar"/>
    <w:uiPriority w:val="99"/>
    <w:unhideWhenUsed/>
    <w:rsid w:val="00F629C7"/>
    <w:pPr>
      <w:tabs>
        <w:tab w:val="center" w:pos="4252"/>
        <w:tab w:val="right" w:pos="8504"/>
      </w:tabs>
      <w:spacing w:line="240" w:lineRule="auto"/>
    </w:pPr>
  </w:style>
  <w:style w:type="character" w:customStyle="1" w:styleId="CabealhoChar">
    <w:name w:val="Cabeçalho Char"/>
    <w:basedOn w:val="Fontepargpadro"/>
    <w:link w:val="Cabealho"/>
    <w:uiPriority w:val="99"/>
    <w:rsid w:val="00F629C7"/>
  </w:style>
  <w:style w:type="paragraph" w:styleId="Rodap">
    <w:name w:val="footer"/>
    <w:basedOn w:val="Normal"/>
    <w:link w:val="RodapChar"/>
    <w:uiPriority w:val="99"/>
    <w:unhideWhenUsed/>
    <w:rsid w:val="00F629C7"/>
    <w:pPr>
      <w:tabs>
        <w:tab w:val="center" w:pos="4252"/>
        <w:tab w:val="right" w:pos="8504"/>
      </w:tabs>
      <w:spacing w:line="240" w:lineRule="auto"/>
    </w:pPr>
  </w:style>
  <w:style w:type="character" w:customStyle="1" w:styleId="RodapChar">
    <w:name w:val="Rodapé Char"/>
    <w:basedOn w:val="Fontepargpadro"/>
    <w:link w:val="Rodap"/>
    <w:uiPriority w:val="99"/>
    <w:rsid w:val="00F629C7"/>
  </w:style>
  <w:style w:type="character" w:styleId="Hyperlink">
    <w:name w:val="Hyperlink"/>
    <w:uiPriority w:val="99"/>
    <w:rsid w:val="002C4A86"/>
    <w:rPr>
      <w:color w:val="auto"/>
      <w:u w:val="none"/>
    </w:rPr>
  </w:style>
  <w:style w:type="paragraph" w:styleId="Sumrio1">
    <w:name w:val="toc 1"/>
    <w:basedOn w:val="Normal"/>
    <w:uiPriority w:val="39"/>
    <w:qFormat/>
    <w:rsid w:val="00C05C0A"/>
    <w:pPr>
      <w:tabs>
        <w:tab w:val="right" w:leader="dot" w:pos="9071"/>
      </w:tabs>
      <w:overflowPunct w:val="0"/>
      <w:autoSpaceDE w:val="0"/>
      <w:spacing w:before="480" w:line="240" w:lineRule="auto"/>
      <w:ind w:firstLine="0"/>
      <w:textAlignment w:val="baseline"/>
    </w:pPr>
    <w:rPr>
      <w:rFonts w:eastAsia="Times New Roman" w:cs="Arial"/>
      <w:b/>
      <w:caps/>
      <w:kern w:val="24"/>
      <w:szCs w:val="24"/>
      <w:lang w:eastAsia="ar-SA"/>
    </w:rPr>
  </w:style>
  <w:style w:type="paragraph" w:styleId="Sumrio2">
    <w:name w:val="toc 2"/>
    <w:basedOn w:val="Sumrio1"/>
    <w:uiPriority w:val="39"/>
    <w:qFormat/>
    <w:rsid w:val="00C05C0A"/>
    <w:pPr>
      <w:spacing w:before="120"/>
    </w:pPr>
    <w:rPr>
      <w:b w:val="0"/>
      <w:szCs w:val="22"/>
    </w:rPr>
  </w:style>
  <w:style w:type="paragraph" w:styleId="Sumrio3">
    <w:name w:val="toc 3"/>
    <w:basedOn w:val="Sumrio2"/>
    <w:uiPriority w:val="39"/>
    <w:qFormat/>
    <w:rsid w:val="00C05C0A"/>
    <w:pPr>
      <w:spacing w:before="0" w:after="120"/>
    </w:pPr>
    <w:rPr>
      <w:b/>
      <w:caps w:val="0"/>
      <w:szCs w:val="20"/>
    </w:rPr>
  </w:style>
  <w:style w:type="character" w:customStyle="1" w:styleId="Ttulo2Char">
    <w:name w:val="Título 2 Char"/>
    <w:basedOn w:val="Fontepargpadro"/>
    <w:link w:val="Ttulo2"/>
    <w:rsid w:val="00BF7765"/>
    <w:rPr>
      <w:rFonts w:ascii="Times New Roman" w:eastAsia="Times New Roman" w:hAnsi="Times New Roman" w:cs="Arial"/>
      <w:b/>
      <w:bCs/>
      <w:kern w:val="28"/>
      <w:sz w:val="24"/>
      <w:szCs w:val="28"/>
      <w:lang w:eastAsia="ar-SA"/>
    </w:rPr>
  </w:style>
  <w:style w:type="character" w:customStyle="1" w:styleId="Ttulo1Char">
    <w:name w:val="Título 1 Char"/>
    <w:basedOn w:val="Fontepargpadro"/>
    <w:link w:val="Ttulo1"/>
    <w:uiPriority w:val="9"/>
    <w:rsid w:val="00DD7728"/>
    <w:rPr>
      <w:rFonts w:ascii="Arial" w:eastAsiaTheme="majorEastAsia" w:hAnsi="Arial" w:cstheme="majorBidi"/>
      <w:b/>
      <w:bCs/>
      <w:caps/>
      <w:sz w:val="28"/>
      <w:szCs w:val="28"/>
    </w:rPr>
  </w:style>
  <w:style w:type="paragraph" w:styleId="PargrafodaLista">
    <w:name w:val="List Paragraph"/>
    <w:basedOn w:val="Normal"/>
    <w:uiPriority w:val="34"/>
    <w:qFormat/>
    <w:rsid w:val="002C4A86"/>
    <w:pPr>
      <w:ind w:left="720"/>
      <w:contextualSpacing/>
    </w:pPr>
  </w:style>
  <w:style w:type="paragraph" w:customStyle="1" w:styleId="Contedodatabela">
    <w:name w:val="Conteúdo da tabela"/>
    <w:basedOn w:val="Normal"/>
    <w:rsid w:val="002C4A86"/>
    <w:pPr>
      <w:suppressLineNumbers/>
      <w:overflowPunct w:val="0"/>
      <w:autoSpaceDE w:val="0"/>
      <w:spacing w:before="120" w:after="120"/>
      <w:ind w:firstLine="425"/>
      <w:textAlignment w:val="baseline"/>
    </w:pPr>
    <w:rPr>
      <w:rFonts w:eastAsia="Times New Roman" w:cs="Times New Roman"/>
      <w:szCs w:val="24"/>
      <w:lang w:eastAsia="ar-SA"/>
    </w:rPr>
  </w:style>
  <w:style w:type="character" w:customStyle="1" w:styleId="Ttulo3Char">
    <w:name w:val="Título 3 Char"/>
    <w:basedOn w:val="Fontepargpadro"/>
    <w:link w:val="Ttulo3"/>
    <w:uiPriority w:val="9"/>
    <w:rsid w:val="00DD7728"/>
    <w:rPr>
      <w:rFonts w:ascii="Arial" w:eastAsiaTheme="majorEastAsia" w:hAnsi="Arial" w:cstheme="majorBidi"/>
      <w:b/>
      <w:bCs/>
      <w:sz w:val="24"/>
    </w:rPr>
  </w:style>
  <w:style w:type="paragraph" w:customStyle="1" w:styleId="Ilustrao">
    <w:name w:val="Ilustração"/>
    <w:basedOn w:val="Normal"/>
    <w:rsid w:val="00930C2C"/>
    <w:pPr>
      <w:overflowPunct w:val="0"/>
      <w:autoSpaceDE w:val="0"/>
      <w:spacing w:before="120" w:after="120"/>
      <w:jc w:val="center"/>
      <w:textAlignment w:val="baseline"/>
    </w:pPr>
    <w:rPr>
      <w:rFonts w:eastAsia="Times New Roman" w:cs="Arial"/>
      <w:b/>
      <w:bCs/>
      <w:sz w:val="20"/>
      <w:szCs w:val="20"/>
      <w:lang w:eastAsia="ar-SA"/>
    </w:rPr>
  </w:style>
  <w:style w:type="paragraph" w:styleId="Textodebalo">
    <w:name w:val="Balloon Text"/>
    <w:basedOn w:val="Normal"/>
    <w:link w:val="TextodebaloChar"/>
    <w:uiPriority w:val="99"/>
    <w:semiHidden/>
    <w:unhideWhenUsed/>
    <w:rsid w:val="00930C2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0C2C"/>
    <w:rPr>
      <w:rFonts w:ascii="Tahoma" w:hAnsi="Tahoma" w:cs="Tahoma"/>
      <w:sz w:val="16"/>
      <w:szCs w:val="16"/>
    </w:rPr>
  </w:style>
  <w:style w:type="paragraph" w:customStyle="1" w:styleId="RefernciaBibliogrfica">
    <w:name w:val="Referência Bibliográfica"/>
    <w:basedOn w:val="Normal"/>
    <w:rsid w:val="00DF307C"/>
    <w:pPr>
      <w:tabs>
        <w:tab w:val="left" w:pos="426"/>
      </w:tabs>
      <w:overflowPunct w:val="0"/>
      <w:autoSpaceDE w:val="0"/>
      <w:spacing w:before="120" w:after="120" w:line="100" w:lineRule="atLeast"/>
      <w:textAlignment w:val="baseline"/>
    </w:pPr>
    <w:rPr>
      <w:rFonts w:eastAsia="Times New Roman" w:cs="Times New Roman"/>
      <w:kern w:val="1"/>
      <w:szCs w:val="24"/>
      <w:lang w:eastAsia="ar-SA"/>
    </w:rPr>
  </w:style>
  <w:style w:type="character" w:customStyle="1" w:styleId="apple-style-span">
    <w:name w:val="apple-style-span"/>
    <w:basedOn w:val="Fontepargpadro"/>
    <w:rsid w:val="00753F60"/>
  </w:style>
  <w:style w:type="character" w:customStyle="1" w:styleId="apple-converted-space">
    <w:name w:val="apple-converted-space"/>
    <w:basedOn w:val="Fontepargpadro"/>
    <w:rsid w:val="00753F60"/>
  </w:style>
  <w:style w:type="character" w:customStyle="1" w:styleId="arial121">
    <w:name w:val="arial121"/>
    <w:basedOn w:val="Fontepargpadro"/>
    <w:rsid w:val="00940C99"/>
    <w:rPr>
      <w:rFonts w:ascii="Arial" w:hAnsi="Arial" w:cs="Arial" w:hint="default"/>
      <w:i w:val="0"/>
      <w:iCs w:val="0"/>
      <w:sz w:val="24"/>
      <w:szCs w:val="24"/>
    </w:rPr>
  </w:style>
  <w:style w:type="paragraph" w:customStyle="1" w:styleId="Capa3-Ttulo">
    <w:name w:val="Capa 3 - Título"/>
    <w:basedOn w:val="Normal"/>
    <w:next w:val="Normal"/>
    <w:rsid w:val="00CD7207"/>
    <w:pPr>
      <w:overflowPunct w:val="0"/>
      <w:autoSpaceDE w:val="0"/>
      <w:spacing w:before="3960" w:after="3960" w:line="100" w:lineRule="atLeast"/>
      <w:jc w:val="center"/>
      <w:textAlignment w:val="baseline"/>
    </w:pPr>
    <w:rPr>
      <w:rFonts w:eastAsia="Times New Roman" w:cs="Times New Roman"/>
      <w:b/>
      <w:bCs/>
      <w:smallCaps/>
      <w:kern w:val="1"/>
      <w:sz w:val="36"/>
      <w:szCs w:val="36"/>
      <w:lang w:eastAsia="ar-SA"/>
    </w:rPr>
  </w:style>
  <w:style w:type="paragraph" w:customStyle="1" w:styleId="CitaoCapa">
    <w:name w:val="Citação Capa"/>
    <w:qFormat/>
    <w:rsid w:val="00CD7207"/>
    <w:pPr>
      <w:spacing w:after="0" w:line="240" w:lineRule="auto"/>
      <w:ind w:left="4536"/>
      <w:jc w:val="both"/>
    </w:pPr>
    <w:rPr>
      <w:rFonts w:ascii="Arial" w:eastAsia="Times New Roman" w:hAnsi="Arial" w:cs="Times New Roman"/>
      <w:b/>
      <w:sz w:val="24"/>
      <w:szCs w:val="20"/>
      <w:lang w:eastAsia="ar-SA"/>
    </w:rPr>
  </w:style>
  <w:style w:type="paragraph" w:customStyle="1" w:styleId="Agradecimentos">
    <w:name w:val="Agradecimentos"/>
    <w:qFormat/>
    <w:rsid w:val="008A2084"/>
    <w:pPr>
      <w:spacing w:after="0" w:line="240" w:lineRule="auto"/>
      <w:ind w:left="4536"/>
      <w:jc w:val="both"/>
    </w:pPr>
    <w:rPr>
      <w:rFonts w:ascii="Times New Roman" w:eastAsia="Times New Roman" w:hAnsi="Times New Roman" w:cs="Times New Roman"/>
      <w:sz w:val="24"/>
      <w:szCs w:val="20"/>
      <w:lang w:eastAsia="ar-SA"/>
    </w:rPr>
  </w:style>
  <w:style w:type="paragraph" w:styleId="CabealhodoSumrio">
    <w:name w:val="TOC Heading"/>
    <w:basedOn w:val="Ttulo1"/>
    <w:next w:val="Normal"/>
    <w:uiPriority w:val="39"/>
    <w:unhideWhenUsed/>
    <w:qFormat/>
    <w:rsid w:val="00DD7728"/>
    <w:pPr>
      <w:spacing w:line="276" w:lineRule="auto"/>
      <w:jc w:val="left"/>
      <w:outlineLvl w:val="9"/>
    </w:pPr>
    <w:rPr>
      <w:lang w:eastAsia="pt-BR"/>
    </w:rPr>
  </w:style>
  <w:style w:type="paragraph" w:styleId="Legenda">
    <w:name w:val="caption"/>
    <w:basedOn w:val="Normal"/>
    <w:next w:val="Normal"/>
    <w:uiPriority w:val="35"/>
    <w:unhideWhenUsed/>
    <w:qFormat/>
    <w:rsid w:val="00CA1EA9"/>
    <w:pPr>
      <w:spacing w:line="240" w:lineRule="auto"/>
    </w:pPr>
    <w:rPr>
      <w:b/>
      <w:bCs/>
      <w:color w:val="4F81BD" w:themeColor="accent1"/>
      <w:sz w:val="18"/>
      <w:szCs w:val="18"/>
    </w:rPr>
  </w:style>
  <w:style w:type="paragraph" w:customStyle="1" w:styleId="Graficos">
    <w:name w:val="Graficos"/>
    <w:basedOn w:val="Legenda"/>
    <w:qFormat/>
    <w:rsid w:val="00CA1EA9"/>
    <w:pPr>
      <w:ind w:firstLine="0"/>
    </w:pPr>
    <w:rPr>
      <w:caps/>
      <w:color w:val="auto"/>
      <w:sz w:val="24"/>
    </w:rPr>
  </w:style>
  <w:style w:type="paragraph" w:customStyle="1" w:styleId="Figura">
    <w:name w:val="Figura"/>
    <w:qFormat/>
    <w:rsid w:val="005E09ED"/>
    <w:pPr>
      <w:spacing w:after="0" w:line="240" w:lineRule="auto"/>
      <w:jc w:val="both"/>
    </w:pPr>
    <w:rPr>
      <w:rFonts w:ascii="Times New Roman" w:hAnsi="Times New Roman"/>
      <w:bCs/>
      <w:sz w:val="20"/>
      <w:szCs w:val="18"/>
    </w:rPr>
  </w:style>
  <w:style w:type="paragraph" w:styleId="ndicedeilustraes">
    <w:name w:val="table of figures"/>
    <w:basedOn w:val="Normal"/>
    <w:next w:val="Normal"/>
    <w:uiPriority w:val="99"/>
    <w:unhideWhenUsed/>
    <w:rsid w:val="00E53A31"/>
  </w:style>
  <w:style w:type="paragraph" w:customStyle="1" w:styleId="CitaoDiretaRecuo">
    <w:name w:val="Citação Direta Recuo"/>
    <w:basedOn w:val="Normal"/>
    <w:link w:val="CitaoDiretaRecuoChar"/>
    <w:qFormat/>
    <w:rsid w:val="00B828AC"/>
    <w:pPr>
      <w:spacing w:afterLines="200" w:line="240" w:lineRule="auto"/>
      <w:ind w:left="2268" w:firstLine="0"/>
    </w:pPr>
    <w:rPr>
      <w:rFonts w:eastAsia="Calibri" w:cs="Arial"/>
      <w:sz w:val="20"/>
      <w:szCs w:val="20"/>
      <w:shd w:val="clear" w:color="auto" w:fill="FFFFFF"/>
    </w:rPr>
  </w:style>
  <w:style w:type="character" w:customStyle="1" w:styleId="CitaoDiretaRecuoChar">
    <w:name w:val="Citação Direta Recuo Char"/>
    <w:link w:val="CitaoDiretaRecuo"/>
    <w:rsid w:val="00B828AC"/>
    <w:rPr>
      <w:rFonts w:ascii="Arial" w:eastAsia="Calibri" w:hAnsi="Arial" w:cs="Arial"/>
      <w:sz w:val="20"/>
      <w:szCs w:val="20"/>
    </w:rPr>
  </w:style>
  <w:style w:type="paragraph" w:customStyle="1" w:styleId="xmsonormal">
    <w:name w:val="x_msonormal"/>
    <w:basedOn w:val="Normal"/>
    <w:rsid w:val="009B5FCF"/>
    <w:pPr>
      <w:spacing w:before="100" w:beforeAutospacing="1" w:after="100" w:afterAutospacing="1" w:line="240" w:lineRule="auto"/>
      <w:ind w:firstLine="0"/>
      <w:jc w:val="left"/>
    </w:pPr>
    <w:rPr>
      <w:rFonts w:eastAsia="Times New Roman" w:cs="Times New Roman"/>
      <w:szCs w:val="24"/>
      <w:lang w:eastAsia="pt-BR"/>
    </w:rPr>
  </w:style>
  <w:style w:type="character" w:styleId="Forte">
    <w:name w:val="Strong"/>
    <w:basedOn w:val="Fontepargpadro"/>
    <w:uiPriority w:val="22"/>
    <w:qFormat/>
    <w:rsid w:val="00A2252B"/>
    <w:rPr>
      <w:b/>
      <w:bCs/>
    </w:rPr>
  </w:style>
  <w:style w:type="character" w:styleId="Refdecomentrio">
    <w:name w:val="annotation reference"/>
    <w:basedOn w:val="Fontepargpadro"/>
    <w:uiPriority w:val="99"/>
    <w:semiHidden/>
    <w:unhideWhenUsed/>
    <w:rsid w:val="0009737B"/>
    <w:rPr>
      <w:sz w:val="16"/>
      <w:szCs w:val="16"/>
    </w:rPr>
  </w:style>
  <w:style w:type="paragraph" w:styleId="Textodecomentrio">
    <w:name w:val="annotation text"/>
    <w:basedOn w:val="Normal"/>
    <w:link w:val="TextodecomentrioChar"/>
    <w:uiPriority w:val="99"/>
    <w:semiHidden/>
    <w:unhideWhenUsed/>
    <w:rsid w:val="000973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737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737B"/>
    <w:rPr>
      <w:b/>
      <w:bCs/>
    </w:rPr>
  </w:style>
  <w:style w:type="character" w:customStyle="1" w:styleId="AssuntodocomentrioChar">
    <w:name w:val="Assunto do comentário Char"/>
    <w:basedOn w:val="TextodecomentrioChar"/>
    <w:link w:val="Assuntodocomentrio"/>
    <w:uiPriority w:val="99"/>
    <w:semiHidden/>
    <w:rsid w:val="0009737B"/>
    <w:rPr>
      <w:rFonts w:ascii="Times New Roman" w:hAnsi="Times New Roman"/>
      <w:b/>
      <w:bCs/>
      <w:sz w:val="20"/>
      <w:szCs w:val="20"/>
    </w:rPr>
  </w:style>
  <w:style w:type="table" w:styleId="TabelaSimples2">
    <w:name w:val="Plain Table 2"/>
    <w:basedOn w:val="Tabelanormal"/>
    <w:uiPriority w:val="42"/>
    <w:rsid w:val="00CD68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8F0EA8"/>
    <w:pPr>
      <w:spacing w:before="100" w:beforeAutospacing="1" w:after="100" w:afterAutospacing="1" w:line="240" w:lineRule="auto"/>
      <w:ind w:firstLine="0"/>
      <w:jc w:val="left"/>
    </w:pPr>
    <w:rPr>
      <w:rFonts w:eastAsia="Times New Roman" w:cs="Times New Roman"/>
      <w:szCs w:val="24"/>
      <w:lang w:eastAsia="pt-BR"/>
    </w:rPr>
  </w:style>
  <w:style w:type="character" w:customStyle="1" w:styleId="MenoPendente1">
    <w:name w:val="Menção Pendente1"/>
    <w:basedOn w:val="Fontepargpadro"/>
    <w:uiPriority w:val="99"/>
    <w:semiHidden/>
    <w:unhideWhenUsed/>
    <w:rsid w:val="00DA56E5"/>
    <w:rPr>
      <w:color w:val="605E5C"/>
      <w:shd w:val="clear" w:color="auto" w:fill="E1DFDD"/>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0657">
      <w:bodyDiv w:val="1"/>
      <w:marLeft w:val="0"/>
      <w:marRight w:val="0"/>
      <w:marTop w:val="0"/>
      <w:marBottom w:val="0"/>
      <w:divBdr>
        <w:top w:val="none" w:sz="0" w:space="0" w:color="auto"/>
        <w:left w:val="none" w:sz="0" w:space="0" w:color="auto"/>
        <w:bottom w:val="none" w:sz="0" w:space="0" w:color="auto"/>
        <w:right w:val="none" w:sz="0" w:space="0" w:color="auto"/>
      </w:divBdr>
    </w:div>
    <w:div w:id="73819019">
      <w:bodyDiv w:val="1"/>
      <w:marLeft w:val="0"/>
      <w:marRight w:val="0"/>
      <w:marTop w:val="0"/>
      <w:marBottom w:val="0"/>
      <w:divBdr>
        <w:top w:val="none" w:sz="0" w:space="0" w:color="auto"/>
        <w:left w:val="none" w:sz="0" w:space="0" w:color="auto"/>
        <w:bottom w:val="none" w:sz="0" w:space="0" w:color="auto"/>
        <w:right w:val="none" w:sz="0" w:space="0" w:color="auto"/>
      </w:divBdr>
    </w:div>
    <w:div w:id="86851198">
      <w:bodyDiv w:val="1"/>
      <w:marLeft w:val="0"/>
      <w:marRight w:val="0"/>
      <w:marTop w:val="0"/>
      <w:marBottom w:val="0"/>
      <w:divBdr>
        <w:top w:val="none" w:sz="0" w:space="0" w:color="auto"/>
        <w:left w:val="none" w:sz="0" w:space="0" w:color="auto"/>
        <w:bottom w:val="none" w:sz="0" w:space="0" w:color="auto"/>
        <w:right w:val="none" w:sz="0" w:space="0" w:color="auto"/>
      </w:divBdr>
    </w:div>
    <w:div w:id="183251783">
      <w:bodyDiv w:val="1"/>
      <w:marLeft w:val="0"/>
      <w:marRight w:val="0"/>
      <w:marTop w:val="0"/>
      <w:marBottom w:val="0"/>
      <w:divBdr>
        <w:top w:val="none" w:sz="0" w:space="0" w:color="auto"/>
        <w:left w:val="none" w:sz="0" w:space="0" w:color="auto"/>
        <w:bottom w:val="none" w:sz="0" w:space="0" w:color="auto"/>
        <w:right w:val="none" w:sz="0" w:space="0" w:color="auto"/>
      </w:divBdr>
    </w:div>
    <w:div w:id="238911078">
      <w:bodyDiv w:val="1"/>
      <w:marLeft w:val="0"/>
      <w:marRight w:val="0"/>
      <w:marTop w:val="0"/>
      <w:marBottom w:val="0"/>
      <w:divBdr>
        <w:top w:val="none" w:sz="0" w:space="0" w:color="auto"/>
        <w:left w:val="none" w:sz="0" w:space="0" w:color="auto"/>
        <w:bottom w:val="none" w:sz="0" w:space="0" w:color="auto"/>
        <w:right w:val="none" w:sz="0" w:space="0" w:color="auto"/>
      </w:divBdr>
    </w:div>
    <w:div w:id="308369716">
      <w:bodyDiv w:val="1"/>
      <w:marLeft w:val="0"/>
      <w:marRight w:val="0"/>
      <w:marTop w:val="0"/>
      <w:marBottom w:val="0"/>
      <w:divBdr>
        <w:top w:val="none" w:sz="0" w:space="0" w:color="auto"/>
        <w:left w:val="none" w:sz="0" w:space="0" w:color="auto"/>
        <w:bottom w:val="none" w:sz="0" w:space="0" w:color="auto"/>
        <w:right w:val="none" w:sz="0" w:space="0" w:color="auto"/>
      </w:divBdr>
    </w:div>
    <w:div w:id="346254929">
      <w:bodyDiv w:val="1"/>
      <w:marLeft w:val="0"/>
      <w:marRight w:val="0"/>
      <w:marTop w:val="0"/>
      <w:marBottom w:val="0"/>
      <w:divBdr>
        <w:top w:val="none" w:sz="0" w:space="0" w:color="auto"/>
        <w:left w:val="none" w:sz="0" w:space="0" w:color="auto"/>
        <w:bottom w:val="none" w:sz="0" w:space="0" w:color="auto"/>
        <w:right w:val="none" w:sz="0" w:space="0" w:color="auto"/>
      </w:divBdr>
    </w:div>
    <w:div w:id="491409942">
      <w:bodyDiv w:val="1"/>
      <w:marLeft w:val="0"/>
      <w:marRight w:val="0"/>
      <w:marTop w:val="0"/>
      <w:marBottom w:val="0"/>
      <w:divBdr>
        <w:top w:val="none" w:sz="0" w:space="0" w:color="auto"/>
        <w:left w:val="none" w:sz="0" w:space="0" w:color="auto"/>
        <w:bottom w:val="none" w:sz="0" w:space="0" w:color="auto"/>
        <w:right w:val="none" w:sz="0" w:space="0" w:color="auto"/>
      </w:divBdr>
    </w:div>
    <w:div w:id="508836768">
      <w:bodyDiv w:val="1"/>
      <w:marLeft w:val="0"/>
      <w:marRight w:val="0"/>
      <w:marTop w:val="0"/>
      <w:marBottom w:val="0"/>
      <w:divBdr>
        <w:top w:val="none" w:sz="0" w:space="0" w:color="auto"/>
        <w:left w:val="none" w:sz="0" w:space="0" w:color="auto"/>
        <w:bottom w:val="none" w:sz="0" w:space="0" w:color="auto"/>
        <w:right w:val="none" w:sz="0" w:space="0" w:color="auto"/>
      </w:divBdr>
    </w:div>
    <w:div w:id="634407096">
      <w:bodyDiv w:val="1"/>
      <w:marLeft w:val="0"/>
      <w:marRight w:val="0"/>
      <w:marTop w:val="0"/>
      <w:marBottom w:val="0"/>
      <w:divBdr>
        <w:top w:val="none" w:sz="0" w:space="0" w:color="auto"/>
        <w:left w:val="none" w:sz="0" w:space="0" w:color="auto"/>
        <w:bottom w:val="none" w:sz="0" w:space="0" w:color="auto"/>
        <w:right w:val="none" w:sz="0" w:space="0" w:color="auto"/>
      </w:divBdr>
    </w:div>
    <w:div w:id="919020310">
      <w:bodyDiv w:val="1"/>
      <w:marLeft w:val="0"/>
      <w:marRight w:val="0"/>
      <w:marTop w:val="0"/>
      <w:marBottom w:val="0"/>
      <w:divBdr>
        <w:top w:val="none" w:sz="0" w:space="0" w:color="auto"/>
        <w:left w:val="none" w:sz="0" w:space="0" w:color="auto"/>
        <w:bottom w:val="none" w:sz="0" w:space="0" w:color="auto"/>
        <w:right w:val="none" w:sz="0" w:space="0" w:color="auto"/>
      </w:divBdr>
    </w:div>
    <w:div w:id="946277903">
      <w:bodyDiv w:val="1"/>
      <w:marLeft w:val="0"/>
      <w:marRight w:val="0"/>
      <w:marTop w:val="0"/>
      <w:marBottom w:val="0"/>
      <w:divBdr>
        <w:top w:val="none" w:sz="0" w:space="0" w:color="auto"/>
        <w:left w:val="none" w:sz="0" w:space="0" w:color="auto"/>
        <w:bottom w:val="none" w:sz="0" w:space="0" w:color="auto"/>
        <w:right w:val="none" w:sz="0" w:space="0" w:color="auto"/>
      </w:divBdr>
    </w:div>
    <w:div w:id="1152411440">
      <w:bodyDiv w:val="1"/>
      <w:marLeft w:val="0"/>
      <w:marRight w:val="0"/>
      <w:marTop w:val="0"/>
      <w:marBottom w:val="0"/>
      <w:divBdr>
        <w:top w:val="none" w:sz="0" w:space="0" w:color="auto"/>
        <w:left w:val="none" w:sz="0" w:space="0" w:color="auto"/>
        <w:bottom w:val="none" w:sz="0" w:space="0" w:color="auto"/>
        <w:right w:val="none" w:sz="0" w:space="0" w:color="auto"/>
      </w:divBdr>
    </w:div>
    <w:div w:id="1185679524">
      <w:bodyDiv w:val="1"/>
      <w:marLeft w:val="0"/>
      <w:marRight w:val="0"/>
      <w:marTop w:val="0"/>
      <w:marBottom w:val="0"/>
      <w:divBdr>
        <w:top w:val="none" w:sz="0" w:space="0" w:color="auto"/>
        <w:left w:val="none" w:sz="0" w:space="0" w:color="auto"/>
        <w:bottom w:val="none" w:sz="0" w:space="0" w:color="auto"/>
        <w:right w:val="none" w:sz="0" w:space="0" w:color="auto"/>
      </w:divBdr>
    </w:div>
    <w:div w:id="1254898427">
      <w:bodyDiv w:val="1"/>
      <w:marLeft w:val="0"/>
      <w:marRight w:val="0"/>
      <w:marTop w:val="0"/>
      <w:marBottom w:val="0"/>
      <w:divBdr>
        <w:top w:val="none" w:sz="0" w:space="0" w:color="auto"/>
        <w:left w:val="none" w:sz="0" w:space="0" w:color="auto"/>
        <w:bottom w:val="none" w:sz="0" w:space="0" w:color="auto"/>
        <w:right w:val="none" w:sz="0" w:space="0" w:color="auto"/>
      </w:divBdr>
    </w:div>
    <w:div w:id="1314531062">
      <w:bodyDiv w:val="1"/>
      <w:marLeft w:val="0"/>
      <w:marRight w:val="0"/>
      <w:marTop w:val="0"/>
      <w:marBottom w:val="0"/>
      <w:divBdr>
        <w:top w:val="none" w:sz="0" w:space="0" w:color="auto"/>
        <w:left w:val="none" w:sz="0" w:space="0" w:color="auto"/>
        <w:bottom w:val="none" w:sz="0" w:space="0" w:color="auto"/>
        <w:right w:val="none" w:sz="0" w:space="0" w:color="auto"/>
      </w:divBdr>
    </w:div>
    <w:div w:id="1346905730">
      <w:bodyDiv w:val="1"/>
      <w:marLeft w:val="0"/>
      <w:marRight w:val="0"/>
      <w:marTop w:val="0"/>
      <w:marBottom w:val="0"/>
      <w:divBdr>
        <w:top w:val="none" w:sz="0" w:space="0" w:color="auto"/>
        <w:left w:val="none" w:sz="0" w:space="0" w:color="auto"/>
        <w:bottom w:val="none" w:sz="0" w:space="0" w:color="auto"/>
        <w:right w:val="none" w:sz="0" w:space="0" w:color="auto"/>
      </w:divBdr>
    </w:div>
    <w:div w:id="1523320146">
      <w:bodyDiv w:val="1"/>
      <w:marLeft w:val="0"/>
      <w:marRight w:val="0"/>
      <w:marTop w:val="0"/>
      <w:marBottom w:val="0"/>
      <w:divBdr>
        <w:top w:val="none" w:sz="0" w:space="0" w:color="auto"/>
        <w:left w:val="none" w:sz="0" w:space="0" w:color="auto"/>
        <w:bottom w:val="none" w:sz="0" w:space="0" w:color="auto"/>
        <w:right w:val="none" w:sz="0" w:space="0" w:color="auto"/>
      </w:divBdr>
    </w:div>
    <w:div w:id="1538736622">
      <w:bodyDiv w:val="1"/>
      <w:marLeft w:val="0"/>
      <w:marRight w:val="0"/>
      <w:marTop w:val="0"/>
      <w:marBottom w:val="0"/>
      <w:divBdr>
        <w:top w:val="none" w:sz="0" w:space="0" w:color="auto"/>
        <w:left w:val="none" w:sz="0" w:space="0" w:color="auto"/>
        <w:bottom w:val="none" w:sz="0" w:space="0" w:color="auto"/>
        <w:right w:val="none" w:sz="0" w:space="0" w:color="auto"/>
      </w:divBdr>
    </w:div>
    <w:div w:id="1636370870">
      <w:bodyDiv w:val="1"/>
      <w:marLeft w:val="0"/>
      <w:marRight w:val="0"/>
      <w:marTop w:val="0"/>
      <w:marBottom w:val="0"/>
      <w:divBdr>
        <w:top w:val="none" w:sz="0" w:space="0" w:color="auto"/>
        <w:left w:val="none" w:sz="0" w:space="0" w:color="auto"/>
        <w:bottom w:val="none" w:sz="0" w:space="0" w:color="auto"/>
        <w:right w:val="none" w:sz="0" w:space="0" w:color="auto"/>
      </w:divBdr>
    </w:div>
    <w:div w:id="1639647567">
      <w:bodyDiv w:val="1"/>
      <w:marLeft w:val="0"/>
      <w:marRight w:val="0"/>
      <w:marTop w:val="0"/>
      <w:marBottom w:val="0"/>
      <w:divBdr>
        <w:top w:val="none" w:sz="0" w:space="0" w:color="auto"/>
        <w:left w:val="none" w:sz="0" w:space="0" w:color="auto"/>
        <w:bottom w:val="none" w:sz="0" w:space="0" w:color="auto"/>
        <w:right w:val="none" w:sz="0" w:space="0" w:color="auto"/>
      </w:divBdr>
    </w:div>
    <w:div w:id="1771659243">
      <w:bodyDiv w:val="1"/>
      <w:marLeft w:val="0"/>
      <w:marRight w:val="0"/>
      <w:marTop w:val="0"/>
      <w:marBottom w:val="0"/>
      <w:divBdr>
        <w:top w:val="none" w:sz="0" w:space="0" w:color="auto"/>
        <w:left w:val="none" w:sz="0" w:space="0" w:color="auto"/>
        <w:bottom w:val="none" w:sz="0" w:space="0" w:color="auto"/>
        <w:right w:val="none" w:sz="0" w:space="0" w:color="auto"/>
      </w:divBdr>
    </w:div>
    <w:div w:id="1836070934">
      <w:bodyDiv w:val="1"/>
      <w:marLeft w:val="0"/>
      <w:marRight w:val="0"/>
      <w:marTop w:val="0"/>
      <w:marBottom w:val="0"/>
      <w:divBdr>
        <w:top w:val="none" w:sz="0" w:space="0" w:color="auto"/>
        <w:left w:val="none" w:sz="0" w:space="0" w:color="auto"/>
        <w:bottom w:val="none" w:sz="0" w:space="0" w:color="auto"/>
        <w:right w:val="none" w:sz="0" w:space="0" w:color="auto"/>
      </w:divBdr>
    </w:div>
    <w:div w:id="1840733825">
      <w:bodyDiv w:val="1"/>
      <w:marLeft w:val="0"/>
      <w:marRight w:val="0"/>
      <w:marTop w:val="0"/>
      <w:marBottom w:val="0"/>
      <w:divBdr>
        <w:top w:val="none" w:sz="0" w:space="0" w:color="auto"/>
        <w:left w:val="none" w:sz="0" w:space="0" w:color="auto"/>
        <w:bottom w:val="none" w:sz="0" w:space="0" w:color="auto"/>
        <w:right w:val="none" w:sz="0" w:space="0" w:color="auto"/>
      </w:divBdr>
    </w:div>
    <w:div w:id="1880628969">
      <w:bodyDiv w:val="1"/>
      <w:marLeft w:val="0"/>
      <w:marRight w:val="0"/>
      <w:marTop w:val="0"/>
      <w:marBottom w:val="0"/>
      <w:divBdr>
        <w:top w:val="none" w:sz="0" w:space="0" w:color="auto"/>
        <w:left w:val="none" w:sz="0" w:space="0" w:color="auto"/>
        <w:bottom w:val="none" w:sz="0" w:space="0" w:color="auto"/>
        <w:right w:val="none" w:sz="0" w:space="0" w:color="auto"/>
      </w:divBdr>
    </w:div>
    <w:div w:id="2128233201">
      <w:bodyDiv w:val="1"/>
      <w:marLeft w:val="0"/>
      <w:marRight w:val="0"/>
      <w:marTop w:val="0"/>
      <w:marBottom w:val="0"/>
      <w:divBdr>
        <w:top w:val="none" w:sz="0" w:space="0" w:color="auto"/>
        <w:left w:val="none" w:sz="0" w:space="0" w:color="auto"/>
        <w:bottom w:val="none" w:sz="0" w:space="0" w:color="auto"/>
        <w:right w:val="none" w:sz="0" w:space="0" w:color="auto"/>
      </w:divBdr>
    </w:div>
    <w:div w:id="21465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quisa.apps.tcu.gov.br/"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9961-AE09-402C-BE59-DFA1A658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7612</Words>
  <Characters>41105</Characters>
  <Application>Microsoft Office Word</Application>
  <DocSecurity>0</DocSecurity>
  <Lines>342</Lines>
  <Paragraphs>97</Paragraphs>
  <ScaleCrop>false</ScaleCrop>
  <Company/>
  <LinksUpToDate>false</LinksUpToDate>
  <CharactersWithSpaces>48620</CharactersWithSpaces>
  <SharedDoc>false</SharedDoc>
  <HLinks>
    <vt:vector size="6" baseType="variant">
      <vt:variant>
        <vt:i4>6029333</vt:i4>
      </vt:variant>
      <vt:variant>
        <vt:i4>0</vt:i4>
      </vt:variant>
      <vt:variant>
        <vt:i4>0</vt:i4>
      </vt:variant>
      <vt:variant>
        <vt:i4>5</vt:i4>
      </vt:variant>
      <vt:variant>
        <vt:lpwstr>https://pesquisa.apps.tcu.gov.br/</vt:lpwstr>
      </vt:variant>
      <vt:variant>
        <vt:lpwstr>/documento/acordao-completo/*/NUMACORDAO%253A2699%2520ANOACORDAO%253A2018/DTRELEVANCIA%20desc,%20NUMACORDAOINT%20desc/0/%20?uuid=1d690b10-c201-11e9-a4ad-417430b8e190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2019-12-10T21:42:00Z</dcterms:created>
  <dcterms:modified xsi:type="dcterms:W3CDTF">2019-12-10T21:42:00Z</dcterms:modified>
</cp:coreProperties>
</file>